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charts/chart1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6.xml" ContentType="application/vnd.openxmlformats-officedocument.themeOverride+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1.xml" ContentType="application/vnd.openxmlformats-officedocument.drawingml.chart+xml"/>
  <Override PartName="/word/theme/themeOverride1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D8B3A" w14:textId="6C5FB346" w:rsidR="00877D86" w:rsidRPr="00887108" w:rsidRDefault="00877D86" w:rsidP="004176F4">
      <w:pPr>
        <w:jc w:val="center"/>
        <w:rPr>
          <w:rFonts w:cs="Arial Narrow"/>
          <w:color w:val="FFFFFF"/>
        </w:rPr>
      </w:pPr>
      <w:bookmarkStart w:id="0" w:name="_Toc251855762"/>
      <w:bookmarkStart w:id="1" w:name="_GoBack"/>
      <w:bookmarkEnd w:id="1"/>
    </w:p>
    <w:p w14:paraId="64C3301F" w14:textId="77777777" w:rsidR="00877D86" w:rsidRPr="00887108" w:rsidRDefault="00877D86" w:rsidP="004176F4">
      <w:pPr>
        <w:jc w:val="center"/>
        <w:rPr>
          <w:rFonts w:cs="Arial Narrow"/>
          <w:color w:val="FFFFFF"/>
        </w:rPr>
      </w:pPr>
    </w:p>
    <w:p w14:paraId="2F19FF5D" w14:textId="77777777" w:rsidR="00877D86" w:rsidRPr="00887108" w:rsidRDefault="00877D86" w:rsidP="004176F4">
      <w:pPr>
        <w:jc w:val="center"/>
        <w:rPr>
          <w:rFonts w:cs="Arial Narrow"/>
          <w:color w:val="FFFFFF"/>
        </w:rPr>
      </w:pPr>
    </w:p>
    <w:p w14:paraId="13664E0E" w14:textId="77777777" w:rsidR="00877D86" w:rsidRPr="00887108" w:rsidRDefault="00877D86" w:rsidP="004176F4">
      <w:pPr>
        <w:jc w:val="center"/>
        <w:rPr>
          <w:rFonts w:cs="Arial Narrow"/>
          <w:color w:val="FFFFFF"/>
        </w:rPr>
      </w:pPr>
    </w:p>
    <w:p w14:paraId="56CD3C90" w14:textId="66376013" w:rsidR="001247CF" w:rsidRPr="00887108" w:rsidRDefault="000F0786" w:rsidP="004176F4">
      <w:pPr>
        <w:jc w:val="center"/>
        <w:rPr>
          <w:rFonts w:cs="Arial Narrow"/>
          <w:color w:val="FFFFFF"/>
        </w:rPr>
      </w:pPr>
      <w:r w:rsidRPr="00887108">
        <w:rPr>
          <w:noProof/>
        </w:rPr>
        <w:drawing>
          <wp:anchor distT="0" distB="0" distL="114300" distR="114300" simplePos="0" relativeHeight="251656192" behindDoc="0" locked="0" layoutInCell="1" allowOverlap="1" wp14:anchorId="34B475D5" wp14:editId="0A193D88">
            <wp:simplePos x="0" y="0"/>
            <wp:positionH relativeFrom="column">
              <wp:align>center</wp:align>
            </wp:positionH>
            <wp:positionV relativeFrom="page">
              <wp:posOffset>1450340</wp:posOffset>
            </wp:positionV>
            <wp:extent cx="1360800" cy="1695600"/>
            <wp:effectExtent l="0" t="0" r="0" b="0"/>
            <wp:wrapNone/>
            <wp:docPr id="3" name="Obrázok 56" descr="Popis: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descr="Popis: štátny zna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0800" cy="16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7CF" w:rsidRPr="00887108">
        <w:rPr>
          <w:rFonts w:cs="Arial Narrow"/>
          <w:color w:val="FFFFFF"/>
        </w:rPr>
        <w:t xml:space="preserve">;     </w:t>
      </w:r>
    </w:p>
    <w:p w14:paraId="1A99331C" w14:textId="77777777" w:rsidR="001247CF" w:rsidRPr="00887108" w:rsidRDefault="001247CF" w:rsidP="004176F4">
      <w:pPr>
        <w:jc w:val="center"/>
        <w:rPr>
          <w:rFonts w:cs="Arial Narrow"/>
          <w:b/>
          <w:bCs/>
          <w:sz w:val="32"/>
          <w:szCs w:val="32"/>
        </w:rPr>
      </w:pPr>
    </w:p>
    <w:p w14:paraId="024A8800" w14:textId="77777777" w:rsidR="001247CF" w:rsidRPr="00887108" w:rsidRDefault="001247CF" w:rsidP="004176F4">
      <w:pPr>
        <w:rPr>
          <w:rFonts w:cs="Arial Narrow"/>
        </w:rPr>
      </w:pPr>
    </w:p>
    <w:p w14:paraId="00501EC7" w14:textId="77777777" w:rsidR="001247CF" w:rsidRPr="00887108" w:rsidRDefault="001247CF" w:rsidP="004176F4">
      <w:pPr>
        <w:rPr>
          <w:rFonts w:cs="Arial Narrow"/>
        </w:rPr>
      </w:pPr>
    </w:p>
    <w:p w14:paraId="1CB9634E" w14:textId="77777777" w:rsidR="001247CF" w:rsidRPr="00887108" w:rsidRDefault="001247CF" w:rsidP="004176F4">
      <w:pPr>
        <w:rPr>
          <w:rFonts w:cs="Arial Narrow"/>
        </w:rPr>
      </w:pPr>
    </w:p>
    <w:p w14:paraId="0F237BDA" w14:textId="77777777" w:rsidR="001247CF" w:rsidRPr="00887108" w:rsidRDefault="001247CF" w:rsidP="004176F4">
      <w:pPr>
        <w:rPr>
          <w:rFonts w:cs="Arial Narrow"/>
        </w:rPr>
      </w:pPr>
    </w:p>
    <w:p w14:paraId="5F531F94" w14:textId="77777777" w:rsidR="001247CF" w:rsidRPr="00887108" w:rsidRDefault="001247CF" w:rsidP="004176F4">
      <w:pPr>
        <w:rPr>
          <w:rFonts w:cs="Arial Narrow"/>
        </w:rPr>
      </w:pPr>
    </w:p>
    <w:p w14:paraId="12EF5240" w14:textId="77777777" w:rsidR="001247CF" w:rsidRPr="00887108" w:rsidRDefault="001247CF" w:rsidP="004176F4">
      <w:pPr>
        <w:rPr>
          <w:rFonts w:cs="Arial Narrow"/>
        </w:rPr>
      </w:pPr>
    </w:p>
    <w:p w14:paraId="023320CB" w14:textId="77777777" w:rsidR="0028256A" w:rsidRPr="00887108" w:rsidRDefault="0028256A" w:rsidP="004176F4">
      <w:pPr>
        <w:rPr>
          <w:rFonts w:cs="Arial Narrow"/>
        </w:rPr>
      </w:pPr>
    </w:p>
    <w:p w14:paraId="7E7DC06B" w14:textId="77777777" w:rsidR="001247CF" w:rsidRPr="00887108" w:rsidRDefault="001247CF" w:rsidP="004176F4">
      <w:pPr>
        <w:rPr>
          <w:rFonts w:cs="Arial Narrow"/>
        </w:rPr>
      </w:pPr>
    </w:p>
    <w:p w14:paraId="394BBD50" w14:textId="77777777" w:rsidR="001247CF" w:rsidRPr="00887108" w:rsidRDefault="001247CF" w:rsidP="004176F4">
      <w:pPr>
        <w:jc w:val="center"/>
        <w:rPr>
          <w:rFonts w:cs="Arial Narrow"/>
        </w:rPr>
      </w:pPr>
    </w:p>
    <w:p w14:paraId="29AA7AF5" w14:textId="77777777" w:rsidR="001247CF" w:rsidRPr="00887108" w:rsidRDefault="001247CF" w:rsidP="004176F4">
      <w:pPr>
        <w:jc w:val="center"/>
        <w:rPr>
          <w:rFonts w:cs="Arial Narrow"/>
        </w:rPr>
      </w:pPr>
    </w:p>
    <w:p w14:paraId="0C3BDB21" w14:textId="77777777" w:rsidR="001247CF" w:rsidRPr="00887108" w:rsidRDefault="001247CF" w:rsidP="004176F4">
      <w:pPr>
        <w:jc w:val="center"/>
        <w:rPr>
          <w:rFonts w:cs="Arial Narrow"/>
        </w:rPr>
      </w:pPr>
    </w:p>
    <w:p w14:paraId="6F523775" w14:textId="77777777" w:rsidR="009E54EC" w:rsidRPr="00887108" w:rsidRDefault="009E54EC" w:rsidP="00877D86">
      <w:pPr>
        <w:spacing w:line="300" w:lineRule="auto"/>
        <w:jc w:val="center"/>
        <w:rPr>
          <w:rFonts w:cs="Arial Narrow"/>
          <w:b/>
          <w:bCs/>
          <w:sz w:val="56"/>
          <w:szCs w:val="56"/>
        </w:rPr>
      </w:pPr>
    </w:p>
    <w:p w14:paraId="402685BB" w14:textId="77777777" w:rsidR="001247CF" w:rsidRPr="00887108" w:rsidRDefault="001247CF" w:rsidP="00877D86">
      <w:pPr>
        <w:spacing w:line="300" w:lineRule="auto"/>
        <w:jc w:val="center"/>
        <w:rPr>
          <w:rFonts w:cs="Arial Narrow"/>
          <w:b/>
          <w:bCs/>
          <w:sz w:val="56"/>
          <w:szCs w:val="56"/>
        </w:rPr>
      </w:pPr>
      <w:r w:rsidRPr="00887108">
        <w:rPr>
          <w:rFonts w:cs="Arial Narrow"/>
          <w:b/>
          <w:bCs/>
          <w:sz w:val="56"/>
          <w:szCs w:val="56"/>
        </w:rPr>
        <w:t>P</w:t>
      </w:r>
      <w:r w:rsidR="0028256A" w:rsidRPr="00887108">
        <w:rPr>
          <w:rFonts w:cs="Arial Narrow"/>
          <w:b/>
          <w:bCs/>
          <w:sz w:val="56"/>
          <w:szCs w:val="56"/>
        </w:rPr>
        <w:t xml:space="preserve">rogram stability </w:t>
      </w:r>
      <w:r w:rsidRPr="00887108">
        <w:rPr>
          <w:rFonts w:cs="Arial Narrow"/>
          <w:b/>
          <w:bCs/>
          <w:sz w:val="56"/>
          <w:szCs w:val="56"/>
        </w:rPr>
        <w:t>S</w:t>
      </w:r>
      <w:r w:rsidR="0028256A" w:rsidRPr="00887108">
        <w:rPr>
          <w:rFonts w:cs="Arial Narrow"/>
          <w:b/>
          <w:bCs/>
          <w:sz w:val="56"/>
          <w:szCs w:val="56"/>
        </w:rPr>
        <w:t>lovenskej republiky</w:t>
      </w:r>
      <w:r w:rsidRPr="00887108">
        <w:rPr>
          <w:rFonts w:cs="Arial Narrow"/>
          <w:b/>
          <w:bCs/>
          <w:sz w:val="56"/>
          <w:szCs w:val="56"/>
        </w:rPr>
        <w:t xml:space="preserve"> </w:t>
      </w:r>
    </w:p>
    <w:p w14:paraId="20E52516" w14:textId="32A81D48" w:rsidR="001247CF" w:rsidRPr="00887108" w:rsidRDefault="0028256A" w:rsidP="00877D86">
      <w:pPr>
        <w:spacing w:line="300" w:lineRule="auto"/>
        <w:jc w:val="center"/>
        <w:rPr>
          <w:rFonts w:cs="Arial Narrow"/>
          <w:b/>
          <w:bCs/>
          <w:sz w:val="56"/>
          <w:szCs w:val="56"/>
        </w:rPr>
      </w:pPr>
      <w:r w:rsidRPr="00887108">
        <w:rPr>
          <w:rFonts w:cs="Arial Narrow"/>
          <w:b/>
          <w:bCs/>
          <w:sz w:val="56"/>
          <w:szCs w:val="56"/>
        </w:rPr>
        <w:t>na roky</w:t>
      </w:r>
      <w:r w:rsidR="001247CF" w:rsidRPr="00887108">
        <w:rPr>
          <w:rFonts w:cs="Arial Narrow"/>
          <w:b/>
          <w:bCs/>
          <w:sz w:val="56"/>
          <w:szCs w:val="56"/>
        </w:rPr>
        <w:t xml:space="preserve"> </w:t>
      </w:r>
      <w:r w:rsidR="00204588" w:rsidRPr="00887108">
        <w:rPr>
          <w:rFonts w:cs="Arial Narrow"/>
          <w:b/>
          <w:bCs/>
          <w:sz w:val="56"/>
          <w:szCs w:val="56"/>
        </w:rPr>
        <w:t>202</w:t>
      </w:r>
      <w:r w:rsidR="005E79CF">
        <w:rPr>
          <w:rFonts w:cs="Arial Narrow"/>
          <w:b/>
          <w:bCs/>
          <w:sz w:val="56"/>
          <w:szCs w:val="56"/>
        </w:rPr>
        <w:t>4</w:t>
      </w:r>
      <w:r w:rsidR="001247CF" w:rsidRPr="00887108">
        <w:rPr>
          <w:rFonts w:cs="Arial Narrow"/>
          <w:b/>
          <w:bCs/>
          <w:sz w:val="56"/>
          <w:szCs w:val="56"/>
        </w:rPr>
        <w:t xml:space="preserve"> </w:t>
      </w:r>
      <w:r w:rsidRPr="00887108">
        <w:rPr>
          <w:rFonts w:cs="Arial Narrow"/>
          <w:b/>
          <w:bCs/>
          <w:sz w:val="56"/>
          <w:szCs w:val="56"/>
        </w:rPr>
        <w:t>až</w:t>
      </w:r>
      <w:r w:rsidR="001247CF" w:rsidRPr="00887108">
        <w:rPr>
          <w:rFonts w:cs="Arial Narrow"/>
          <w:b/>
          <w:bCs/>
          <w:sz w:val="56"/>
          <w:szCs w:val="56"/>
        </w:rPr>
        <w:t xml:space="preserve"> </w:t>
      </w:r>
      <w:r w:rsidR="00490255">
        <w:rPr>
          <w:rFonts w:cs="Arial Narrow"/>
          <w:b/>
          <w:bCs/>
          <w:sz w:val="56"/>
          <w:szCs w:val="56"/>
        </w:rPr>
        <w:t>202</w:t>
      </w:r>
      <w:r w:rsidR="005E79CF">
        <w:rPr>
          <w:rFonts w:cs="Arial Narrow"/>
          <w:b/>
          <w:bCs/>
          <w:sz w:val="56"/>
          <w:szCs w:val="56"/>
        </w:rPr>
        <w:t>7</w:t>
      </w:r>
    </w:p>
    <w:p w14:paraId="11CC81C8" w14:textId="77777777" w:rsidR="001247CF" w:rsidRPr="00887108" w:rsidRDefault="001247CF" w:rsidP="004176F4">
      <w:pPr>
        <w:jc w:val="center"/>
        <w:rPr>
          <w:rFonts w:cs="Arial Narrow"/>
          <w:b/>
          <w:bCs/>
          <w:sz w:val="52"/>
          <w:szCs w:val="52"/>
        </w:rPr>
      </w:pPr>
    </w:p>
    <w:p w14:paraId="6D9B7F64" w14:textId="77777777" w:rsidR="00877D86" w:rsidRPr="00887108" w:rsidRDefault="00D72DE6" w:rsidP="00D72DE6">
      <w:pPr>
        <w:tabs>
          <w:tab w:val="left" w:pos="6675"/>
        </w:tabs>
        <w:rPr>
          <w:rFonts w:cs="Arial Narrow"/>
          <w:b/>
          <w:bCs/>
          <w:sz w:val="52"/>
          <w:szCs w:val="52"/>
        </w:rPr>
      </w:pPr>
      <w:r w:rsidRPr="00887108">
        <w:rPr>
          <w:rFonts w:cs="Arial Narrow"/>
          <w:b/>
          <w:bCs/>
          <w:sz w:val="52"/>
          <w:szCs w:val="52"/>
        </w:rPr>
        <w:tab/>
      </w:r>
    </w:p>
    <w:p w14:paraId="0172FFD7" w14:textId="77777777" w:rsidR="001247CF" w:rsidRPr="00887108" w:rsidRDefault="001247CF" w:rsidP="000F0786">
      <w:pPr>
        <w:jc w:val="center"/>
        <w:rPr>
          <w:rFonts w:cs="Arial Narrow"/>
          <w:b/>
          <w:bCs/>
          <w:sz w:val="52"/>
          <w:szCs w:val="52"/>
        </w:rPr>
      </w:pPr>
    </w:p>
    <w:p w14:paraId="33CD8CC9" w14:textId="77777777" w:rsidR="001247CF" w:rsidRPr="00887108" w:rsidRDefault="001247CF" w:rsidP="000F0786">
      <w:pPr>
        <w:jc w:val="center"/>
        <w:rPr>
          <w:rFonts w:cs="Arial Narrow"/>
          <w:b/>
          <w:bCs/>
          <w:sz w:val="52"/>
          <w:szCs w:val="52"/>
        </w:rPr>
      </w:pPr>
    </w:p>
    <w:p w14:paraId="6F9EBEE7" w14:textId="77777777" w:rsidR="001247CF" w:rsidRPr="00887108" w:rsidRDefault="001247CF" w:rsidP="000F0786">
      <w:pPr>
        <w:jc w:val="center"/>
        <w:rPr>
          <w:rFonts w:cs="Arial Narrow"/>
          <w:b/>
          <w:bCs/>
          <w:sz w:val="52"/>
          <w:szCs w:val="52"/>
        </w:rPr>
      </w:pPr>
    </w:p>
    <w:p w14:paraId="380E9EFD" w14:textId="77777777" w:rsidR="001247CF" w:rsidRPr="00887108" w:rsidRDefault="001247CF" w:rsidP="000F0786">
      <w:pPr>
        <w:jc w:val="center"/>
        <w:rPr>
          <w:rFonts w:cs="Arial Narrow"/>
          <w:b/>
          <w:bCs/>
          <w:sz w:val="52"/>
          <w:szCs w:val="52"/>
        </w:rPr>
      </w:pPr>
    </w:p>
    <w:p w14:paraId="23F623E8" w14:textId="77777777" w:rsidR="001247CF" w:rsidRPr="00887108" w:rsidRDefault="001247CF" w:rsidP="000F0786">
      <w:pPr>
        <w:jc w:val="center"/>
        <w:rPr>
          <w:rFonts w:cs="Arial Narrow"/>
          <w:b/>
          <w:bCs/>
          <w:sz w:val="52"/>
          <w:szCs w:val="52"/>
        </w:rPr>
      </w:pPr>
    </w:p>
    <w:p w14:paraId="42999C89" w14:textId="7E3F73A1" w:rsidR="000F0786" w:rsidRPr="00887108" w:rsidRDefault="000F0786" w:rsidP="00876448">
      <w:pPr>
        <w:rPr>
          <w:rFonts w:cs="Arial Narrow"/>
          <w:b/>
          <w:bCs/>
          <w:sz w:val="52"/>
          <w:szCs w:val="52"/>
        </w:rPr>
      </w:pPr>
    </w:p>
    <w:p w14:paraId="1A1705AB" w14:textId="5593EDCA" w:rsidR="001247CF" w:rsidRPr="00887108" w:rsidRDefault="001247CF" w:rsidP="004176F4">
      <w:pPr>
        <w:jc w:val="center"/>
        <w:rPr>
          <w:rFonts w:cs="Arial Narrow"/>
          <w:b/>
          <w:bCs/>
          <w:sz w:val="52"/>
          <w:szCs w:val="52"/>
        </w:rPr>
      </w:pPr>
    </w:p>
    <w:p w14:paraId="0041390E" w14:textId="3FF5D04A" w:rsidR="000F0786" w:rsidRDefault="000F0786">
      <w:bookmarkStart w:id="2" w:name="_Toc290035084"/>
      <w:bookmarkStart w:id="3" w:name="_Toc291580546"/>
      <w:bookmarkStart w:id="4" w:name="_Toc321211634"/>
      <w:bookmarkStart w:id="5" w:name="_Toc322707605"/>
      <w:bookmarkStart w:id="6" w:name="_Toc322708229"/>
      <w:bookmarkStart w:id="7" w:name="_Toc323117539"/>
      <w:bookmarkStart w:id="8" w:name="_Toc353804669"/>
      <w:bookmarkStart w:id="9" w:name="_Toc354477124"/>
      <w:bookmarkStart w:id="10" w:name="_Toc385764143"/>
      <w:bookmarkStart w:id="11" w:name="_Toc385951396"/>
      <w:bookmarkStart w:id="12" w:name="_Toc181078186"/>
      <w:bookmarkStart w:id="13" w:name="_Toc251855752"/>
    </w:p>
    <w:p w14:paraId="54448810" w14:textId="54769407" w:rsidR="00876448" w:rsidRDefault="00876448"/>
    <w:p w14:paraId="6419AB94" w14:textId="61D40A55" w:rsidR="00876448" w:rsidRDefault="00876448"/>
    <w:p w14:paraId="1E9D4EAD" w14:textId="7B3D09BB" w:rsidR="00876448" w:rsidRDefault="00876448"/>
    <w:p w14:paraId="5887E7C1" w14:textId="77777777" w:rsidR="00D40A70" w:rsidRDefault="00D40A70" w:rsidP="004F6B40">
      <w:pPr>
        <w:rPr>
          <w:color w:val="BFBFBF" w:themeColor="background1" w:themeShade="BF"/>
          <w:sz w:val="16"/>
          <w:szCs w:val="16"/>
        </w:rPr>
      </w:pPr>
    </w:p>
    <w:p w14:paraId="7461A35D" w14:textId="0D456E6A" w:rsidR="00D40A70" w:rsidRDefault="00D40A70"/>
    <w:p w14:paraId="61368FF2" w14:textId="77777777" w:rsidR="000F0786" w:rsidRPr="00887108" w:rsidRDefault="000F0786">
      <w:pPr>
        <w:rPr>
          <w:b/>
          <w:bCs/>
          <w:sz w:val="28"/>
        </w:rPr>
      </w:pPr>
      <w:r w:rsidRPr="00887108">
        <w:rPr>
          <w:b/>
          <w:noProof/>
        </w:rPr>
        <mc:AlternateContent>
          <mc:Choice Requires="wps">
            <w:drawing>
              <wp:anchor distT="0" distB="0" distL="114300" distR="114300" simplePos="0" relativeHeight="251660288" behindDoc="1" locked="0" layoutInCell="0" allowOverlap="1" wp14:anchorId="055A3305" wp14:editId="7803C470">
                <wp:simplePos x="0" y="0"/>
                <wp:positionH relativeFrom="page">
                  <wp:posOffset>3168650</wp:posOffset>
                </wp:positionH>
                <wp:positionV relativeFrom="page">
                  <wp:posOffset>8717915</wp:posOffset>
                </wp:positionV>
                <wp:extent cx="59055" cy="294640"/>
                <wp:effectExtent l="0" t="0" r="0" b="0"/>
                <wp:wrapNone/>
                <wp:docPr id="1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294640"/>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DB91EF" id="Rectangle 2" o:spid="_x0000_s1026" style="position:absolute;margin-left:249.5pt;margin-top:686.45pt;width:4.65pt;height:2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" o:allowincell="f" fillcolor="#37abe1" stroked="f">
                <v:path arrowok="t"/>
                <w10:wrap anchorx="page" anchory="page"/>
              </v:rect>
            </w:pict>
          </mc:Fallback>
        </mc:AlternateContent>
      </w:r>
      <w:r w:rsidRPr="00887108">
        <w:rPr>
          <w:b/>
          <w:noProof/>
          <w:sz w:val="20"/>
          <w:szCs w:val="20"/>
        </w:rPr>
        <mc:AlternateContent>
          <mc:Choice Requires="wps">
            <w:drawing>
              <wp:anchor distT="0" distB="0" distL="114300" distR="114300" simplePos="0" relativeHeight="251662336" behindDoc="0" locked="1" layoutInCell="1" allowOverlap="1" wp14:anchorId="491B032C" wp14:editId="6BAA8000">
                <wp:simplePos x="0" y="0"/>
                <wp:positionH relativeFrom="column">
                  <wp:posOffset>2351405</wp:posOffset>
                </wp:positionH>
                <wp:positionV relativeFrom="page">
                  <wp:posOffset>8711565</wp:posOffset>
                </wp:positionV>
                <wp:extent cx="1268730" cy="483870"/>
                <wp:effectExtent l="0" t="0" r="762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483870"/>
                        </a:xfrm>
                        <a:prstGeom prst="rect">
                          <a:avLst/>
                        </a:prstGeom>
                        <a:solidFill>
                          <a:srgbClr val="FFFFFF"/>
                        </a:solidFill>
                        <a:ln w="9525">
                          <a:noFill/>
                          <a:miter lim="800000"/>
                          <a:headEnd/>
                          <a:tailEnd/>
                        </a:ln>
                      </wps:spPr>
                      <wps:txbx>
                        <w:txbxContent>
                          <w:p w14:paraId="341B2F4F" w14:textId="532D55E7" w:rsidR="00CF774B" w:rsidRPr="001E0231" w:rsidRDefault="00CF774B" w:rsidP="000F0786">
                            <w:pPr>
                              <w:rPr>
                                <w:rFonts w:cstheme="minorHAnsi"/>
                                <w:sz w:val="32"/>
                              </w:rPr>
                            </w:pPr>
                            <w:r>
                              <w:rPr>
                                <w:rFonts w:cstheme="minorHAnsi"/>
                                <w:sz w:val="32"/>
                              </w:rPr>
                              <w:t>apríl</w:t>
                            </w:r>
                            <w:r w:rsidRPr="001E0231">
                              <w:rPr>
                                <w:rFonts w:cstheme="minorHAnsi"/>
                                <w:sz w:val="32"/>
                              </w:rPr>
                              <w:t xml:space="preserve"> </w:t>
                            </w:r>
                            <w:r>
                              <w:rPr>
                                <w:rFonts w:cstheme="minorHAnsi"/>
                                <w:sz w:val="32"/>
                              </w:rPr>
                              <w:t>202</w:t>
                            </w:r>
                            <w:r w:rsidR="00445A34">
                              <w:rPr>
                                <w:rFonts w:cstheme="minorHAnsi"/>
                                <w:sz w:val="32"/>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1B032C" id="_x0000_t202" coordsize="21600,21600" o:spt="202" path="m,l,21600r21600,l21600,xe">
                <v:stroke joinstyle="miter"/>
                <v:path gradientshapeok="t" o:connecttype="rect"/>
              </v:shapetype>
              <v:shape id="Text Box 2" o:spid="_x0000_s1026" type="#_x0000_t202" style="position:absolute;margin-left:185.15pt;margin-top:685.95pt;width:99.9pt;height:3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" stroked="f">
                <v:textbox>
                  <w:txbxContent>
                    <w:p w14:paraId="341B2F4F" w14:textId="532D55E7" w:rsidR="00CF774B" w:rsidRPr="001E0231" w:rsidRDefault="00CF774B" w:rsidP="000F0786">
                      <w:pPr>
                        <w:rPr>
                          <w:rFonts w:cstheme="minorHAnsi"/>
                          <w:sz w:val="32"/>
                        </w:rPr>
                      </w:pPr>
                      <w:r>
                        <w:rPr>
                          <w:rFonts w:cstheme="minorHAnsi"/>
                          <w:sz w:val="32"/>
                        </w:rPr>
                        <w:t>apríl</w:t>
                      </w:r>
                      <w:r w:rsidRPr="001E0231">
                        <w:rPr>
                          <w:rFonts w:cstheme="minorHAnsi"/>
                          <w:sz w:val="32"/>
                        </w:rPr>
                        <w:t xml:space="preserve"> </w:t>
                      </w:r>
                      <w:r>
                        <w:rPr>
                          <w:rFonts w:cstheme="minorHAnsi"/>
                          <w:sz w:val="32"/>
                        </w:rPr>
                        <w:t>202</w:t>
                      </w:r>
                      <w:r w:rsidR="00445A34">
                        <w:rPr>
                          <w:rFonts w:cstheme="minorHAnsi"/>
                          <w:sz w:val="32"/>
                        </w:rPr>
                        <w:t>4</w:t>
                      </w:r>
                    </w:p>
                  </w:txbxContent>
                </v:textbox>
                <w10:wrap anchory="page"/>
                <w10:anchorlock/>
              </v:shape>
            </w:pict>
          </mc:Fallback>
        </mc:AlternateContent>
      </w:r>
      <w:r w:rsidRPr="00887108">
        <w:br w:type="page"/>
      </w:r>
    </w:p>
    <w:p w14:paraId="036E5EA0" w14:textId="25180E88" w:rsidR="00E37FF5" w:rsidRPr="00677F16" w:rsidRDefault="00330ADF" w:rsidP="00677F16">
      <w:pPr>
        <w:pStyle w:val="Zoznamobrzkov"/>
        <w:tabs>
          <w:tab w:val="right" w:leader="dot" w:pos="9063"/>
        </w:tabs>
        <w:spacing w:line="259" w:lineRule="auto"/>
        <w:rPr>
          <w:rFonts w:cs="Arial Narrow"/>
          <w:b/>
          <w:color w:val="2C9ADC"/>
          <w:sz w:val="28"/>
          <w:szCs w:val="28"/>
        </w:rPr>
      </w:pPr>
      <w:bookmarkStart w:id="14" w:name="_Toc449429093"/>
      <w:bookmarkStart w:id="15" w:name="_Toc480443981"/>
      <w:bookmarkStart w:id="16" w:name="_Toc480444318"/>
      <w:bookmarkStart w:id="17" w:name="_Toc480444486"/>
      <w:bookmarkStart w:id="18" w:name="_Toc416943996"/>
      <w:r w:rsidRPr="00FB3B9B">
        <w:rPr>
          <w:rFonts w:cs="Arial Narrow"/>
          <w:b/>
          <w:color w:val="2C9ADC"/>
          <w:sz w:val="28"/>
          <w:szCs w:val="28"/>
        </w:rPr>
        <w:lastRenderedPageBreak/>
        <w:t>Zhrnutie</w:t>
      </w:r>
    </w:p>
    <w:p w14:paraId="0F1A8944" w14:textId="0A5C537B" w:rsidR="00330ADF" w:rsidRPr="00627FDF" w:rsidRDefault="00330ADF" w:rsidP="00677F16">
      <w:pPr>
        <w:spacing w:before="120" w:line="228" w:lineRule="auto"/>
        <w:jc w:val="both"/>
      </w:pPr>
      <w:r w:rsidRPr="001A70F6">
        <w:rPr>
          <w:b/>
        </w:rPr>
        <w:t>Program stability Slovenska počíta v najbližších rokoch s priemerným rastom ekonomiky mierne nad 2</w:t>
      </w:r>
      <w:r w:rsidR="00235246">
        <w:rPr>
          <w:b/>
        </w:rPr>
        <w:t xml:space="preserve"> </w:t>
      </w:r>
      <w:r w:rsidRPr="001A70F6">
        <w:rPr>
          <w:b/>
        </w:rPr>
        <w:t xml:space="preserve">%, približne na úrovni svojho strednodobého potenciálu. </w:t>
      </w:r>
      <w:r w:rsidRPr="001A70F6">
        <w:t xml:space="preserve">V roku 2024 dosiahne reálny rast </w:t>
      </w:r>
      <w:r w:rsidR="0095262A">
        <w:t>ekonomiky</w:t>
      </w:r>
      <w:r w:rsidRPr="001A70F6">
        <w:t xml:space="preserve"> 2 %, čo bude podporované ustupujúcou infláciou a oživením nákupnej sily obyvateľov. Silný rast reálnych miezd povedie k zvýšeniu spotreby domácností, ktorá bude hnacou silou obnovy domáceho dopytu. Pokles čerpania fondov</w:t>
      </w:r>
      <w:r w:rsidR="00433D8A">
        <w:t xml:space="preserve"> EÚ</w:t>
      </w:r>
      <w:r w:rsidRPr="001A70F6">
        <w:t>, z dôvodu ukončenia III. programového obdobia, bud</w:t>
      </w:r>
      <w:r w:rsidR="004F5F40">
        <w:t>e</w:t>
      </w:r>
      <w:r w:rsidRPr="001A70F6">
        <w:t xml:space="preserve"> nahraden</w:t>
      </w:r>
      <w:r w:rsidR="004F5F40">
        <w:t>ý</w:t>
      </w:r>
      <w:r w:rsidRPr="001A70F6">
        <w:t xml:space="preserve"> silnejšou realizáciou projektov Plánu obnovy a odolnosti. Zahraničný obchod sa odrazí od dna a nálada vo svetovej ekonomike sa pomaly zlepší, čo zrýchli slovenský export. Slovenskú ekonomiku budú posúvať vpred od roku 2026 aj vyššie exportné kapacity automobilového priemyslu. </w:t>
      </w:r>
      <w:r w:rsidR="00F71761">
        <w:t>R</w:t>
      </w:r>
      <w:r w:rsidRPr="001A70F6">
        <w:t xml:space="preserve">eálny rast </w:t>
      </w:r>
      <w:r w:rsidR="00F71761">
        <w:t>sa teda v roku 2025 ešte zrýchl</w:t>
      </w:r>
      <w:r w:rsidR="006370DF">
        <w:t>i</w:t>
      </w:r>
      <w:r w:rsidR="00F71761">
        <w:t xml:space="preserve"> na </w:t>
      </w:r>
      <w:r w:rsidRPr="001A70F6">
        <w:t> očakávaných 3,1</w:t>
      </w:r>
      <w:r w:rsidR="00235246">
        <w:t xml:space="preserve"> </w:t>
      </w:r>
      <w:r w:rsidRPr="001A70F6">
        <w:t xml:space="preserve">% </w:t>
      </w:r>
      <w:r w:rsidR="00F71761">
        <w:t>vďaka kulmináci</w:t>
      </w:r>
      <w:r w:rsidR="00F62AAD">
        <w:t>i</w:t>
      </w:r>
      <w:r w:rsidR="00F71761">
        <w:t xml:space="preserve"> prílivu fondov z</w:t>
      </w:r>
      <w:r w:rsidR="006370DF">
        <w:t> Plánu obnovy a odolnosti</w:t>
      </w:r>
      <w:r w:rsidR="00F71761">
        <w:t xml:space="preserve"> do ekonomiky</w:t>
      </w:r>
      <w:r w:rsidR="00F62AAD">
        <w:t>.</w:t>
      </w:r>
      <w:r w:rsidR="00F71761">
        <w:t xml:space="preserve"> V ďalších rokoch sa rast zmierni </w:t>
      </w:r>
      <w:r w:rsidR="00F23012">
        <w:t>v priem</w:t>
      </w:r>
      <w:r w:rsidR="00EB12D1">
        <w:t>e</w:t>
      </w:r>
      <w:r w:rsidR="00F23012">
        <w:t>re na</w:t>
      </w:r>
      <w:r w:rsidR="00F71761">
        <w:t xml:space="preserve"> </w:t>
      </w:r>
      <w:r w:rsidRPr="001A70F6">
        <w:t>2</w:t>
      </w:r>
      <w:r w:rsidR="00235246">
        <w:t xml:space="preserve"> </w:t>
      </w:r>
      <w:r w:rsidRPr="001A70F6">
        <w:t>%. Inflácia v budúcom roku ešte mierne narastie</w:t>
      </w:r>
      <w:r w:rsidR="00F62AAD">
        <w:t>,</w:t>
      </w:r>
      <w:r w:rsidRPr="001A70F6">
        <w:t xml:space="preserve"> no následne by mala klesnúť bližšie k svojmu cieľu </w:t>
      </w:r>
      <w:r w:rsidR="00627FDF">
        <w:t xml:space="preserve">rastu cien o </w:t>
      </w:r>
      <w:r w:rsidRPr="001A70F6">
        <w:t>2</w:t>
      </w:r>
      <w:r w:rsidR="00235246">
        <w:t xml:space="preserve"> </w:t>
      </w:r>
      <w:r w:rsidRPr="001A70F6">
        <w:t xml:space="preserve">%. Trh práce bude na celom horizonte prognózy obmedzovať nedostatok pracovnej sily. Riziká prognózy sú najmä na negatívnej strane, </w:t>
      </w:r>
      <w:r w:rsidR="00BC6FE6">
        <w:t>keďže</w:t>
      </w:r>
      <w:r w:rsidRPr="001A70F6">
        <w:t xml:space="preserve"> ruská invázia pretrváva, čo môže opäť</w:t>
      </w:r>
      <w:r w:rsidR="00F71761">
        <w:t xml:space="preserve"> rozkolísať</w:t>
      </w:r>
      <w:r w:rsidR="00F71761" w:rsidRPr="001A70F6">
        <w:t xml:space="preserve"> </w:t>
      </w:r>
      <w:r w:rsidRPr="001A70F6">
        <w:t>ceny energií a potravín.</w:t>
      </w:r>
    </w:p>
    <w:p w14:paraId="0810BF70" w14:textId="4DCC8FAD" w:rsidR="00330ADF" w:rsidRPr="001A70F6" w:rsidRDefault="00330ADF" w:rsidP="00677F16">
      <w:pPr>
        <w:spacing w:before="120" w:line="228" w:lineRule="auto"/>
        <w:jc w:val="both"/>
      </w:pPr>
      <w:bookmarkStart w:id="19" w:name="_Hlk164667327"/>
      <w:r w:rsidRPr="001A70F6">
        <w:rPr>
          <w:b/>
        </w:rPr>
        <w:t>Schodok hospodárenia verejnej správy sa po pandemickej</w:t>
      </w:r>
      <w:r w:rsidR="00BC6FE6">
        <w:rPr>
          <w:b/>
        </w:rPr>
        <w:t xml:space="preserve"> kríze</w:t>
      </w:r>
      <w:r w:rsidRPr="001A70F6">
        <w:rPr>
          <w:b/>
        </w:rPr>
        <w:t xml:space="preserve">, energetickej kríze a prijatí viacerých trvalých opatrení </w:t>
      </w:r>
      <w:r w:rsidR="00BD6E6C">
        <w:rPr>
          <w:b/>
        </w:rPr>
        <w:t xml:space="preserve">v roku 2024 </w:t>
      </w:r>
      <w:r w:rsidR="006370DF">
        <w:rPr>
          <w:b/>
        </w:rPr>
        <w:t>nachádza</w:t>
      </w:r>
      <w:r w:rsidRPr="001A70F6">
        <w:rPr>
          <w:b/>
        </w:rPr>
        <w:t xml:space="preserve"> na úrovni takmer 6 % HDP. </w:t>
      </w:r>
      <w:r w:rsidRPr="001A70F6">
        <w:t>Po tom, čo sa v minulom roku naplno prejavil inflačný šok</w:t>
      </w:r>
      <w:r w:rsidR="00F71761">
        <w:t xml:space="preserve"> aj </w:t>
      </w:r>
      <w:r w:rsidR="00E0691B">
        <w:t>na</w:t>
      </w:r>
      <w:r w:rsidR="00F71761">
        <w:t xml:space="preserve"> výdavko</w:t>
      </w:r>
      <w:r w:rsidR="00E0691B">
        <w:t>ch</w:t>
      </w:r>
      <w:r w:rsidRPr="001A70F6">
        <w:t>, deficit vzrástol medziročne z 1,7</w:t>
      </w:r>
      <w:r w:rsidR="00BC6FE6">
        <w:t xml:space="preserve"> </w:t>
      </w:r>
      <w:r w:rsidR="0095262A">
        <w:t>%</w:t>
      </w:r>
      <w:r w:rsidRPr="001A70F6">
        <w:t xml:space="preserve"> </w:t>
      </w:r>
      <w:r w:rsidR="0095262A">
        <w:t xml:space="preserve">v 2022 </w:t>
      </w:r>
      <w:r w:rsidRPr="001A70F6">
        <w:t>na 4,9 % HDP</w:t>
      </w:r>
      <w:r w:rsidR="0095262A">
        <w:t xml:space="preserve"> v 2023</w:t>
      </w:r>
      <w:r w:rsidRPr="001A70F6">
        <w:t>. Výdavková strana narástla najmä pod vplyvom opatrení, ktoré mali za cieľ chrániť domácnosti a firmy pred výrazným nárastom cien energií. Rast výdavkov potiahli aj viaceré trvalé opatrenia. Napríklad dvojitá valorizácia miezd zamestnancov verejnej správy, navýšenie dôchodkov, výdavk</w:t>
      </w:r>
      <w:r w:rsidR="00F62AAD">
        <w:t>ov</w:t>
      </w:r>
      <w:r w:rsidRPr="001A70F6">
        <w:t xml:space="preserve"> na podporu rodinnej politiky či skokový rast miezd v zdravotníctve.</w:t>
      </w:r>
      <w:r w:rsidR="006370DF">
        <w:t xml:space="preserve"> </w:t>
      </w:r>
      <w:r w:rsidR="0095262A">
        <w:t>Aj v</w:t>
      </w:r>
      <w:r w:rsidR="006370DF">
        <w:t xml:space="preserve"> tomto</w:t>
      </w:r>
      <w:r w:rsidR="00D26B01">
        <w:t xml:space="preserve"> roku </w:t>
      </w:r>
      <w:r w:rsidR="00D26B01" w:rsidRPr="001A70F6">
        <w:t xml:space="preserve">rastú </w:t>
      </w:r>
      <w:r w:rsidRPr="001A70F6">
        <w:t xml:space="preserve">príjmy </w:t>
      </w:r>
      <w:r w:rsidR="0095262A">
        <w:t>pomalším</w:t>
      </w:r>
      <w:r w:rsidRPr="001A70F6">
        <w:t xml:space="preserve"> tempom v porovnaní s výdavkami. </w:t>
      </w:r>
      <w:r w:rsidR="00F62AAD">
        <w:t>Pomalší</w:t>
      </w:r>
      <w:r w:rsidRPr="001A70F6">
        <w:t xml:space="preserve"> rast príjmov </w:t>
      </w:r>
      <w:r w:rsidR="0095262A">
        <w:t>aj po</w:t>
      </w:r>
      <w:r w:rsidR="0095262A" w:rsidRPr="001A70F6">
        <w:t xml:space="preserve"> zohľadnení konsolidačného balí</w:t>
      </w:r>
      <w:r w:rsidR="00C127C5">
        <w:t>ka</w:t>
      </w:r>
      <w:r w:rsidR="0095262A" w:rsidRPr="001A70F6">
        <w:t xml:space="preserve"> </w:t>
      </w:r>
      <w:r w:rsidRPr="001A70F6">
        <w:t xml:space="preserve">spôsobuje najmä </w:t>
      </w:r>
      <w:r w:rsidR="00F62AAD" w:rsidRPr="001A70F6">
        <w:t>pozvoľnejší</w:t>
      </w:r>
      <w:r w:rsidRPr="001A70F6">
        <w:t xml:space="preserve"> rast DPH, </w:t>
      </w:r>
      <w:r w:rsidRPr="001A70F6">
        <w:rPr>
          <w:color w:val="000000"/>
        </w:rPr>
        <w:t>spotrebných daní</w:t>
      </w:r>
      <w:r w:rsidR="00F308E6">
        <w:rPr>
          <w:color w:val="000000"/>
        </w:rPr>
        <w:t>,</w:t>
      </w:r>
      <w:r w:rsidRPr="001A70F6">
        <w:rPr>
          <w:color w:val="000000"/>
        </w:rPr>
        <w:t xml:space="preserve"> ako aj pokles dočasných príjmov zo zdanenia nadziskov</w:t>
      </w:r>
      <w:r w:rsidRPr="001A70F6">
        <w:t>. Naopak, výdavky sú ťahané silným rastom nákladov na obranu, zdravotníctvo, sociálnymi výdavkami a tiež výdavkami na obsluhu štátneho dlhu. Deficit by sa však mal udržať v súlade s plánom rozpočtu pod 6 % HDP, pričom tento vývoj je aj v súlade s odporúčaním Európskej komisie na rok 2024.</w:t>
      </w:r>
    </w:p>
    <w:bookmarkEnd w:id="19"/>
    <w:p w14:paraId="058CD4FA" w14:textId="3BB0C1C8" w:rsidR="00330ADF" w:rsidRPr="001A70F6" w:rsidRDefault="00330ADF" w:rsidP="00677F16">
      <w:pPr>
        <w:spacing w:before="120" w:line="228" w:lineRule="auto"/>
        <w:jc w:val="both"/>
      </w:pPr>
      <w:r w:rsidRPr="001A70F6">
        <w:rPr>
          <w:b/>
        </w:rPr>
        <w:t>V kontexte záväzku programového vyhlásenia vlády stabilizovať nepriaznivý trend vývoja dlhu sa v Programe stability zachováva plán znižovania deficitu hospodárenia približne o</w:t>
      </w:r>
      <w:r w:rsidRPr="001A70F6">
        <w:rPr>
          <w:rFonts w:ascii="Arial" w:hAnsi="Arial" w:cs="Arial"/>
          <w:b/>
        </w:rPr>
        <w:t> </w:t>
      </w:r>
      <w:r w:rsidRPr="001A70F6">
        <w:rPr>
          <w:b/>
        </w:rPr>
        <w:t>1 % HDP ročne.</w:t>
      </w:r>
      <w:r w:rsidRPr="001A70F6">
        <w:rPr>
          <w:bCs/>
          <w:iCs/>
          <w:sz w:val="24"/>
          <w:szCs w:val="24"/>
        </w:rPr>
        <w:t xml:space="preserve"> </w:t>
      </w:r>
      <w:r w:rsidRPr="001A70F6">
        <w:t>Plánovaný postupný pokles schodku pod 3 % HDP do konca volebného obdobia zabezpečí vystúpenie z</w:t>
      </w:r>
      <w:r w:rsidRPr="001A70F6">
        <w:rPr>
          <w:rFonts w:ascii="Arial" w:hAnsi="Arial" w:cs="Arial"/>
        </w:rPr>
        <w:t> </w:t>
      </w:r>
      <w:r w:rsidRPr="001A70F6">
        <w:t xml:space="preserve">očakávanej procedúry nadmerného deficitu. Zároveň sa tak stabilizuje </w:t>
      </w:r>
      <w:r w:rsidR="00F71761">
        <w:t xml:space="preserve">vývoj dlhu, ktorý by </w:t>
      </w:r>
      <w:r w:rsidRPr="001A70F6">
        <w:t xml:space="preserve">v opačnom prípade </w:t>
      </w:r>
      <w:r w:rsidR="00F71761">
        <w:t>mal na</w:t>
      </w:r>
      <w:r w:rsidRPr="001A70F6">
        <w:t>ďalej rastúci trend až k</w:t>
      </w:r>
      <w:r w:rsidR="00ED298D">
        <w:t> </w:t>
      </w:r>
      <w:r w:rsidRPr="001A70F6">
        <w:t>70</w:t>
      </w:r>
      <w:r w:rsidR="00ED298D">
        <w:t xml:space="preserve"> </w:t>
      </w:r>
      <w:r w:rsidRPr="001A70F6">
        <w:t>% HDP. V rozpočte sú na budúci rok už zahrnuté viaceré konsolidačné opatrenia, ako napríklad stiahnutie opatrení na zmiernenie rastu cien energií či plánované tlmenie rastu miezd verejných zamestnancov. Vláda</w:t>
      </w:r>
      <w:r w:rsidR="00E0691B">
        <w:t xml:space="preserve"> tiež</w:t>
      </w:r>
      <w:r w:rsidRPr="001A70F6">
        <w:t xml:space="preserve"> ohlásila zámer zaviesť novú daň zo sladených nápojov a výraznejšie zdanenie tabakových výrobkov. </w:t>
      </w:r>
      <w:r w:rsidR="006370DF">
        <w:t>N</w:t>
      </w:r>
      <w:r w:rsidR="00D26B01">
        <w:t>a základe súčasných predpokladov</w:t>
      </w:r>
      <w:r w:rsidR="006370DF">
        <w:t xml:space="preserve"> je</w:t>
      </w:r>
      <w:r w:rsidRPr="001A70F6">
        <w:t xml:space="preserve"> na pokles deficitu pod 3 % HDP </w:t>
      </w:r>
      <w:r w:rsidR="006370DF">
        <w:t xml:space="preserve">potrebné </w:t>
      </w:r>
      <w:r w:rsidRPr="001A70F6">
        <w:t>prijať</w:t>
      </w:r>
      <w:r w:rsidR="006370DF">
        <w:t xml:space="preserve"> d</w:t>
      </w:r>
      <w:r w:rsidR="006370DF" w:rsidRPr="001A70F6">
        <w:t xml:space="preserve">o konca volebného obdobia </w:t>
      </w:r>
      <w:r w:rsidRPr="001A70F6">
        <w:t>úspory v</w:t>
      </w:r>
      <w:r w:rsidR="006370DF">
        <w:t xml:space="preserve"> celkovom </w:t>
      </w:r>
      <w:r w:rsidRPr="001A70F6">
        <w:t>objeme 2,6 % HDP, teda 3,9 mld. eur. Navrhované ciele sú v súlade aj s reformovanými európskymi fiškálnymi pravidlami, ktoré stanovujú limit na rast tzv. čistých výdavkov.</w:t>
      </w:r>
    </w:p>
    <w:p w14:paraId="7102DAAB" w14:textId="77777777" w:rsidR="00312206" w:rsidRPr="00FB3B9B" w:rsidRDefault="00312206" w:rsidP="00330ADF">
      <w:pPr>
        <w:jc w:val="both"/>
        <w:rPr>
          <w:sz w:val="20"/>
          <w:szCs w:val="20"/>
        </w:rPr>
      </w:pPr>
    </w:p>
    <w:tbl>
      <w:tblPr>
        <w:tblW w:w="5107"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491"/>
        <w:gridCol w:w="164"/>
        <w:gridCol w:w="4479"/>
        <w:gridCol w:w="130"/>
      </w:tblGrid>
      <w:tr w:rsidR="00330ADF" w:rsidRPr="00F2141F" w14:paraId="3AEDFBCE" w14:textId="77777777" w:rsidTr="006370DF">
        <w:trPr>
          <w:trHeight w:val="103"/>
          <w:jc w:val="center"/>
        </w:trPr>
        <w:tc>
          <w:tcPr>
            <w:tcW w:w="4491" w:type="dxa"/>
            <w:tcBorders>
              <w:top w:val="nil"/>
              <w:left w:val="nil"/>
              <w:bottom w:val="single" w:sz="4" w:space="0" w:color="000000"/>
              <w:right w:val="nil"/>
            </w:tcBorders>
            <w:shd w:val="clear" w:color="auto" w:fill="auto"/>
          </w:tcPr>
          <w:p w14:paraId="06D33186" w14:textId="7B855FCC" w:rsidR="00330ADF" w:rsidRPr="00F2141F" w:rsidRDefault="00330ADF" w:rsidP="00664E8C">
            <w:pPr>
              <w:pStyle w:val="Graf"/>
              <w:spacing w:after="0"/>
              <w:rPr>
                <w:highlight w:val="yellow"/>
              </w:rPr>
            </w:pPr>
            <w:r w:rsidRPr="00771FC1">
              <w:t>Deficit hospodárenia verejnej správy</w:t>
            </w:r>
            <w:r>
              <w:t xml:space="preserve"> v % HDP</w:t>
            </w:r>
            <w:r w:rsidR="00F71761">
              <w:t xml:space="preserve"> </w:t>
            </w:r>
          </w:p>
        </w:tc>
        <w:tc>
          <w:tcPr>
            <w:tcW w:w="164" w:type="dxa"/>
            <w:tcBorders>
              <w:top w:val="nil"/>
              <w:left w:val="nil"/>
              <w:bottom w:val="nil"/>
              <w:right w:val="nil"/>
            </w:tcBorders>
            <w:shd w:val="clear" w:color="auto" w:fill="auto"/>
          </w:tcPr>
          <w:p w14:paraId="6F1F85B8" w14:textId="77777777" w:rsidR="00330ADF" w:rsidRPr="00F2141F" w:rsidRDefault="00330ADF" w:rsidP="00664E8C">
            <w:pPr>
              <w:pStyle w:val="Graf"/>
              <w:spacing w:after="0"/>
              <w:rPr>
                <w:highlight w:val="yellow"/>
              </w:rPr>
            </w:pPr>
          </w:p>
        </w:tc>
        <w:tc>
          <w:tcPr>
            <w:tcW w:w="4609" w:type="dxa"/>
            <w:gridSpan w:val="2"/>
            <w:tcBorders>
              <w:top w:val="nil"/>
              <w:left w:val="nil"/>
              <w:bottom w:val="single" w:sz="4" w:space="0" w:color="000000"/>
              <w:right w:val="nil"/>
            </w:tcBorders>
            <w:shd w:val="clear" w:color="auto" w:fill="auto"/>
          </w:tcPr>
          <w:p w14:paraId="2759CBD9" w14:textId="41E718AD" w:rsidR="00330ADF" w:rsidRPr="001C5173" w:rsidRDefault="00330ADF" w:rsidP="00664E8C">
            <w:pPr>
              <w:pStyle w:val="Graf"/>
              <w:spacing w:after="0"/>
            </w:pPr>
            <w:r w:rsidRPr="001C5173">
              <w:t>Hrubý dlh v % HDP</w:t>
            </w:r>
          </w:p>
        </w:tc>
      </w:tr>
      <w:tr w:rsidR="00330ADF" w:rsidRPr="00507DCF" w14:paraId="022E7956" w14:textId="77777777" w:rsidTr="006370DF">
        <w:trPr>
          <w:trHeight w:val="3773"/>
          <w:jc w:val="center"/>
        </w:trPr>
        <w:tc>
          <w:tcPr>
            <w:tcW w:w="4491" w:type="dxa"/>
            <w:tcBorders>
              <w:top w:val="single" w:sz="4" w:space="0" w:color="000000"/>
              <w:left w:val="nil"/>
              <w:bottom w:val="single" w:sz="4" w:space="0" w:color="auto"/>
              <w:right w:val="nil"/>
            </w:tcBorders>
            <w:shd w:val="clear" w:color="auto" w:fill="auto"/>
          </w:tcPr>
          <w:p w14:paraId="56E1DB9C" w14:textId="2D58B246" w:rsidR="00330ADF" w:rsidRPr="00F2141F" w:rsidRDefault="00D844FC" w:rsidP="00664E8C">
            <w:pPr>
              <w:pStyle w:val="Graf"/>
              <w:spacing w:after="0"/>
              <w:rPr>
                <w:highlight w:val="yellow"/>
              </w:rPr>
            </w:pPr>
            <w:r>
              <w:rPr>
                <w:noProof/>
                <w:lang w:eastAsia="sk-SK"/>
              </w:rPr>
              <w:drawing>
                <wp:inline distT="0" distB="0" distL="0" distR="0" wp14:anchorId="3EBBFCB3" wp14:editId="7DCB0E50">
                  <wp:extent cx="2762885" cy="2260121"/>
                  <wp:effectExtent l="0" t="0" r="0" b="6985"/>
                  <wp:docPr id="2" name="Graf 2">
                    <a:extLst xmlns:a="http://schemas.openxmlformats.org/drawingml/2006/main">
                      <a:ext uri="{FF2B5EF4-FFF2-40B4-BE49-F238E27FC236}">
                        <a16:creationId xmlns:a16="http://schemas.microsoft.com/office/drawing/2014/main" id="{976F149D-A046-4F51-A4EE-5E5E6173A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164" w:type="dxa"/>
            <w:tcBorders>
              <w:top w:val="nil"/>
              <w:left w:val="nil"/>
              <w:bottom w:val="single" w:sz="4" w:space="0" w:color="auto"/>
              <w:right w:val="nil"/>
            </w:tcBorders>
            <w:shd w:val="clear" w:color="auto" w:fill="auto"/>
          </w:tcPr>
          <w:p w14:paraId="31B2DE58" w14:textId="77777777" w:rsidR="00330ADF" w:rsidRPr="00F2141F" w:rsidRDefault="00330ADF" w:rsidP="00664E8C">
            <w:pPr>
              <w:pStyle w:val="Graf"/>
              <w:spacing w:after="0"/>
              <w:rPr>
                <w:highlight w:val="yellow"/>
              </w:rPr>
            </w:pPr>
          </w:p>
        </w:tc>
        <w:tc>
          <w:tcPr>
            <w:tcW w:w="4609" w:type="dxa"/>
            <w:gridSpan w:val="2"/>
            <w:tcBorders>
              <w:top w:val="nil"/>
              <w:left w:val="nil"/>
              <w:bottom w:val="single" w:sz="4" w:space="0" w:color="auto"/>
              <w:right w:val="nil"/>
            </w:tcBorders>
            <w:shd w:val="clear" w:color="auto" w:fill="auto"/>
          </w:tcPr>
          <w:p w14:paraId="3608944F" w14:textId="08D74C55" w:rsidR="00330ADF" w:rsidRPr="00507DCF" w:rsidRDefault="007B65B1" w:rsidP="00CE4439">
            <w:pPr>
              <w:pStyle w:val="Graf"/>
              <w:spacing w:after="0"/>
            </w:pPr>
            <w:r>
              <w:rPr>
                <w:noProof/>
                <w:lang w:eastAsia="sk-SK"/>
              </w:rPr>
              <w:drawing>
                <wp:inline distT="0" distB="0" distL="0" distR="0" wp14:anchorId="4698133F" wp14:editId="005FF317">
                  <wp:extent cx="2837815" cy="2419200"/>
                  <wp:effectExtent l="0" t="0" r="0" b="0"/>
                  <wp:docPr id="5" name="Graf 5">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6370DF" w:rsidRPr="00EA7053" w14:paraId="3D57E5CE" w14:textId="77777777" w:rsidTr="006370D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30" w:type="dxa"/>
          <w:trHeight w:val="270"/>
        </w:trPr>
        <w:tc>
          <w:tcPr>
            <w:tcW w:w="9134" w:type="dxa"/>
            <w:gridSpan w:val="3"/>
            <w:tcBorders>
              <w:top w:val="single" w:sz="8" w:space="0" w:color="auto"/>
              <w:left w:val="nil"/>
              <w:bottom w:val="nil"/>
              <w:right w:val="nil"/>
            </w:tcBorders>
            <w:shd w:val="clear" w:color="auto" w:fill="auto"/>
            <w:vAlign w:val="center"/>
            <w:hideMark/>
          </w:tcPr>
          <w:p w14:paraId="6F2D7113" w14:textId="77777777" w:rsidR="006370DF" w:rsidRPr="00EA7053" w:rsidRDefault="006370DF" w:rsidP="00F12DB1">
            <w:pPr>
              <w:jc w:val="right"/>
              <w:rPr>
                <w:rFonts w:cs="Calibri"/>
                <w:i/>
                <w:iCs/>
                <w:color w:val="000000"/>
                <w:sz w:val="18"/>
                <w:szCs w:val="18"/>
              </w:rPr>
            </w:pPr>
            <w:bookmarkStart w:id="20" w:name="_Toc417646979"/>
            <w:bookmarkStart w:id="21" w:name="_Toc417907415"/>
            <w:bookmarkStart w:id="22" w:name="_Toc449429089"/>
            <w:bookmarkStart w:id="23" w:name="_Toc449430088"/>
            <w:bookmarkStart w:id="24" w:name="_Toc480443979"/>
            <w:bookmarkStart w:id="25" w:name="_Toc480444316"/>
            <w:bookmarkStart w:id="26" w:name="_Toc480444484"/>
            <w:bookmarkStart w:id="27" w:name="_Toc70700319"/>
            <w:bookmarkStart w:id="28" w:name="_Toc71026875"/>
            <w:bookmarkStart w:id="29" w:name="_Toc101880445"/>
            <w:bookmarkStart w:id="30" w:name="_Toc101880653"/>
            <w:bookmarkStart w:id="31" w:name="_Toc164424023"/>
            <w:bookmarkStart w:id="32" w:name="_Toc164424251"/>
            <w:bookmarkStart w:id="33" w:name="_Toc164425298"/>
            <w:bookmarkStart w:id="34" w:name="_Toc101606045"/>
            <w:r w:rsidRPr="00664E8C">
              <w:rPr>
                <w:rFonts w:cs="Calibri"/>
                <w:i/>
                <w:iCs/>
                <w:color w:val="000000"/>
                <w:sz w:val="16"/>
                <w:szCs w:val="16"/>
              </w:rPr>
              <w:t xml:space="preserve">Zdroj: MF SR                                                                                                       </w:t>
            </w:r>
          </w:p>
        </w:tc>
      </w:tr>
    </w:tbl>
    <w:p w14:paraId="78926909" w14:textId="77777777" w:rsidR="00CE4439" w:rsidRDefault="00CE4439" w:rsidP="00315902">
      <w:pPr>
        <w:pStyle w:val="Nadpis1"/>
        <w:rPr>
          <w:color w:val="2C9ADC"/>
        </w:rPr>
      </w:pPr>
    </w:p>
    <w:p w14:paraId="59241C3C" w14:textId="663A3543" w:rsidR="00AB1D4F" w:rsidRPr="00AB1D4F" w:rsidRDefault="00315902" w:rsidP="00AB1D4F">
      <w:pPr>
        <w:pStyle w:val="Nadpis1"/>
        <w:rPr>
          <w:noProof/>
          <w:color w:val="2C9ADC"/>
        </w:rPr>
      </w:pPr>
      <w:bookmarkStart w:id="35" w:name="_Toc164671337"/>
      <w:bookmarkStart w:id="36" w:name="_Toc164684476"/>
      <w:r w:rsidRPr="00887108">
        <w:rPr>
          <w:color w:val="2C9ADC"/>
        </w:rPr>
        <w:t>OBSAH</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5"/>
      <w:bookmarkEnd w:id="36"/>
      <w:r w:rsidRPr="0009453F">
        <w:rPr>
          <w:rFonts w:cs="Arial Narrow"/>
          <w:bCs w:val="0"/>
          <w:noProof/>
        </w:rPr>
        <w:fldChar w:fldCharType="begin"/>
      </w:r>
      <w:r w:rsidRPr="0009453F">
        <w:instrText xml:space="preserve"> TOC \o "1-2" \h \z \u </w:instrText>
      </w:r>
      <w:r w:rsidRPr="0009453F">
        <w:rPr>
          <w:rFonts w:cs="Arial Narrow"/>
          <w:bCs w:val="0"/>
          <w:noProof/>
        </w:rPr>
        <w:fldChar w:fldCharType="separate"/>
      </w:r>
      <w:bookmarkEnd w:id="34"/>
    </w:p>
    <w:p w14:paraId="595C10E6" w14:textId="01473E4D" w:rsidR="00AB1D4F" w:rsidRDefault="00AB1D4F">
      <w:pPr>
        <w:pStyle w:val="Obsah1"/>
        <w:rPr>
          <w:rFonts w:asciiTheme="minorHAnsi" w:eastAsiaTheme="minorEastAsia" w:hAnsiTheme="minorHAnsi" w:cstheme="minorBidi"/>
          <w:b w:val="0"/>
        </w:rPr>
      </w:pPr>
    </w:p>
    <w:p w14:paraId="3C011EFF" w14:textId="7E970831" w:rsidR="00AB1D4F" w:rsidRDefault="00BC482A">
      <w:pPr>
        <w:pStyle w:val="Obsah1"/>
        <w:rPr>
          <w:rFonts w:asciiTheme="minorHAnsi" w:eastAsiaTheme="minorEastAsia" w:hAnsiTheme="minorHAnsi" w:cstheme="minorBidi"/>
          <w:b w:val="0"/>
        </w:rPr>
      </w:pPr>
      <w:hyperlink w:anchor="_Toc164684478" w:history="1">
        <w:r w:rsidR="00AB1D4F" w:rsidRPr="00820CAE">
          <w:rPr>
            <w:rStyle w:val="Hypertextovprepojenie"/>
            <w:rFonts w:cs="Arial Narrow"/>
          </w:rPr>
          <w:t>I.</w:t>
        </w:r>
        <w:r w:rsidR="00AB1D4F">
          <w:rPr>
            <w:rFonts w:asciiTheme="minorHAnsi" w:eastAsiaTheme="minorEastAsia" w:hAnsiTheme="minorHAnsi" w:cstheme="minorBidi"/>
            <w:b w:val="0"/>
          </w:rPr>
          <w:tab/>
        </w:r>
        <w:r w:rsidR="00AB1D4F" w:rsidRPr="00820CAE">
          <w:rPr>
            <w:rStyle w:val="Hypertextovprepojenie"/>
            <w:rFonts w:cs="Arial Narrow"/>
          </w:rPr>
          <w:t>MAKROEKONOMICKÉ PREDPOKLADY NÁVRHU ROZPOČTU</w:t>
        </w:r>
        <w:r w:rsidR="00AB1D4F">
          <w:rPr>
            <w:webHidden/>
          </w:rPr>
          <w:tab/>
        </w:r>
        <w:r w:rsidR="00AB1D4F">
          <w:rPr>
            <w:webHidden/>
          </w:rPr>
          <w:fldChar w:fldCharType="begin"/>
        </w:r>
        <w:r w:rsidR="00AB1D4F">
          <w:rPr>
            <w:webHidden/>
          </w:rPr>
          <w:instrText xml:space="preserve"> PAGEREF _Toc164684478 \h </w:instrText>
        </w:r>
        <w:r w:rsidR="00AB1D4F">
          <w:rPr>
            <w:webHidden/>
          </w:rPr>
        </w:r>
        <w:r w:rsidR="00AB1D4F">
          <w:rPr>
            <w:webHidden/>
          </w:rPr>
          <w:fldChar w:fldCharType="separate"/>
        </w:r>
        <w:r w:rsidR="007435E9">
          <w:rPr>
            <w:webHidden/>
          </w:rPr>
          <w:t>5</w:t>
        </w:r>
        <w:r w:rsidR="00AB1D4F">
          <w:rPr>
            <w:webHidden/>
          </w:rPr>
          <w:fldChar w:fldCharType="end"/>
        </w:r>
      </w:hyperlink>
    </w:p>
    <w:p w14:paraId="120EF581" w14:textId="25DB7A5C" w:rsidR="00AB1D4F" w:rsidRPr="002D435D" w:rsidRDefault="00BC482A" w:rsidP="002D435D">
      <w:pPr>
        <w:pStyle w:val="Obsah2"/>
        <w:rPr>
          <w:rFonts w:asciiTheme="minorHAnsi" w:eastAsiaTheme="minorEastAsia" w:hAnsiTheme="minorHAnsi" w:cstheme="minorBidi"/>
        </w:rPr>
      </w:pPr>
      <w:hyperlink w:anchor="_Toc164684479" w:history="1">
        <w:r w:rsidR="00AB1D4F" w:rsidRPr="002D435D">
          <w:rPr>
            <w:rStyle w:val="Hypertextovprepojenie"/>
            <w:rFonts w:cs="Arial Narrow"/>
          </w:rPr>
          <w:t>I.1.</w:t>
        </w:r>
        <w:r w:rsidR="00AB1D4F" w:rsidRPr="002D435D">
          <w:rPr>
            <w:rFonts w:asciiTheme="minorHAnsi" w:eastAsiaTheme="minorEastAsia" w:hAnsiTheme="minorHAnsi" w:cstheme="minorBidi"/>
          </w:rPr>
          <w:tab/>
        </w:r>
        <w:r w:rsidR="00AB1D4F" w:rsidRPr="002D435D">
          <w:rPr>
            <w:rStyle w:val="Hypertextovprepojenie"/>
          </w:rPr>
          <w:t>Makroekonomická prognóza</w:t>
        </w:r>
        <w:r w:rsidR="00AB1D4F" w:rsidRPr="002D435D">
          <w:rPr>
            <w:webHidden/>
          </w:rPr>
          <w:tab/>
        </w:r>
        <w:r w:rsidR="00AB1D4F" w:rsidRPr="002D435D">
          <w:rPr>
            <w:webHidden/>
          </w:rPr>
          <w:fldChar w:fldCharType="begin"/>
        </w:r>
        <w:r w:rsidR="00AB1D4F" w:rsidRPr="002D435D">
          <w:rPr>
            <w:webHidden/>
          </w:rPr>
          <w:instrText xml:space="preserve"> PAGEREF _Toc164684479 \h </w:instrText>
        </w:r>
        <w:r w:rsidR="00AB1D4F" w:rsidRPr="002D435D">
          <w:rPr>
            <w:webHidden/>
          </w:rPr>
        </w:r>
        <w:r w:rsidR="00AB1D4F" w:rsidRPr="002D435D">
          <w:rPr>
            <w:webHidden/>
          </w:rPr>
          <w:fldChar w:fldCharType="separate"/>
        </w:r>
        <w:r w:rsidR="007435E9">
          <w:rPr>
            <w:webHidden/>
          </w:rPr>
          <w:t>5</w:t>
        </w:r>
        <w:r w:rsidR="00AB1D4F" w:rsidRPr="002D435D">
          <w:rPr>
            <w:webHidden/>
          </w:rPr>
          <w:fldChar w:fldCharType="end"/>
        </w:r>
      </w:hyperlink>
    </w:p>
    <w:p w14:paraId="62ED19AC" w14:textId="2CF3E433" w:rsidR="00AB1D4F" w:rsidRDefault="00BC482A">
      <w:pPr>
        <w:pStyle w:val="Obsah1"/>
        <w:rPr>
          <w:rFonts w:asciiTheme="minorHAnsi" w:eastAsiaTheme="minorEastAsia" w:hAnsiTheme="minorHAnsi" w:cstheme="minorBidi"/>
          <w:b w:val="0"/>
        </w:rPr>
      </w:pPr>
      <w:hyperlink w:anchor="_Toc164684480" w:history="1">
        <w:r w:rsidR="00AB1D4F" w:rsidRPr="00820CAE">
          <w:rPr>
            <w:rStyle w:val="Hypertextovprepojenie"/>
            <w:rFonts w:cs="Arial Narrow"/>
          </w:rPr>
          <w:t>II.</w:t>
        </w:r>
        <w:r w:rsidR="00AB1D4F">
          <w:rPr>
            <w:rFonts w:asciiTheme="minorHAnsi" w:eastAsiaTheme="minorEastAsia" w:hAnsiTheme="minorHAnsi" w:cstheme="minorBidi"/>
            <w:b w:val="0"/>
          </w:rPr>
          <w:tab/>
        </w:r>
        <w:r w:rsidR="00AB1D4F" w:rsidRPr="00820CAE">
          <w:rPr>
            <w:rStyle w:val="Hypertextovprepojenie"/>
          </w:rPr>
          <w:t>AKTUÁLNA POZÍCIA VEREJNÝCH FINANCIÍ</w:t>
        </w:r>
        <w:r w:rsidR="00AB1D4F">
          <w:rPr>
            <w:webHidden/>
          </w:rPr>
          <w:tab/>
        </w:r>
        <w:r w:rsidR="00AB1D4F">
          <w:rPr>
            <w:webHidden/>
          </w:rPr>
          <w:fldChar w:fldCharType="begin"/>
        </w:r>
        <w:r w:rsidR="00AB1D4F">
          <w:rPr>
            <w:webHidden/>
          </w:rPr>
          <w:instrText xml:space="preserve"> PAGEREF _Toc164684480 \h </w:instrText>
        </w:r>
        <w:r w:rsidR="00AB1D4F">
          <w:rPr>
            <w:webHidden/>
          </w:rPr>
        </w:r>
        <w:r w:rsidR="00AB1D4F">
          <w:rPr>
            <w:webHidden/>
          </w:rPr>
          <w:fldChar w:fldCharType="separate"/>
        </w:r>
        <w:r w:rsidR="007435E9">
          <w:rPr>
            <w:webHidden/>
          </w:rPr>
          <w:t>9</w:t>
        </w:r>
        <w:r w:rsidR="00AB1D4F">
          <w:rPr>
            <w:webHidden/>
          </w:rPr>
          <w:fldChar w:fldCharType="end"/>
        </w:r>
      </w:hyperlink>
    </w:p>
    <w:p w14:paraId="3CFEC416" w14:textId="706C5057" w:rsidR="00AB1D4F" w:rsidRPr="00AB1D4F" w:rsidRDefault="00BC482A" w:rsidP="002D435D">
      <w:pPr>
        <w:pStyle w:val="Obsah2"/>
        <w:rPr>
          <w:rFonts w:asciiTheme="minorHAnsi" w:eastAsiaTheme="minorEastAsia" w:hAnsiTheme="minorHAnsi" w:cstheme="minorBidi"/>
        </w:rPr>
      </w:pPr>
      <w:hyperlink w:anchor="_Toc164684481" w:history="1">
        <w:r w:rsidR="00AB1D4F" w:rsidRPr="00AB1D4F">
          <w:rPr>
            <w:rStyle w:val="Hypertextovprepojenie"/>
            <w:rFonts w:cs="Arial Narrow"/>
          </w:rPr>
          <w:t>II.1.</w:t>
        </w:r>
        <w:r w:rsidR="00AB1D4F" w:rsidRPr="00AB1D4F">
          <w:rPr>
            <w:rFonts w:asciiTheme="minorHAnsi" w:eastAsiaTheme="minorEastAsia" w:hAnsiTheme="minorHAnsi" w:cstheme="minorBidi"/>
          </w:rPr>
          <w:tab/>
        </w:r>
        <w:r w:rsidR="00AB1D4F" w:rsidRPr="00AB1D4F">
          <w:rPr>
            <w:rStyle w:val="Hypertextovprepojenie"/>
          </w:rPr>
          <w:t>Saldo verejnej správy v roku 2023</w:t>
        </w:r>
        <w:r w:rsidR="00AB1D4F" w:rsidRPr="00AB1D4F">
          <w:rPr>
            <w:webHidden/>
          </w:rPr>
          <w:tab/>
        </w:r>
        <w:r w:rsidR="00AB1D4F" w:rsidRPr="00AB1D4F">
          <w:rPr>
            <w:webHidden/>
          </w:rPr>
          <w:fldChar w:fldCharType="begin"/>
        </w:r>
        <w:r w:rsidR="00AB1D4F" w:rsidRPr="00AB1D4F">
          <w:rPr>
            <w:webHidden/>
          </w:rPr>
          <w:instrText xml:space="preserve"> PAGEREF _Toc164684481 \h </w:instrText>
        </w:r>
        <w:r w:rsidR="00AB1D4F" w:rsidRPr="00AB1D4F">
          <w:rPr>
            <w:webHidden/>
          </w:rPr>
        </w:r>
        <w:r w:rsidR="00AB1D4F" w:rsidRPr="00AB1D4F">
          <w:rPr>
            <w:webHidden/>
          </w:rPr>
          <w:fldChar w:fldCharType="separate"/>
        </w:r>
        <w:r w:rsidR="007435E9">
          <w:rPr>
            <w:webHidden/>
          </w:rPr>
          <w:t>9</w:t>
        </w:r>
        <w:r w:rsidR="00AB1D4F" w:rsidRPr="00AB1D4F">
          <w:rPr>
            <w:webHidden/>
          </w:rPr>
          <w:fldChar w:fldCharType="end"/>
        </w:r>
      </w:hyperlink>
    </w:p>
    <w:p w14:paraId="14B5495A" w14:textId="394657A9" w:rsidR="00AB1D4F" w:rsidRPr="00AB1D4F" w:rsidRDefault="00BC482A" w:rsidP="002D435D">
      <w:pPr>
        <w:pStyle w:val="Obsah2"/>
        <w:rPr>
          <w:rFonts w:asciiTheme="minorHAnsi" w:eastAsiaTheme="minorEastAsia" w:hAnsiTheme="minorHAnsi" w:cstheme="minorBidi"/>
        </w:rPr>
      </w:pPr>
      <w:hyperlink w:anchor="_Toc164684482" w:history="1">
        <w:r w:rsidR="00AB1D4F" w:rsidRPr="00AB1D4F">
          <w:rPr>
            <w:rStyle w:val="Hypertextovprepojenie"/>
            <w:rFonts w:cs="Arial Narrow"/>
          </w:rPr>
          <w:t>II.2.</w:t>
        </w:r>
        <w:r w:rsidR="00AB1D4F" w:rsidRPr="00AB1D4F">
          <w:rPr>
            <w:rFonts w:asciiTheme="minorHAnsi" w:eastAsiaTheme="minorEastAsia" w:hAnsiTheme="minorHAnsi" w:cstheme="minorBidi"/>
          </w:rPr>
          <w:tab/>
        </w:r>
        <w:r w:rsidR="00AB1D4F" w:rsidRPr="00AB1D4F">
          <w:rPr>
            <w:rStyle w:val="Hypertextovprepojenie"/>
          </w:rPr>
          <w:t>Aktuálny vývoj verejných financií</w:t>
        </w:r>
        <w:r w:rsidR="00AB1D4F" w:rsidRPr="00AB1D4F">
          <w:rPr>
            <w:webHidden/>
          </w:rPr>
          <w:tab/>
        </w:r>
        <w:r w:rsidR="00AB1D4F" w:rsidRPr="00AB1D4F">
          <w:rPr>
            <w:webHidden/>
          </w:rPr>
          <w:fldChar w:fldCharType="begin"/>
        </w:r>
        <w:r w:rsidR="00AB1D4F" w:rsidRPr="00AB1D4F">
          <w:rPr>
            <w:webHidden/>
          </w:rPr>
          <w:instrText xml:space="preserve"> PAGEREF _Toc164684482 \h </w:instrText>
        </w:r>
        <w:r w:rsidR="00AB1D4F" w:rsidRPr="00AB1D4F">
          <w:rPr>
            <w:webHidden/>
          </w:rPr>
        </w:r>
        <w:r w:rsidR="00AB1D4F" w:rsidRPr="00AB1D4F">
          <w:rPr>
            <w:webHidden/>
          </w:rPr>
          <w:fldChar w:fldCharType="separate"/>
        </w:r>
        <w:r w:rsidR="007435E9">
          <w:rPr>
            <w:webHidden/>
          </w:rPr>
          <w:t>12</w:t>
        </w:r>
        <w:r w:rsidR="00AB1D4F" w:rsidRPr="00AB1D4F">
          <w:rPr>
            <w:webHidden/>
          </w:rPr>
          <w:fldChar w:fldCharType="end"/>
        </w:r>
      </w:hyperlink>
    </w:p>
    <w:p w14:paraId="09CBAE82" w14:textId="6F17F9FF" w:rsidR="00AB1D4F" w:rsidRDefault="00BC482A">
      <w:pPr>
        <w:pStyle w:val="Obsah1"/>
        <w:rPr>
          <w:rFonts w:asciiTheme="minorHAnsi" w:eastAsiaTheme="minorEastAsia" w:hAnsiTheme="minorHAnsi" w:cstheme="minorBidi"/>
          <w:b w:val="0"/>
        </w:rPr>
      </w:pPr>
      <w:hyperlink w:anchor="_Toc164684483" w:history="1">
        <w:r w:rsidR="00AB1D4F" w:rsidRPr="00820CAE">
          <w:rPr>
            <w:rStyle w:val="Hypertextovprepojenie"/>
            <w:rFonts w:cs="Arial Narrow"/>
          </w:rPr>
          <w:t>III.</w:t>
        </w:r>
        <w:r w:rsidR="00AB1D4F">
          <w:rPr>
            <w:rFonts w:asciiTheme="minorHAnsi" w:eastAsiaTheme="minorEastAsia" w:hAnsiTheme="minorHAnsi" w:cstheme="minorBidi"/>
            <w:b w:val="0"/>
          </w:rPr>
          <w:tab/>
        </w:r>
        <w:r w:rsidR="00AB1D4F" w:rsidRPr="00820CAE">
          <w:rPr>
            <w:rStyle w:val="Hypertextovprepojenie"/>
          </w:rPr>
          <w:t>ROZPOČTOVÉ CIELE</w:t>
        </w:r>
        <w:r w:rsidR="00AB1D4F">
          <w:rPr>
            <w:webHidden/>
          </w:rPr>
          <w:tab/>
        </w:r>
        <w:r w:rsidR="00AB1D4F">
          <w:rPr>
            <w:webHidden/>
          </w:rPr>
          <w:fldChar w:fldCharType="begin"/>
        </w:r>
        <w:r w:rsidR="00AB1D4F">
          <w:rPr>
            <w:webHidden/>
          </w:rPr>
          <w:instrText xml:space="preserve"> PAGEREF _Toc164684483 \h </w:instrText>
        </w:r>
        <w:r w:rsidR="00AB1D4F">
          <w:rPr>
            <w:webHidden/>
          </w:rPr>
        </w:r>
        <w:r w:rsidR="00AB1D4F">
          <w:rPr>
            <w:webHidden/>
          </w:rPr>
          <w:fldChar w:fldCharType="separate"/>
        </w:r>
        <w:r w:rsidR="007435E9">
          <w:rPr>
            <w:webHidden/>
          </w:rPr>
          <w:t>15</w:t>
        </w:r>
        <w:r w:rsidR="00AB1D4F">
          <w:rPr>
            <w:webHidden/>
          </w:rPr>
          <w:fldChar w:fldCharType="end"/>
        </w:r>
      </w:hyperlink>
    </w:p>
    <w:p w14:paraId="65F2562A" w14:textId="488D5EC8" w:rsidR="00AB1D4F" w:rsidRDefault="00BC482A">
      <w:pPr>
        <w:pStyle w:val="Obsah1"/>
        <w:rPr>
          <w:rFonts w:asciiTheme="minorHAnsi" w:eastAsiaTheme="minorEastAsia" w:hAnsiTheme="minorHAnsi" w:cstheme="minorBidi"/>
          <w:b w:val="0"/>
        </w:rPr>
      </w:pPr>
      <w:hyperlink w:anchor="_Toc164684484" w:history="1">
        <w:r w:rsidR="00AB1D4F" w:rsidRPr="00820CAE">
          <w:rPr>
            <w:rStyle w:val="Hypertextovprepojenie"/>
            <w:rFonts w:cs="Arial Narrow"/>
          </w:rPr>
          <w:t>IV.</w:t>
        </w:r>
        <w:r w:rsidR="00AB1D4F">
          <w:rPr>
            <w:rFonts w:asciiTheme="minorHAnsi" w:eastAsiaTheme="minorEastAsia" w:hAnsiTheme="minorHAnsi" w:cstheme="minorBidi"/>
            <w:b w:val="0"/>
          </w:rPr>
          <w:tab/>
        </w:r>
        <w:r w:rsidR="00AB1D4F" w:rsidRPr="00820CAE">
          <w:rPr>
            <w:rStyle w:val="Hypertextovprepojenie"/>
          </w:rPr>
          <w:t>DLH VEREJNEJ SPRÁVY A DLHODOBÁ UDRŽATEĽNOSŤ VEREJNÝCH FINANCIÍ</w:t>
        </w:r>
        <w:r w:rsidR="00AB1D4F">
          <w:rPr>
            <w:webHidden/>
          </w:rPr>
          <w:tab/>
        </w:r>
        <w:r w:rsidR="00AB1D4F">
          <w:rPr>
            <w:webHidden/>
          </w:rPr>
          <w:fldChar w:fldCharType="begin"/>
        </w:r>
        <w:r w:rsidR="00AB1D4F">
          <w:rPr>
            <w:webHidden/>
          </w:rPr>
          <w:instrText xml:space="preserve"> PAGEREF _Toc164684484 \h </w:instrText>
        </w:r>
        <w:r w:rsidR="00AB1D4F">
          <w:rPr>
            <w:webHidden/>
          </w:rPr>
        </w:r>
        <w:r w:rsidR="00AB1D4F">
          <w:rPr>
            <w:webHidden/>
          </w:rPr>
          <w:fldChar w:fldCharType="separate"/>
        </w:r>
        <w:r w:rsidR="007435E9">
          <w:rPr>
            <w:webHidden/>
          </w:rPr>
          <w:t>19</w:t>
        </w:r>
        <w:r w:rsidR="00AB1D4F">
          <w:rPr>
            <w:webHidden/>
          </w:rPr>
          <w:fldChar w:fldCharType="end"/>
        </w:r>
      </w:hyperlink>
    </w:p>
    <w:p w14:paraId="1CE07827" w14:textId="4F277050" w:rsidR="00AB1D4F" w:rsidRPr="00AB1D4F" w:rsidRDefault="00BC482A" w:rsidP="002D435D">
      <w:pPr>
        <w:pStyle w:val="Obsah2"/>
        <w:rPr>
          <w:rFonts w:asciiTheme="minorHAnsi" w:eastAsiaTheme="minorEastAsia" w:hAnsiTheme="minorHAnsi" w:cstheme="minorBidi"/>
        </w:rPr>
      </w:pPr>
      <w:hyperlink w:anchor="_Toc164684485" w:history="1">
        <w:r w:rsidR="00AB1D4F" w:rsidRPr="00AB1D4F">
          <w:rPr>
            <w:rStyle w:val="Hypertextovprepojenie"/>
            <w:rFonts w:cs="Arial Narrow"/>
          </w:rPr>
          <w:t>IV.1.</w:t>
        </w:r>
        <w:r w:rsidR="00AB1D4F" w:rsidRPr="00AB1D4F">
          <w:rPr>
            <w:rFonts w:asciiTheme="minorHAnsi" w:eastAsiaTheme="minorEastAsia" w:hAnsiTheme="minorHAnsi" w:cstheme="minorBidi"/>
          </w:rPr>
          <w:tab/>
        </w:r>
        <w:r w:rsidR="00AB1D4F" w:rsidRPr="00AB1D4F">
          <w:rPr>
            <w:rStyle w:val="Hypertextovprepojenie"/>
          </w:rPr>
          <w:t>Hrubý dlh verejnej správy</w:t>
        </w:r>
        <w:r w:rsidR="00AB1D4F" w:rsidRPr="00AB1D4F">
          <w:rPr>
            <w:webHidden/>
          </w:rPr>
          <w:tab/>
        </w:r>
        <w:r w:rsidR="00AB1D4F" w:rsidRPr="00AB1D4F">
          <w:rPr>
            <w:webHidden/>
          </w:rPr>
          <w:fldChar w:fldCharType="begin"/>
        </w:r>
        <w:r w:rsidR="00AB1D4F" w:rsidRPr="00AB1D4F">
          <w:rPr>
            <w:webHidden/>
          </w:rPr>
          <w:instrText xml:space="preserve"> PAGEREF _Toc164684485 \h </w:instrText>
        </w:r>
        <w:r w:rsidR="00AB1D4F" w:rsidRPr="00AB1D4F">
          <w:rPr>
            <w:webHidden/>
          </w:rPr>
        </w:r>
        <w:r w:rsidR="00AB1D4F" w:rsidRPr="00AB1D4F">
          <w:rPr>
            <w:webHidden/>
          </w:rPr>
          <w:fldChar w:fldCharType="separate"/>
        </w:r>
        <w:r w:rsidR="007435E9">
          <w:rPr>
            <w:webHidden/>
          </w:rPr>
          <w:t>19</w:t>
        </w:r>
        <w:r w:rsidR="00AB1D4F" w:rsidRPr="00AB1D4F">
          <w:rPr>
            <w:webHidden/>
          </w:rPr>
          <w:fldChar w:fldCharType="end"/>
        </w:r>
      </w:hyperlink>
    </w:p>
    <w:p w14:paraId="6A6E4369" w14:textId="77975277" w:rsidR="00AB1D4F" w:rsidRPr="00AB1D4F" w:rsidRDefault="00BC482A" w:rsidP="002D435D">
      <w:pPr>
        <w:pStyle w:val="Obsah2"/>
        <w:rPr>
          <w:rFonts w:asciiTheme="minorHAnsi" w:eastAsiaTheme="minorEastAsia" w:hAnsiTheme="minorHAnsi" w:cstheme="minorBidi"/>
        </w:rPr>
      </w:pPr>
      <w:hyperlink w:anchor="_Toc164684486" w:history="1">
        <w:r w:rsidR="00AB1D4F" w:rsidRPr="00AB1D4F">
          <w:rPr>
            <w:rStyle w:val="Hypertextovprepojenie"/>
            <w:rFonts w:cs="Arial Narrow"/>
          </w:rPr>
          <w:t>IV.2.</w:t>
        </w:r>
        <w:r w:rsidR="00AB1D4F" w:rsidRPr="00AB1D4F">
          <w:rPr>
            <w:rFonts w:asciiTheme="minorHAnsi" w:eastAsiaTheme="minorEastAsia" w:hAnsiTheme="minorHAnsi" w:cstheme="minorBidi"/>
          </w:rPr>
          <w:tab/>
        </w:r>
        <w:r w:rsidR="00AB1D4F" w:rsidRPr="00AB1D4F">
          <w:rPr>
            <w:rStyle w:val="Hypertextovprepojenie"/>
          </w:rPr>
          <w:t>Udržateľnosť verejných financií</w:t>
        </w:r>
        <w:r w:rsidR="00AB1D4F" w:rsidRPr="00AB1D4F">
          <w:rPr>
            <w:webHidden/>
          </w:rPr>
          <w:tab/>
        </w:r>
        <w:r w:rsidR="00AB1D4F" w:rsidRPr="00AB1D4F">
          <w:rPr>
            <w:webHidden/>
          </w:rPr>
          <w:fldChar w:fldCharType="begin"/>
        </w:r>
        <w:r w:rsidR="00AB1D4F" w:rsidRPr="00AB1D4F">
          <w:rPr>
            <w:webHidden/>
          </w:rPr>
          <w:instrText xml:space="preserve"> PAGEREF _Toc164684486 \h </w:instrText>
        </w:r>
        <w:r w:rsidR="00AB1D4F" w:rsidRPr="00AB1D4F">
          <w:rPr>
            <w:webHidden/>
          </w:rPr>
        </w:r>
        <w:r w:rsidR="00AB1D4F" w:rsidRPr="00AB1D4F">
          <w:rPr>
            <w:webHidden/>
          </w:rPr>
          <w:fldChar w:fldCharType="separate"/>
        </w:r>
        <w:r w:rsidR="007435E9">
          <w:rPr>
            <w:webHidden/>
          </w:rPr>
          <w:t>20</w:t>
        </w:r>
        <w:r w:rsidR="00AB1D4F" w:rsidRPr="00AB1D4F">
          <w:rPr>
            <w:webHidden/>
          </w:rPr>
          <w:fldChar w:fldCharType="end"/>
        </w:r>
      </w:hyperlink>
    </w:p>
    <w:p w14:paraId="231D0BC8" w14:textId="52D847A0" w:rsidR="00AB1D4F" w:rsidRDefault="00BC482A">
      <w:pPr>
        <w:pStyle w:val="Obsah1"/>
        <w:rPr>
          <w:rFonts w:asciiTheme="minorHAnsi" w:eastAsiaTheme="minorEastAsia" w:hAnsiTheme="minorHAnsi" w:cstheme="minorBidi"/>
          <w:b w:val="0"/>
        </w:rPr>
      </w:pPr>
      <w:hyperlink w:anchor="_Toc164684487" w:history="1">
        <w:r w:rsidR="00AB1D4F" w:rsidRPr="00820CAE">
          <w:rPr>
            <w:rStyle w:val="Hypertextovprepojenie"/>
            <w:rFonts w:cs="Arial Narrow"/>
          </w:rPr>
          <w:t>V.</w:t>
        </w:r>
        <w:r w:rsidR="00AB1D4F">
          <w:rPr>
            <w:rFonts w:asciiTheme="minorHAnsi" w:eastAsiaTheme="minorEastAsia" w:hAnsiTheme="minorHAnsi" w:cstheme="minorBidi"/>
            <w:b w:val="0"/>
          </w:rPr>
          <w:tab/>
        </w:r>
        <w:r w:rsidR="00AB1D4F" w:rsidRPr="00820CAE">
          <w:rPr>
            <w:rStyle w:val="Hypertextovprepojenie"/>
          </w:rPr>
          <w:t>NAVIAZANIE ROZPOČTOVÉHO PLÁNU NA CIELE STRATÉGIE RASTU A ZAMESTNANOSTI A ŠPECIFICKÉ ODPORÚČANIA RADY EÚ</w:t>
        </w:r>
        <w:r w:rsidR="00AB1D4F">
          <w:rPr>
            <w:webHidden/>
          </w:rPr>
          <w:tab/>
        </w:r>
        <w:r w:rsidR="00AB1D4F">
          <w:rPr>
            <w:webHidden/>
          </w:rPr>
          <w:fldChar w:fldCharType="begin"/>
        </w:r>
        <w:r w:rsidR="00AB1D4F">
          <w:rPr>
            <w:webHidden/>
          </w:rPr>
          <w:instrText xml:space="preserve"> PAGEREF _Toc164684487 \h </w:instrText>
        </w:r>
        <w:r w:rsidR="00AB1D4F">
          <w:rPr>
            <w:webHidden/>
          </w:rPr>
        </w:r>
        <w:r w:rsidR="00AB1D4F">
          <w:rPr>
            <w:webHidden/>
          </w:rPr>
          <w:fldChar w:fldCharType="separate"/>
        </w:r>
        <w:r w:rsidR="007435E9">
          <w:rPr>
            <w:webHidden/>
          </w:rPr>
          <w:t>22</w:t>
        </w:r>
        <w:r w:rsidR="00AB1D4F">
          <w:rPr>
            <w:webHidden/>
          </w:rPr>
          <w:fldChar w:fldCharType="end"/>
        </w:r>
      </w:hyperlink>
    </w:p>
    <w:p w14:paraId="2C59BC11" w14:textId="1FA977B6" w:rsidR="00AB1D4F" w:rsidRPr="00AB1D4F" w:rsidRDefault="00BC482A" w:rsidP="002D435D">
      <w:pPr>
        <w:pStyle w:val="Obsah2"/>
        <w:rPr>
          <w:rFonts w:asciiTheme="minorHAnsi" w:eastAsiaTheme="minorEastAsia" w:hAnsiTheme="minorHAnsi" w:cstheme="minorBidi"/>
        </w:rPr>
      </w:pPr>
      <w:hyperlink w:anchor="_Toc164684488" w:history="1">
        <w:r w:rsidR="00AB1D4F" w:rsidRPr="00AB1D4F">
          <w:rPr>
            <w:rStyle w:val="Hypertextovprepojenie"/>
            <w:rFonts w:cs="Arial Narrow"/>
          </w:rPr>
          <w:t>V.1.</w:t>
        </w:r>
        <w:r w:rsidR="00AB1D4F" w:rsidRPr="00AB1D4F">
          <w:rPr>
            <w:rFonts w:asciiTheme="minorHAnsi" w:eastAsiaTheme="minorEastAsia" w:hAnsiTheme="minorHAnsi" w:cstheme="minorBidi"/>
          </w:rPr>
          <w:tab/>
        </w:r>
        <w:r w:rsidR="00AB1D4F" w:rsidRPr="00AB1D4F">
          <w:rPr>
            <w:rStyle w:val="Hypertextovprepojenie"/>
          </w:rPr>
          <w:t>Hlavné priority v štrukturálnych politikách</w:t>
        </w:r>
        <w:r w:rsidR="00AB1D4F" w:rsidRPr="00AB1D4F">
          <w:rPr>
            <w:webHidden/>
          </w:rPr>
          <w:tab/>
        </w:r>
        <w:r w:rsidR="00AB1D4F" w:rsidRPr="00AB1D4F">
          <w:rPr>
            <w:webHidden/>
          </w:rPr>
          <w:fldChar w:fldCharType="begin"/>
        </w:r>
        <w:r w:rsidR="00AB1D4F" w:rsidRPr="00AB1D4F">
          <w:rPr>
            <w:webHidden/>
          </w:rPr>
          <w:instrText xml:space="preserve"> PAGEREF _Toc164684488 \h </w:instrText>
        </w:r>
        <w:r w:rsidR="00AB1D4F" w:rsidRPr="00AB1D4F">
          <w:rPr>
            <w:webHidden/>
          </w:rPr>
        </w:r>
        <w:r w:rsidR="00AB1D4F" w:rsidRPr="00AB1D4F">
          <w:rPr>
            <w:webHidden/>
          </w:rPr>
          <w:fldChar w:fldCharType="separate"/>
        </w:r>
        <w:r w:rsidR="007435E9">
          <w:rPr>
            <w:webHidden/>
          </w:rPr>
          <w:t>22</w:t>
        </w:r>
        <w:r w:rsidR="00AB1D4F" w:rsidRPr="00AB1D4F">
          <w:rPr>
            <w:webHidden/>
          </w:rPr>
          <w:fldChar w:fldCharType="end"/>
        </w:r>
      </w:hyperlink>
    </w:p>
    <w:p w14:paraId="0990ABCD" w14:textId="2A6E728C" w:rsidR="00AB1D4F" w:rsidRPr="00AB1D4F" w:rsidRDefault="00BC482A" w:rsidP="002D435D">
      <w:pPr>
        <w:pStyle w:val="Obsah2"/>
        <w:rPr>
          <w:rFonts w:asciiTheme="minorHAnsi" w:eastAsiaTheme="minorEastAsia" w:hAnsiTheme="minorHAnsi" w:cstheme="minorBidi"/>
        </w:rPr>
      </w:pPr>
      <w:hyperlink w:anchor="_Toc164684489" w:history="1">
        <w:r w:rsidR="00AB1D4F" w:rsidRPr="00AB1D4F">
          <w:rPr>
            <w:rStyle w:val="Hypertextovprepojenie"/>
            <w:rFonts w:cs="Arial Narrow"/>
          </w:rPr>
          <w:t>V.2.</w:t>
        </w:r>
        <w:r w:rsidR="00AB1D4F" w:rsidRPr="00AB1D4F">
          <w:rPr>
            <w:rFonts w:asciiTheme="minorHAnsi" w:eastAsiaTheme="minorEastAsia" w:hAnsiTheme="minorHAnsi" w:cstheme="minorBidi"/>
          </w:rPr>
          <w:tab/>
        </w:r>
        <w:r w:rsidR="00AB1D4F" w:rsidRPr="00AB1D4F">
          <w:rPr>
            <w:rStyle w:val="Hypertextovprepojenie"/>
          </w:rPr>
          <w:t>Verejné financie</w:t>
        </w:r>
        <w:r w:rsidR="00AB1D4F" w:rsidRPr="00AB1D4F">
          <w:rPr>
            <w:webHidden/>
          </w:rPr>
          <w:tab/>
        </w:r>
        <w:r w:rsidR="00AB1D4F" w:rsidRPr="00AB1D4F">
          <w:rPr>
            <w:webHidden/>
          </w:rPr>
          <w:fldChar w:fldCharType="begin"/>
        </w:r>
        <w:r w:rsidR="00AB1D4F" w:rsidRPr="00AB1D4F">
          <w:rPr>
            <w:webHidden/>
          </w:rPr>
          <w:instrText xml:space="preserve"> PAGEREF _Toc164684489 \h </w:instrText>
        </w:r>
        <w:r w:rsidR="00AB1D4F" w:rsidRPr="00AB1D4F">
          <w:rPr>
            <w:webHidden/>
          </w:rPr>
        </w:r>
        <w:r w:rsidR="00AB1D4F" w:rsidRPr="00AB1D4F">
          <w:rPr>
            <w:webHidden/>
          </w:rPr>
          <w:fldChar w:fldCharType="separate"/>
        </w:r>
        <w:r w:rsidR="007435E9">
          <w:rPr>
            <w:webHidden/>
          </w:rPr>
          <w:t>23</w:t>
        </w:r>
        <w:r w:rsidR="00AB1D4F" w:rsidRPr="00AB1D4F">
          <w:rPr>
            <w:webHidden/>
          </w:rPr>
          <w:fldChar w:fldCharType="end"/>
        </w:r>
      </w:hyperlink>
    </w:p>
    <w:p w14:paraId="0E1B7FDD" w14:textId="615012CA" w:rsidR="00AB1D4F" w:rsidRDefault="00BC482A">
      <w:pPr>
        <w:pStyle w:val="Obsah1"/>
        <w:rPr>
          <w:rFonts w:asciiTheme="minorHAnsi" w:eastAsiaTheme="minorEastAsia" w:hAnsiTheme="minorHAnsi" w:cstheme="minorBidi"/>
          <w:b w:val="0"/>
        </w:rPr>
      </w:pPr>
      <w:hyperlink w:anchor="_Toc164684490" w:history="1">
        <w:r w:rsidR="00AB1D4F" w:rsidRPr="00820CAE">
          <w:rPr>
            <w:rStyle w:val="Hypertextovprepojenie"/>
          </w:rPr>
          <w:t>PRÍLOHY</w:t>
        </w:r>
        <w:r w:rsidR="00AB1D4F">
          <w:rPr>
            <w:webHidden/>
          </w:rPr>
          <w:tab/>
        </w:r>
        <w:r w:rsidR="00AB1D4F">
          <w:rPr>
            <w:webHidden/>
          </w:rPr>
          <w:fldChar w:fldCharType="begin"/>
        </w:r>
        <w:r w:rsidR="00AB1D4F">
          <w:rPr>
            <w:webHidden/>
          </w:rPr>
          <w:instrText xml:space="preserve"> PAGEREF _Toc164684490 \h </w:instrText>
        </w:r>
        <w:r w:rsidR="00AB1D4F">
          <w:rPr>
            <w:webHidden/>
          </w:rPr>
        </w:r>
        <w:r w:rsidR="00AB1D4F">
          <w:rPr>
            <w:webHidden/>
          </w:rPr>
          <w:fldChar w:fldCharType="separate"/>
        </w:r>
        <w:r w:rsidR="007435E9">
          <w:rPr>
            <w:webHidden/>
          </w:rPr>
          <w:t>25</w:t>
        </w:r>
        <w:r w:rsidR="00AB1D4F">
          <w:rPr>
            <w:webHidden/>
          </w:rPr>
          <w:fldChar w:fldCharType="end"/>
        </w:r>
      </w:hyperlink>
    </w:p>
    <w:p w14:paraId="34CFAE17" w14:textId="5004F117" w:rsidR="00315902" w:rsidRPr="0009453F" w:rsidRDefault="00315902" w:rsidP="00315902">
      <w:pPr>
        <w:spacing w:after="240"/>
        <w:rPr>
          <w:bCs/>
        </w:rPr>
      </w:pPr>
      <w:r w:rsidRPr="0009453F">
        <w:rPr>
          <w:bCs/>
        </w:rPr>
        <w:fldChar w:fldCharType="end"/>
      </w:r>
    </w:p>
    <w:p w14:paraId="1E5678FB" w14:textId="77777777" w:rsidR="00315902" w:rsidRPr="006D0C90" w:rsidRDefault="00315902" w:rsidP="00315902">
      <w:pPr>
        <w:spacing w:after="240"/>
      </w:pPr>
    </w:p>
    <w:p w14:paraId="766BF9BD" w14:textId="77777777" w:rsidR="00315902" w:rsidRPr="006D0C90" w:rsidRDefault="00315902" w:rsidP="00315902">
      <w:pPr>
        <w:spacing w:after="240"/>
      </w:pPr>
    </w:p>
    <w:p w14:paraId="2758CF95" w14:textId="14CFCB28" w:rsidR="00F67903" w:rsidRDefault="00F67903">
      <w:r>
        <w:br w:type="page"/>
      </w:r>
    </w:p>
    <w:p w14:paraId="795C7410" w14:textId="77777777" w:rsidR="00315902" w:rsidRPr="009F6FB1" w:rsidRDefault="00315902" w:rsidP="009F6FB1">
      <w:pPr>
        <w:pStyle w:val="Nadpis1"/>
        <w:rPr>
          <w:color w:val="2C9ADC"/>
        </w:rPr>
      </w:pPr>
      <w:bookmarkStart w:id="37" w:name="_Toc164424024"/>
      <w:bookmarkStart w:id="38" w:name="_Toc164424252"/>
      <w:bookmarkStart w:id="39" w:name="_Toc164425299"/>
      <w:bookmarkStart w:id="40" w:name="_Toc164671338"/>
      <w:bookmarkStart w:id="41" w:name="_Toc164684477"/>
      <w:r w:rsidRPr="009F6FB1">
        <w:rPr>
          <w:color w:val="2C9ADC"/>
        </w:rPr>
        <w:lastRenderedPageBreak/>
        <w:t>ZOZNAM BOXOV, TABULIEK A GRAFOV</w:t>
      </w:r>
      <w:bookmarkEnd w:id="37"/>
      <w:bookmarkEnd w:id="38"/>
      <w:bookmarkEnd w:id="39"/>
      <w:bookmarkEnd w:id="40"/>
      <w:bookmarkEnd w:id="41"/>
    </w:p>
    <w:p w14:paraId="01225128" w14:textId="77777777" w:rsidR="009F6FB1" w:rsidRDefault="009F6FB1">
      <w:pPr>
        <w:pStyle w:val="Zoznamobrzkov"/>
        <w:tabs>
          <w:tab w:val="right" w:leader="dot" w:pos="9060"/>
        </w:tabs>
        <w:rPr>
          <w:rStyle w:val="Hypertextovprepojenie"/>
          <w:rFonts w:eastAsiaTheme="minorHAnsi"/>
          <w:lang w:eastAsia="en-US"/>
        </w:rPr>
      </w:pPr>
    </w:p>
    <w:p w14:paraId="250186AF" w14:textId="258428EE" w:rsidR="002D435D" w:rsidRPr="002D435D" w:rsidRDefault="00315902">
      <w:pPr>
        <w:pStyle w:val="Zoznamobrzkov"/>
        <w:tabs>
          <w:tab w:val="right" w:leader="dot" w:pos="9060"/>
        </w:tabs>
        <w:rPr>
          <w:rFonts w:asciiTheme="minorHAnsi" w:eastAsiaTheme="minorEastAsia" w:hAnsiTheme="minorHAnsi" w:cstheme="minorBidi"/>
          <w:noProof/>
        </w:rPr>
      </w:pPr>
      <w:r w:rsidRPr="002D435D">
        <w:rPr>
          <w:rStyle w:val="Hypertextovprepojenie"/>
          <w:rFonts w:eastAsiaTheme="minorHAnsi"/>
          <w:lang w:eastAsia="en-US"/>
        </w:rPr>
        <w:fldChar w:fldCharType="begin"/>
      </w:r>
      <w:r w:rsidRPr="002D435D">
        <w:rPr>
          <w:rStyle w:val="Hypertextovprepojenie"/>
          <w:rFonts w:eastAsiaTheme="minorHAnsi"/>
          <w:lang w:eastAsia="en-US"/>
        </w:rPr>
        <w:instrText xml:space="preserve"> TOC \h \z \c "BOX" </w:instrText>
      </w:r>
      <w:r w:rsidRPr="002D435D">
        <w:rPr>
          <w:rStyle w:val="Hypertextovprepojenie"/>
          <w:rFonts w:eastAsiaTheme="minorHAnsi"/>
          <w:lang w:eastAsia="en-US"/>
        </w:rPr>
        <w:fldChar w:fldCharType="separate"/>
      </w:r>
      <w:hyperlink w:anchor="_Toc164684545" w:history="1">
        <w:r w:rsidR="002D435D" w:rsidRPr="002D435D">
          <w:rPr>
            <w:rStyle w:val="Hypertextovprepojenie"/>
            <w:noProof/>
          </w:rPr>
          <w:t>BOX 1 – Predpoklady externého prostredia</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_Toc164684545 \h </w:instrText>
        </w:r>
        <w:r w:rsidR="002D435D" w:rsidRPr="002D435D">
          <w:rPr>
            <w:noProof/>
            <w:webHidden/>
          </w:rPr>
        </w:r>
        <w:r w:rsidR="002D435D" w:rsidRPr="002D435D">
          <w:rPr>
            <w:noProof/>
            <w:webHidden/>
          </w:rPr>
          <w:fldChar w:fldCharType="separate"/>
        </w:r>
        <w:r w:rsidR="007435E9">
          <w:rPr>
            <w:noProof/>
            <w:webHidden/>
          </w:rPr>
          <w:t>7</w:t>
        </w:r>
        <w:r w:rsidR="002D435D" w:rsidRPr="002D435D">
          <w:rPr>
            <w:noProof/>
            <w:webHidden/>
          </w:rPr>
          <w:fldChar w:fldCharType="end"/>
        </w:r>
      </w:hyperlink>
    </w:p>
    <w:p w14:paraId="4698AB9C" w14:textId="0A3D5E72"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46" w:history="1">
        <w:r w:rsidR="002D435D" w:rsidRPr="002D435D">
          <w:rPr>
            <w:rStyle w:val="Hypertextovprepojenie"/>
            <w:noProof/>
          </w:rPr>
          <w:t>BOX 2 – Odhad produkčnej medzery</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_Toc164684546 \h </w:instrText>
        </w:r>
        <w:r w:rsidR="002D435D" w:rsidRPr="002D435D">
          <w:rPr>
            <w:noProof/>
            <w:webHidden/>
          </w:rPr>
        </w:r>
        <w:r w:rsidR="002D435D" w:rsidRPr="002D435D">
          <w:rPr>
            <w:noProof/>
            <w:webHidden/>
          </w:rPr>
          <w:fldChar w:fldCharType="separate"/>
        </w:r>
        <w:r w:rsidR="007435E9">
          <w:rPr>
            <w:noProof/>
            <w:webHidden/>
          </w:rPr>
          <w:t>8</w:t>
        </w:r>
        <w:r w:rsidR="002D435D" w:rsidRPr="002D435D">
          <w:rPr>
            <w:noProof/>
            <w:webHidden/>
          </w:rPr>
          <w:fldChar w:fldCharType="end"/>
        </w:r>
      </w:hyperlink>
    </w:p>
    <w:p w14:paraId="69FC56D0" w14:textId="5C81A446"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47" w:history="1">
        <w:r w:rsidR="002D435D" w:rsidRPr="002D435D">
          <w:rPr>
            <w:rStyle w:val="Hypertextovprepojenie"/>
            <w:rFonts w:eastAsiaTheme="majorEastAsia" w:cstheme="majorBidi"/>
            <w:noProof/>
            <w:lang w:eastAsia="en-US"/>
          </w:rPr>
          <w:t>BOX 3</w:t>
        </w:r>
        <w:r w:rsidR="002D435D" w:rsidRPr="002D435D">
          <w:rPr>
            <w:rStyle w:val="Hypertextovprepojenie"/>
            <w:rFonts w:cs="ArialNarrow,Bold"/>
            <w:noProof/>
          </w:rPr>
          <w:t xml:space="preserve"> –</w:t>
        </w:r>
        <w:r w:rsidR="002D435D" w:rsidRPr="002D435D">
          <w:rPr>
            <w:rStyle w:val="Hypertextovprepojenie"/>
            <w:noProof/>
          </w:rPr>
          <w:t xml:space="preserve"> </w:t>
        </w:r>
        <w:r w:rsidR="002D435D" w:rsidRPr="002D435D">
          <w:rPr>
            <w:rStyle w:val="Hypertextovprepojenie"/>
            <w:rFonts w:cs="ArialNarrow,Bold"/>
            <w:noProof/>
          </w:rPr>
          <w:t>Opatrenia vlády zamerané na zníženie dopadu cien energií</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_Toc164684547 \h </w:instrText>
        </w:r>
        <w:r w:rsidR="002D435D" w:rsidRPr="002D435D">
          <w:rPr>
            <w:noProof/>
            <w:webHidden/>
          </w:rPr>
        </w:r>
        <w:r w:rsidR="002D435D" w:rsidRPr="002D435D">
          <w:rPr>
            <w:noProof/>
            <w:webHidden/>
          </w:rPr>
          <w:fldChar w:fldCharType="separate"/>
        </w:r>
        <w:r w:rsidR="007435E9">
          <w:rPr>
            <w:noProof/>
            <w:webHidden/>
          </w:rPr>
          <w:t>10</w:t>
        </w:r>
        <w:r w:rsidR="002D435D" w:rsidRPr="002D435D">
          <w:rPr>
            <w:noProof/>
            <w:webHidden/>
          </w:rPr>
          <w:fldChar w:fldCharType="end"/>
        </w:r>
      </w:hyperlink>
    </w:p>
    <w:p w14:paraId="109B4CEC" w14:textId="1E567C5C"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48" w:history="1">
        <w:r w:rsidR="002D435D" w:rsidRPr="002D435D">
          <w:rPr>
            <w:rStyle w:val="Hypertextovprepojenie"/>
            <w:noProof/>
          </w:rPr>
          <w:t>BOX 4 – Výdavkové pravidlo ako jediný nástroj nových fiškálnych pravidiel EÚ</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_Toc164684548 \h </w:instrText>
        </w:r>
        <w:r w:rsidR="002D435D" w:rsidRPr="002D435D">
          <w:rPr>
            <w:noProof/>
            <w:webHidden/>
          </w:rPr>
        </w:r>
        <w:r w:rsidR="002D435D" w:rsidRPr="002D435D">
          <w:rPr>
            <w:noProof/>
            <w:webHidden/>
          </w:rPr>
          <w:fldChar w:fldCharType="separate"/>
        </w:r>
        <w:r w:rsidR="007435E9">
          <w:rPr>
            <w:noProof/>
            <w:webHidden/>
          </w:rPr>
          <w:t>16</w:t>
        </w:r>
        <w:r w:rsidR="002D435D" w:rsidRPr="002D435D">
          <w:rPr>
            <w:noProof/>
            <w:webHidden/>
          </w:rPr>
          <w:fldChar w:fldCharType="end"/>
        </w:r>
      </w:hyperlink>
    </w:p>
    <w:p w14:paraId="30E2A7AB" w14:textId="14C30D89"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49" w:history="1">
        <w:r w:rsidR="002D435D" w:rsidRPr="002D435D">
          <w:rPr>
            <w:rStyle w:val="Hypertextovprepojenie"/>
            <w:noProof/>
          </w:rPr>
          <w:t>BOX 5 – Nezávislé Výbory pre odhad makroekonomického vývoja a odhad vývoja daňových príjmov</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_Toc164684549 \h </w:instrText>
        </w:r>
        <w:r w:rsidR="002D435D" w:rsidRPr="002D435D">
          <w:rPr>
            <w:noProof/>
            <w:webHidden/>
          </w:rPr>
        </w:r>
        <w:r w:rsidR="002D435D" w:rsidRPr="002D435D">
          <w:rPr>
            <w:noProof/>
            <w:webHidden/>
          </w:rPr>
          <w:fldChar w:fldCharType="separate"/>
        </w:r>
        <w:r w:rsidR="007435E9">
          <w:rPr>
            <w:noProof/>
            <w:webHidden/>
          </w:rPr>
          <w:t>27</w:t>
        </w:r>
        <w:r w:rsidR="002D435D" w:rsidRPr="002D435D">
          <w:rPr>
            <w:noProof/>
            <w:webHidden/>
          </w:rPr>
          <w:fldChar w:fldCharType="end"/>
        </w:r>
      </w:hyperlink>
    </w:p>
    <w:p w14:paraId="6BA14351" w14:textId="02470BDD" w:rsidR="00315902" w:rsidRPr="002D435D" w:rsidRDefault="00315902" w:rsidP="00315902">
      <w:pPr>
        <w:pStyle w:val="Zoznamobrzkov"/>
        <w:tabs>
          <w:tab w:val="right" w:leader="dot" w:pos="9060"/>
        </w:tabs>
        <w:rPr>
          <w:rStyle w:val="Hypertextovprepojenie"/>
          <w:rFonts w:eastAsiaTheme="minorHAnsi"/>
          <w:sz w:val="14"/>
          <w:lang w:eastAsia="en-US"/>
        </w:rPr>
      </w:pPr>
      <w:r w:rsidRPr="002D435D">
        <w:rPr>
          <w:rStyle w:val="Hypertextovprepojenie"/>
          <w:rFonts w:eastAsiaTheme="minorHAnsi"/>
          <w:lang w:eastAsia="en-US"/>
        </w:rPr>
        <w:fldChar w:fldCharType="end"/>
      </w:r>
    </w:p>
    <w:p w14:paraId="4A9F3FD5" w14:textId="67A2CFCC" w:rsidR="002D435D" w:rsidRPr="002D435D" w:rsidRDefault="00315902">
      <w:pPr>
        <w:pStyle w:val="Zoznamobrzkov"/>
        <w:tabs>
          <w:tab w:val="right" w:leader="dot" w:pos="9060"/>
        </w:tabs>
        <w:rPr>
          <w:rFonts w:asciiTheme="minorHAnsi" w:eastAsiaTheme="minorEastAsia" w:hAnsiTheme="minorHAnsi" w:cstheme="minorBidi"/>
          <w:noProof/>
        </w:rPr>
      </w:pPr>
      <w:r w:rsidRPr="002D435D">
        <w:rPr>
          <w:rStyle w:val="Hypertextovprepojenie"/>
          <w:rFonts w:eastAsiaTheme="minorHAnsi"/>
          <w:lang w:eastAsia="en-US"/>
        </w:rPr>
        <w:fldChar w:fldCharType="begin"/>
      </w:r>
      <w:r w:rsidRPr="002D435D">
        <w:rPr>
          <w:rStyle w:val="Hypertextovprepojenie"/>
          <w:rFonts w:eastAsiaTheme="minorHAnsi"/>
          <w:lang w:eastAsia="en-US"/>
        </w:rPr>
        <w:instrText xml:space="preserve"> TOC \h \z \c "TABUĽKA" </w:instrText>
      </w:r>
      <w:r w:rsidRPr="002D435D">
        <w:rPr>
          <w:rStyle w:val="Hypertextovprepojenie"/>
          <w:rFonts w:eastAsiaTheme="minorHAnsi"/>
          <w:lang w:eastAsia="en-US"/>
        </w:rPr>
        <w:fldChar w:fldCharType="separate"/>
      </w:r>
      <w:hyperlink w:anchor="_Toc164684550" w:history="1">
        <w:r w:rsidR="002D435D" w:rsidRPr="002D435D">
          <w:rPr>
            <w:rStyle w:val="Hypertextovprepojenie"/>
            <w:rFonts w:cs="Calibri"/>
            <w:noProof/>
          </w:rPr>
          <w:t xml:space="preserve">TABUĽKA </w:t>
        </w:r>
        <w:r w:rsidR="002D435D" w:rsidRPr="002D435D">
          <w:rPr>
            <w:rStyle w:val="Hypertextovprepojenie"/>
            <w:noProof/>
          </w:rPr>
          <w:t xml:space="preserve">1 – </w:t>
        </w:r>
        <w:r w:rsidR="002D435D" w:rsidRPr="002D435D">
          <w:rPr>
            <w:rStyle w:val="Hypertextovprepojenie"/>
            <w:rFonts w:cs="Calibri"/>
            <w:noProof/>
          </w:rPr>
          <w:t>Prognóza vybraných indikátorov vývoja ekonomiky SR pre roky 2023 až 2028</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_Toc164684550 \h </w:instrText>
        </w:r>
        <w:r w:rsidR="002D435D" w:rsidRPr="002D435D">
          <w:rPr>
            <w:noProof/>
            <w:webHidden/>
          </w:rPr>
        </w:r>
        <w:r w:rsidR="002D435D" w:rsidRPr="002D435D">
          <w:rPr>
            <w:noProof/>
            <w:webHidden/>
          </w:rPr>
          <w:fldChar w:fldCharType="separate"/>
        </w:r>
        <w:r w:rsidR="007435E9">
          <w:rPr>
            <w:noProof/>
            <w:webHidden/>
          </w:rPr>
          <w:t>6</w:t>
        </w:r>
        <w:r w:rsidR="002D435D" w:rsidRPr="002D435D">
          <w:rPr>
            <w:noProof/>
            <w:webHidden/>
          </w:rPr>
          <w:fldChar w:fldCharType="end"/>
        </w:r>
      </w:hyperlink>
    </w:p>
    <w:p w14:paraId="5A60BC5F" w14:textId="6EF95C84"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1" w:history="1">
        <w:r w:rsidR="002D435D" w:rsidRPr="002D435D">
          <w:rPr>
            <w:rStyle w:val="Hypertextovprepojenie"/>
            <w:rFonts w:eastAsia="Arial Narrow" w:cs="Arial Narrow"/>
            <w:noProof/>
            <w:bdr w:val="nil"/>
          </w:rPr>
          <w:t xml:space="preserve">TABUĽKA </w:t>
        </w:r>
        <w:r w:rsidR="002D435D" w:rsidRPr="002D435D">
          <w:rPr>
            <w:rStyle w:val="Hypertextovprepojenie"/>
            <w:noProof/>
          </w:rPr>
          <w:t>2</w:t>
        </w:r>
        <w:r w:rsidR="002D435D" w:rsidRPr="002D435D">
          <w:rPr>
            <w:rStyle w:val="Hypertextovprepojenie"/>
            <w:rFonts w:eastAsia="Arial Narrow" w:cs="Arial Narrow"/>
            <w:noProof/>
            <w:bdr w:val="nil"/>
          </w:rPr>
          <w:t xml:space="preserve"> – </w:t>
        </w:r>
        <w:r w:rsidR="002D435D" w:rsidRPr="002D435D">
          <w:rPr>
            <w:rStyle w:val="Hypertextovprepojenie"/>
            <w:noProof/>
          </w:rPr>
          <w:t xml:space="preserve"> </w:t>
        </w:r>
        <w:r w:rsidR="002D435D" w:rsidRPr="002D435D">
          <w:rPr>
            <w:rStyle w:val="Hypertextovprepojenie"/>
            <w:rFonts w:eastAsia="Arial Narrow" w:cs="Arial Narrow"/>
            <w:noProof/>
            <w:bdr w:val="nil"/>
          </w:rPr>
          <w:t>Príspevky výrobných faktorov k rastu potenciálneho produktu – prístup MF SR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_Toc164684551 \h </w:instrText>
        </w:r>
        <w:r w:rsidR="002D435D" w:rsidRPr="002D435D">
          <w:rPr>
            <w:noProof/>
            <w:webHidden/>
          </w:rPr>
        </w:r>
        <w:r w:rsidR="002D435D" w:rsidRPr="002D435D">
          <w:rPr>
            <w:noProof/>
            <w:webHidden/>
          </w:rPr>
          <w:fldChar w:fldCharType="separate"/>
        </w:r>
        <w:r w:rsidR="007435E9">
          <w:rPr>
            <w:noProof/>
            <w:webHidden/>
          </w:rPr>
          <w:t>8</w:t>
        </w:r>
        <w:r w:rsidR="002D435D" w:rsidRPr="002D435D">
          <w:rPr>
            <w:noProof/>
            <w:webHidden/>
          </w:rPr>
          <w:fldChar w:fldCharType="end"/>
        </w:r>
      </w:hyperlink>
    </w:p>
    <w:p w14:paraId="4C277B3A" w14:textId="2F5E56F0"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2" w:history="1">
        <w:r w:rsidR="002D435D" w:rsidRPr="002D435D">
          <w:rPr>
            <w:rStyle w:val="Hypertextovprepojenie"/>
            <w:noProof/>
          </w:rPr>
          <w:t xml:space="preserve">TABUĽKA 3 – </w:t>
        </w:r>
        <w:r w:rsidR="002D435D" w:rsidRPr="002D435D">
          <w:rPr>
            <w:rStyle w:val="Hypertextovprepojenie"/>
            <w:rFonts w:cs="ArialNarrow,Bold"/>
            <w:noProof/>
          </w:rPr>
          <w:t>Opatrenia prijaté vládou v boji s energetickou krízou s vplyvom na rozpočet (v mil. eur)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_Toc164684552 \h </w:instrText>
        </w:r>
        <w:r w:rsidR="002D435D" w:rsidRPr="002D435D">
          <w:rPr>
            <w:noProof/>
            <w:webHidden/>
          </w:rPr>
        </w:r>
        <w:r w:rsidR="002D435D" w:rsidRPr="002D435D">
          <w:rPr>
            <w:noProof/>
            <w:webHidden/>
          </w:rPr>
          <w:fldChar w:fldCharType="separate"/>
        </w:r>
        <w:r w:rsidR="007435E9">
          <w:rPr>
            <w:noProof/>
            <w:webHidden/>
          </w:rPr>
          <w:t>11</w:t>
        </w:r>
        <w:r w:rsidR="002D435D" w:rsidRPr="002D435D">
          <w:rPr>
            <w:noProof/>
            <w:webHidden/>
          </w:rPr>
          <w:fldChar w:fldCharType="end"/>
        </w:r>
      </w:hyperlink>
    </w:p>
    <w:p w14:paraId="21AF3D6F" w14:textId="3B25D3CD"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3" w:history="1">
        <w:r w:rsidR="002D435D" w:rsidRPr="002D435D">
          <w:rPr>
            <w:rStyle w:val="Hypertextovprepojenie"/>
            <w:noProof/>
          </w:rPr>
          <w:t>TABUĽKA 4 – Konsolidačné úsilie (ESA 2010,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_Toc164684553 \h </w:instrText>
        </w:r>
        <w:r w:rsidR="002D435D" w:rsidRPr="002D435D">
          <w:rPr>
            <w:noProof/>
            <w:webHidden/>
          </w:rPr>
        </w:r>
        <w:r w:rsidR="002D435D" w:rsidRPr="002D435D">
          <w:rPr>
            <w:noProof/>
            <w:webHidden/>
          </w:rPr>
          <w:fldChar w:fldCharType="separate"/>
        </w:r>
        <w:r w:rsidR="007435E9">
          <w:rPr>
            <w:noProof/>
            <w:webHidden/>
          </w:rPr>
          <w:t>15</w:t>
        </w:r>
        <w:r w:rsidR="002D435D" w:rsidRPr="002D435D">
          <w:rPr>
            <w:noProof/>
            <w:webHidden/>
          </w:rPr>
          <w:fldChar w:fldCharType="end"/>
        </w:r>
      </w:hyperlink>
    </w:p>
    <w:p w14:paraId="5AD48B3D" w14:textId="3CDBBAAF"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4" w:history="1">
        <w:r w:rsidR="002D435D" w:rsidRPr="002D435D">
          <w:rPr>
            <w:rStyle w:val="Hypertextovprepojenie"/>
            <w:noProof/>
          </w:rPr>
          <w:t>TABUĽKA 5 – Bilancia výdavkov a príjmov v metodike ESA2010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_Toc164684554 \h </w:instrText>
        </w:r>
        <w:r w:rsidR="002D435D" w:rsidRPr="002D435D">
          <w:rPr>
            <w:noProof/>
            <w:webHidden/>
          </w:rPr>
        </w:r>
        <w:r w:rsidR="002D435D" w:rsidRPr="002D435D">
          <w:rPr>
            <w:noProof/>
            <w:webHidden/>
          </w:rPr>
          <w:fldChar w:fldCharType="separate"/>
        </w:r>
        <w:r w:rsidR="007435E9">
          <w:rPr>
            <w:noProof/>
            <w:webHidden/>
          </w:rPr>
          <w:t>16</w:t>
        </w:r>
        <w:r w:rsidR="002D435D" w:rsidRPr="002D435D">
          <w:rPr>
            <w:noProof/>
            <w:webHidden/>
          </w:rPr>
          <w:fldChar w:fldCharType="end"/>
        </w:r>
      </w:hyperlink>
    </w:p>
    <w:p w14:paraId="26EE7AAE" w14:textId="08E9C85C"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5" w:history="1">
        <w:r w:rsidR="002D435D" w:rsidRPr="002D435D">
          <w:rPr>
            <w:rStyle w:val="Hypertextovprepojenie"/>
            <w:noProof/>
          </w:rPr>
          <w:t>TABUĽKA 6 – Rozklad indikátora dlhodobej udržateľnosti S1 a S2 k roku 2024 a 2027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_Toc164684555 \h </w:instrText>
        </w:r>
        <w:r w:rsidR="002D435D" w:rsidRPr="002D435D">
          <w:rPr>
            <w:noProof/>
            <w:webHidden/>
          </w:rPr>
        </w:r>
        <w:r w:rsidR="002D435D" w:rsidRPr="002D435D">
          <w:rPr>
            <w:noProof/>
            <w:webHidden/>
          </w:rPr>
          <w:fldChar w:fldCharType="separate"/>
        </w:r>
        <w:r w:rsidR="007435E9">
          <w:rPr>
            <w:noProof/>
            <w:webHidden/>
          </w:rPr>
          <w:t>20</w:t>
        </w:r>
        <w:r w:rsidR="002D435D" w:rsidRPr="002D435D">
          <w:rPr>
            <w:noProof/>
            <w:webHidden/>
          </w:rPr>
          <w:fldChar w:fldCharType="end"/>
        </w:r>
      </w:hyperlink>
    </w:p>
    <w:p w14:paraId="25E51EAF" w14:textId="339D0F85"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6" w:history="1">
        <w:r w:rsidR="002D435D" w:rsidRPr="002D435D">
          <w:rPr>
            <w:rStyle w:val="Hypertextovprepojenie"/>
            <w:noProof/>
          </w:rPr>
          <w:t>TABUĽKA 7 – Prognóza vybraných indikátorov vývoja ekonomiky SR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_Toc164684556 \h </w:instrText>
        </w:r>
        <w:r w:rsidR="002D435D" w:rsidRPr="002D435D">
          <w:rPr>
            <w:noProof/>
            <w:webHidden/>
          </w:rPr>
        </w:r>
        <w:r w:rsidR="002D435D" w:rsidRPr="002D435D">
          <w:rPr>
            <w:noProof/>
            <w:webHidden/>
          </w:rPr>
          <w:fldChar w:fldCharType="separate"/>
        </w:r>
        <w:r w:rsidR="007435E9">
          <w:rPr>
            <w:noProof/>
            <w:webHidden/>
          </w:rPr>
          <w:t>25</w:t>
        </w:r>
        <w:r w:rsidR="002D435D" w:rsidRPr="002D435D">
          <w:rPr>
            <w:noProof/>
            <w:webHidden/>
          </w:rPr>
          <w:fldChar w:fldCharType="end"/>
        </w:r>
      </w:hyperlink>
    </w:p>
    <w:p w14:paraId="61D6DF43" w14:textId="7CC4D995"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7" w:history="1">
        <w:r w:rsidR="002D435D" w:rsidRPr="002D435D">
          <w:rPr>
            <w:rStyle w:val="Hypertextovprepojenie"/>
            <w:noProof/>
          </w:rPr>
          <w:t>TABUĽKA 8 – Porovnanie rozpočtových cieľov s Návrhom rozpočtu</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_Toc164684557 \h </w:instrText>
        </w:r>
        <w:r w:rsidR="002D435D" w:rsidRPr="002D435D">
          <w:rPr>
            <w:noProof/>
            <w:webHidden/>
          </w:rPr>
        </w:r>
        <w:r w:rsidR="002D435D" w:rsidRPr="002D435D">
          <w:rPr>
            <w:noProof/>
            <w:webHidden/>
          </w:rPr>
          <w:fldChar w:fldCharType="separate"/>
        </w:r>
        <w:r w:rsidR="007435E9">
          <w:rPr>
            <w:noProof/>
            <w:webHidden/>
          </w:rPr>
          <w:t>25</w:t>
        </w:r>
        <w:r w:rsidR="002D435D" w:rsidRPr="002D435D">
          <w:rPr>
            <w:noProof/>
            <w:webHidden/>
          </w:rPr>
          <w:fldChar w:fldCharType="end"/>
        </w:r>
      </w:hyperlink>
    </w:p>
    <w:p w14:paraId="0B3FF651" w14:textId="669ABA17"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8" w:history="1">
        <w:r w:rsidR="002D435D" w:rsidRPr="002D435D">
          <w:rPr>
            <w:rStyle w:val="Hypertextovprepojenie"/>
            <w:rFonts w:eastAsiaTheme="minorHAnsi"/>
            <w:noProof/>
          </w:rPr>
          <w:t xml:space="preserve">TABUĽKA </w:t>
        </w:r>
        <w:r w:rsidR="002D435D" w:rsidRPr="002D435D">
          <w:rPr>
            <w:rStyle w:val="Hypertextovprepojenie"/>
            <w:noProof/>
          </w:rPr>
          <w:t>9 – Hodnotenie decembrovej prognózy MF SR vo Výbore pre makroekonomické prognózy</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_Toc164684558 \h </w:instrText>
        </w:r>
        <w:r w:rsidR="002D435D" w:rsidRPr="002D435D">
          <w:rPr>
            <w:noProof/>
            <w:webHidden/>
          </w:rPr>
        </w:r>
        <w:r w:rsidR="002D435D" w:rsidRPr="002D435D">
          <w:rPr>
            <w:noProof/>
            <w:webHidden/>
          </w:rPr>
          <w:fldChar w:fldCharType="separate"/>
        </w:r>
        <w:r w:rsidR="007435E9">
          <w:rPr>
            <w:noProof/>
            <w:webHidden/>
          </w:rPr>
          <w:t>26</w:t>
        </w:r>
        <w:r w:rsidR="002D435D" w:rsidRPr="002D435D">
          <w:rPr>
            <w:noProof/>
            <w:webHidden/>
          </w:rPr>
          <w:fldChar w:fldCharType="end"/>
        </w:r>
      </w:hyperlink>
    </w:p>
    <w:p w14:paraId="2FD94743" w14:textId="6F323203"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59" w:history="1">
        <w:r w:rsidR="002D435D" w:rsidRPr="002D435D">
          <w:rPr>
            <w:rStyle w:val="Hypertextovprepojenie"/>
            <w:rFonts w:eastAsiaTheme="minorHAnsi"/>
            <w:noProof/>
          </w:rPr>
          <w:t xml:space="preserve">TABUĽKA </w:t>
        </w:r>
        <w:r w:rsidR="002D435D" w:rsidRPr="002D435D">
          <w:rPr>
            <w:rStyle w:val="Hypertextovprepojenie"/>
            <w:noProof/>
          </w:rPr>
          <w:t>10</w:t>
        </w:r>
        <w:r w:rsidR="002D435D" w:rsidRPr="002D435D">
          <w:rPr>
            <w:rStyle w:val="Hypertextovprepojenie"/>
            <w:rFonts w:eastAsiaTheme="minorHAnsi"/>
            <w:noProof/>
          </w:rPr>
          <w:t xml:space="preserve"> </w:t>
        </w:r>
        <w:r w:rsidR="002D435D" w:rsidRPr="002D435D">
          <w:rPr>
            <w:rStyle w:val="Hypertextovprepojenie"/>
            <w:noProof/>
          </w:rPr>
          <w:t>– Priemerná prognóza členov Výboru* (okrem MF SR) a prognóza MF SR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_Toc164684559 \h </w:instrText>
        </w:r>
        <w:r w:rsidR="002D435D" w:rsidRPr="002D435D">
          <w:rPr>
            <w:noProof/>
            <w:webHidden/>
          </w:rPr>
        </w:r>
        <w:r w:rsidR="002D435D" w:rsidRPr="002D435D">
          <w:rPr>
            <w:noProof/>
            <w:webHidden/>
          </w:rPr>
          <w:fldChar w:fldCharType="separate"/>
        </w:r>
        <w:r w:rsidR="007435E9">
          <w:rPr>
            <w:noProof/>
            <w:webHidden/>
          </w:rPr>
          <w:t>26</w:t>
        </w:r>
        <w:r w:rsidR="002D435D" w:rsidRPr="002D435D">
          <w:rPr>
            <w:noProof/>
            <w:webHidden/>
          </w:rPr>
          <w:fldChar w:fldCharType="end"/>
        </w:r>
      </w:hyperlink>
    </w:p>
    <w:p w14:paraId="3D8F93E8" w14:textId="14F66AE5"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0" w:history="1">
        <w:r w:rsidR="002D435D" w:rsidRPr="002D435D">
          <w:rPr>
            <w:rStyle w:val="Hypertextovprepojenie"/>
            <w:noProof/>
          </w:rPr>
          <w:t>TABUĽKA 11 – Hodnotenie prognózy MF SR vo Výbore pre daňové prognózy</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_Toc164684560 \h </w:instrText>
        </w:r>
        <w:r w:rsidR="002D435D" w:rsidRPr="002D435D">
          <w:rPr>
            <w:noProof/>
            <w:webHidden/>
          </w:rPr>
        </w:r>
        <w:r w:rsidR="002D435D" w:rsidRPr="002D435D">
          <w:rPr>
            <w:noProof/>
            <w:webHidden/>
          </w:rPr>
          <w:fldChar w:fldCharType="separate"/>
        </w:r>
        <w:r w:rsidR="007435E9">
          <w:rPr>
            <w:noProof/>
            <w:webHidden/>
          </w:rPr>
          <w:t>27</w:t>
        </w:r>
        <w:r w:rsidR="002D435D" w:rsidRPr="002D435D">
          <w:rPr>
            <w:noProof/>
            <w:webHidden/>
          </w:rPr>
          <w:fldChar w:fldCharType="end"/>
        </w:r>
      </w:hyperlink>
    </w:p>
    <w:p w14:paraId="4829F875" w14:textId="70D57A07"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1" w:history="1">
        <w:r w:rsidR="002D435D" w:rsidRPr="002D435D">
          <w:rPr>
            <w:rStyle w:val="Hypertextovprepojenie"/>
            <w:noProof/>
          </w:rPr>
          <w:t>TABUĽKA 12 – Hotovostné vplyvy na zmenu nominálneho hrubého dlhu (aktuálny návrh rozpočtu, v mil. eur)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_Toc164684561 \h </w:instrText>
        </w:r>
        <w:r w:rsidR="002D435D" w:rsidRPr="002D435D">
          <w:rPr>
            <w:noProof/>
            <w:webHidden/>
          </w:rPr>
        </w:r>
        <w:r w:rsidR="002D435D" w:rsidRPr="002D435D">
          <w:rPr>
            <w:noProof/>
            <w:webHidden/>
          </w:rPr>
          <w:fldChar w:fldCharType="separate"/>
        </w:r>
        <w:r w:rsidR="007435E9">
          <w:rPr>
            <w:noProof/>
            <w:webHidden/>
          </w:rPr>
          <w:t>28</w:t>
        </w:r>
        <w:r w:rsidR="002D435D" w:rsidRPr="002D435D">
          <w:rPr>
            <w:noProof/>
            <w:webHidden/>
          </w:rPr>
          <w:fldChar w:fldCharType="end"/>
        </w:r>
      </w:hyperlink>
    </w:p>
    <w:p w14:paraId="0D2D7DCB" w14:textId="3B8CF039"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2" w:history="1">
        <w:r w:rsidR="002D435D" w:rsidRPr="002D435D">
          <w:rPr>
            <w:rStyle w:val="Hypertextovprepojenie"/>
            <w:noProof/>
          </w:rPr>
          <w:t>TABUĽKA 13 – Hotovostné vplyvy na zmenu nominálneho hrubého dlhu (ciele deficitov vlády, v mil. eur)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_Toc164684562 \h </w:instrText>
        </w:r>
        <w:r w:rsidR="002D435D" w:rsidRPr="002D435D">
          <w:rPr>
            <w:noProof/>
            <w:webHidden/>
          </w:rPr>
        </w:r>
        <w:r w:rsidR="002D435D" w:rsidRPr="002D435D">
          <w:rPr>
            <w:noProof/>
            <w:webHidden/>
          </w:rPr>
          <w:fldChar w:fldCharType="separate"/>
        </w:r>
        <w:r w:rsidR="007435E9">
          <w:rPr>
            <w:noProof/>
            <w:webHidden/>
          </w:rPr>
          <w:t>28</w:t>
        </w:r>
        <w:r w:rsidR="002D435D" w:rsidRPr="002D435D">
          <w:rPr>
            <w:noProof/>
            <w:webHidden/>
          </w:rPr>
          <w:fldChar w:fldCharType="end"/>
        </w:r>
      </w:hyperlink>
    </w:p>
    <w:p w14:paraId="253F8DB2" w14:textId="7DA5EFE2"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3" w:history="1">
        <w:r w:rsidR="002D435D" w:rsidRPr="002D435D">
          <w:rPr>
            <w:rStyle w:val="Hypertextovprepojenie"/>
            <w:noProof/>
          </w:rPr>
          <w:t>TABUĽKA 14 – Zoznam jednorazových a dočasných opatrení</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_Toc164684563 \h </w:instrText>
        </w:r>
        <w:r w:rsidR="002D435D" w:rsidRPr="002D435D">
          <w:rPr>
            <w:noProof/>
            <w:webHidden/>
          </w:rPr>
        </w:r>
        <w:r w:rsidR="002D435D" w:rsidRPr="002D435D">
          <w:rPr>
            <w:noProof/>
            <w:webHidden/>
          </w:rPr>
          <w:fldChar w:fldCharType="separate"/>
        </w:r>
        <w:r w:rsidR="007435E9">
          <w:rPr>
            <w:noProof/>
            <w:webHidden/>
          </w:rPr>
          <w:t>29</w:t>
        </w:r>
        <w:r w:rsidR="002D435D" w:rsidRPr="002D435D">
          <w:rPr>
            <w:noProof/>
            <w:webHidden/>
          </w:rPr>
          <w:fldChar w:fldCharType="end"/>
        </w:r>
      </w:hyperlink>
    </w:p>
    <w:p w14:paraId="122B9AF1" w14:textId="66A7137F"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4" w:history="1">
        <w:r w:rsidR="002D435D" w:rsidRPr="002D435D">
          <w:rPr>
            <w:rStyle w:val="Hypertextovprepojenie"/>
            <w:noProof/>
          </w:rPr>
          <w:t>TABUĽKA 15 – Diskrečné príjmové opatrenia – medziročné vplyvy opatrení (mil. eur, ESA2010)</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_Toc164684564 \h </w:instrText>
        </w:r>
        <w:r w:rsidR="002D435D" w:rsidRPr="002D435D">
          <w:rPr>
            <w:noProof/>
            <w:webHidden/>
          </w:rPr>
        </w:r>
        <w:r w:rsidR="002D435D" w:rsidRPr="002D435D">
          <w:rPr>
            <w:noProof/>
            <w:webHidden/>
          </w:rPr>
          <w:fldChar w:fldCharType="separate"/>
        </w:r>
        <w:r w:rsidR="007435E9">
          <w:rPr>
            <w:noProof/>
            <w:webHidden/>
          </w:rPr>
          <w:t>30</w:t>
        </w:r>
        <w:r w:rsidR="002D435D" w:rsidRPr="002D435D">
          <w:rPr>
            <w:noProof/>
            <w:webHidden/>
          </w:rPr>
          <w:fldChar w:fldCharType="end"/>
        </w:r>
      </w:hyperlink>
    </w:p>
    <w:p w14:paraId="2DE3C8A6" w14:textId="53786CED"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5" w:history="1">
        <w:r w:rsidR="002D435D" w:rsidRPr="002D435D">
          <w:rPr>
            <w:rStyle w:val="Hypertextovprepojenie"/>
            <w:noProof/>
          </w:rPr>
          <w:t>TABUĽKA 16 – Diskrečné výdavkové opatrenia – medziročné vplyvy opatrení (mil. eur, ESA2010)</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_Toc164684565 \h </w:instrText>
        </w:r>
        <w:r w:rsidR="002D435D" w:rsidRPr="002D435D">
          <w:rPr>
            <w:noProof/>
            <w:webHidden/>
          </w:rPr>
        </w:r>
        <w:r w:rsidR="002D435D" w:rsidRPr="002D435D">
          <w:rPr>
            <w:noProof/>
            <w:webHidden/>
          </w:rPr>
          <w:fldChar w:fldCharType="separate"/>
        </w:r>
        <w:r w:rsidR="007435E9">
          <w:rPr>
            <w:noProof/>
            <w:webHidden/>
          </w:rPr>
          <w:t>31</w:t>
        </w:r>
        <w:r w:rsidR="002D435D" w:rsidRPr="002D435D">
          <w:rPr>
            <w:noProof/>
            <w:webHidden/>
          </w:rPr>
          <w:fldChar w:fldCharType="end"/>
        </w:r>
      </w:hyperlink>
    </w:p>
    <w:p w14:paraId="6634F8AA" w14:textId="77777777" w:rsidR="002D435D" w:rsidRPr="002D435D" w:rsidRDefault="00315902">
      <w:pPr>
        <w:pStyle w:val="Zoznamobrzkov"/>
        <w:tabs>
          <w:tab w:val="right" w:leader="dot" w:pos="9060"/>
        </w:tabs>
        <w:rPr>
          <w:noProof/>
        </w:rPr>
      </w:pPr>
      <w:r w:rsidRPr="002D435D">
        <w:rPr>
          <w:rStyle w:val="Hypertextovprepojenie"/>
          <w:rFonts w:eastAsiaTheme="minorHAnsi"/>
          <w:lang w:eastAsia="en-US"/>
        </w:rPr>
        <w:fldChar w:fldCharType="end"/>
      </w:r>
      <w:r w:rsidRPr="002D435D">
        <w:rPr>
          <w:rStyle w:val="Hypertextovprepojenie"/>
          <w:rFonts w:eastAsiaTheme="minorHAnsi"/>
          <w:lang w:eastAsia="en-US"/>
        </w:rPr>
        <w:fldChar w:fldCharType="begin"/>
      </w:r>
      <w:r w:rsidRPr="002D435D">
        <w:rPr>
          <w:rStyle w:val="Hypertextovprepojenie"/>
          <w:rFonts w:eastAsiaTheme="minorHAnsi"/>
          <w:lang w:eastAsia="en-US"/>
        </w:rPr>
        <w:instrText xml:space="preserve"> TOC \h \z \c "GRAF" </w:instrText>
      </w:r>
      <w:r w:rsidRPr="002D435D">
        <w:rPr>
          <w:rStyle w:val="Hypertextovprepojenie"/>
          <w:rFonts w:eastAsiaTheme="minorHAnsi"/>
          <w:lang w:eastAsia="en-US"/>
        </w:rPr>
        <w:fldChar w:fldCharType="separate"/>
      </w:r>
    </w:p>
    <w:p w14:paraId="19347A6F" w14:textId="316BA03F"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6" w:history="1">
        <w:r w:rsidR="002D435D" w:rsidRPr="002D435D">
          <w:rPr>
            <w:rStyle w:val="Hypertextovprepojenie"/>
            <w:noProof/>
          </w:rPr>
          <w:t>GRAF 1 – Príspevky k rastu HDP – prognóza (p.b.)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_Toc164684566 \h </w:instrText>
        </w:r>
        <w:r w:rsidR="002D435D" w:rsidRPr="002D435D">
          <w:rPr>
            <w:noProof/>
            <w:webHidden/>
          </w:rPr>
        </w:r>
        <w:r w:rsidR="002D435D" w:rsidRPr="002D435D">
          <w:rPr>
            <w:noProof/>
            <w:webHidden/>
          </w:rPr>
          <w:fldChar w:fldCharType="separate"/>
        </w:r>
        <w:r w:rsidR="007435E9">
          <w:rPr>
            <w:noProof/>
            <w:webHidden/>
          </w:rPr>
          <w:t>5</w:t>
        </w:r>
        <w:r w:rsidR="002D435D" w:rsidRPr="002D435D">
          <w:rPr>
            <w:noProof/>
            <w:webHidden/>
          </w:rPr>
          <w:fldChar w:fldCharType="end"/>
        </w:r>
      </w:hyperlink>
    </w:p>
    <w:p w14:paraId="0D49C4A7" w14:textId="605A7BB8"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7" w:history="1">
        <w:r w:rsidR="002D435D" w:rsidRPr="002D435D">
          <w:rPr>
            <w:rStyle w:val="Hypertextovprepojenie"/>
            <w:noProof/>
          </w:rPr>
          <w:t>GRAF 2 – Čerpanie EÚ zdrojov (mil. EUR)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_Toc164684567 \h </w:instrText>
        </w:r>
        <w:r w:rsidR="002D435D" w:rsidRPr="002D435D">
          <w:rPr>
            <w:noProof/>
            <w:webHidden/>
          </w:rPr>
        </w:r>
        <w:r w:rsidR="002D435D" w:rsidRPr="002D435D">
          <w:rPr>
            <w:noProof/>
            <w:webHidden/>
          </w:rPr>
          <w:fldChar w:fldCharType="separate"/>
        </w:r>
        <w:r w:rsidR="007435E9">
          <w:rPr>
            <w:noProof/>
            <w:webHidden/>
          </w:rPr>
          <w:t>5</w:t>
        </w:r>
        <w:r w:rsidR="002D435D" w:rsidRPr="002D435D">
          <w:rPr>
            <w:noProof/>
            <w:webHidden/>
          </w:rPr>
          <w:fldChar w:fldCharType="end"/>
        </w:r>
      </w:hyperlink>
    </w:p>
    <w:p w14:paraId="6209E35A" w14:textId="353B91C5"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8" w:history="1">
        <w:r w:rsidR="002D435D" w:rsidRPr="002D435D">
          <w:rPr>
            <w:rStyle w:val="Hypertextovprepojenie"/>
            <w:noProof/>
          </w:rPr>
          <w:t>GRAF 3 – Príspevky k rastu zamestnanosti (p. 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_Toc164684568 \h </w:instrText>
        </w:r>
        <w:r w:rsidR="002D435D" w:rsidRPr="002D435D">
          <w:rPr>
            <w:noProof/>
            <w:webHidden/>
          </w:rPr>
        </w:r>
        <w:r w:rsidR="002D435D" w:rsidRPr="002D435D">
          <w:rPr>
            <w:noProof/>
            <w:webHidden/>
          </w:rPr>
          <w:fldChar w:fldCharType="separate"/>
        </w:r>
        <w:r w:rsidR="007435E9">
          <w:rPr>
            <w:noProof/>
            <w:webHidden/>
          </w:rPr>
          <w:t>7</w:t>
        </w:r>
        <w:r w:rsidR="002D435D" w:rsidRPr="002D435D">
          <w:rPr>
            <w:noProof/>
            <w:webHidden/>
          </w:rPr>
          <w:fldChar w:fldCharType="end"/>
        </w:r>
      </w:hyperlink>
    </w:p>
    <w:p w14:paraId="3063E5BD" w14:textId="34C68D7C"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69" w:history="1">
        <w:r w:rsidR="002D435D" w:rsidRPr="002D435D">
          <w:rPr>
            <w:rStyle w:val="Hypertextovprepojenie"/>
            <w:noProof/>
          </w:rPr>
          <w:t>GRAF 4 – Príspevky k inflácii (p. 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_Toc164684569 \h </w:instrText>
        </w:r>
        <w:r w:rsidR="002D435D" w:rsidRPr="002D435D">
          <w:rPr>
            <w:noProof/>
            <w:webHidden/>
          </w:rPr>
        </w:r>
        <w:r w:rsidR="002D435D" w:rsidRPr="002D435D">
          <w:rPr>
            <w:noProof/>
            <w:webHidden/>
          </w:rPr>
          <w:fldChar w:fldCharType="separate"/>
        </w:r>
        <w:r w:rsidR="007435E9">
          <w:rPr>
            <w:noProof/>
            <w:webHidden/>
          </w:rPr>
          <w:t>7</w:t>
        </w:r>
        <w:r w:rsidR="002D435D" w:rsidRPr="002D435D">
          <w:rPr>
            <w:noProof/>
            <w:webHidden/>
          </w:rPr>
          <w:fldChar w:fldCharType="end"/>
        </w:r>
      </w:hyperlink>
    </w:p>
    <w:p w14:paraId="037148AC" w14:textId="5858E7BB"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0" w:history="1">
        <w:r w:rsidR="002D435D" w:rsidRPr="002D435D">
          <w:rPr>
            <w:rStyle w:val="Hypertextovprepojenie"/>
            <w:rFonts w:eastAsia="NeueHaasGroteskText W02" w:cs="Arial"/>
            <w:noProof/>
          </w:rPr>
          <w:t xml:space="preserve">GRAF </w:t>
        </w:r>
        <w:r w:rsidR="002D435D" w:rsidRPr="002D435D">
          <w:rPr>
            <w:rStyle w:val="Hypertextovprepojenie"/>
            <w:noProof/>
          </w:rPr>
          <w:t>5</w:t>
        </w:r>
        <w:r w:rsidR="002D435D" w:rsidRPr="002D435D">
          <w:rPr>
            <w:rStyle w:val="Hypertextovprepojenie"/>
            <w:rFonts w:eastAsia="NeueHaasGroteskText W02" w:cs="Arial"/>
            <w:noProof/>
          </w:rPr>
          <w:t xml:space="preserve"> –  Medziročná zmena váž. Indexu zahraničného dopytu (%)</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_Toc164684570 \h </w:instrText>
        </w:r>
        <w:r w:rsidR="002D435D" w:rsidRPr="002D435D">
          <w:rPr>
            <w:noProof/>
            <w:webHidden/>
          </w:rPr>
        </w:r>
        <w:r w:rsidR="002D435D" w:rsidRPr="002D435D">
          <w:rPr>
            <w:noProof/>
            <w:webHidden/>
          </w:rPr>
          <w:fldChar w:fldCharType="separate"/>
        </w:r>
        <w:r w:rsidR="007435E9">
          <w:rPr>
            <w:noProof/>
            <w:webHidden/>
          </w:rPr>
          <w:t>7</w:t>
        </w:r>
        <w:r w:rsidR="002D435D" w:rsidRPr="002D435D">
          <w:rPr>
            <w:noProof/>
            <w:webHidden/>
          </w:rPr>
          <w:fldChar w:fldCharType="end"/>
        </w:r>
      </w:hyperlink>
    </w:p>
    <w:p w14:paraId="2BFDAD20" w14:textId="6624E0B1"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1" w:history="1">
        <w:r w:rsidR="002D435D" w:rsidRPr="002D435D">
          <w:rPr>
            <w:rStyle w:val="Hypertextovprepojenie"/>
            <w:rFonts w:eastAsia="NeueHaasGroteskText W02" w:cs="Arial"/>
            <w:noProof/>
          </w:rPr>
          <w:t xml:space="preserve">GRAF </w:t>
        </w:r>
        <w:r w:rsidR="002D435D" w:rsidRPr="002D435D">
          <w:rPr>
            <w:rStyle w:val="Hypertextovprepojenie"/>
            <w:noProof/>
          </w:rPr>
          <w:t>6</w:t>
        </w:r>
        <w:r w:rsidR="002D435D" w:rsidRPr="002D435D">
          <w:rPr>
            <w:rStyle w:val="Hypertextovprepojenie"/>
            <w:rFonts w:eastAsia="NeueHaasGroteskText W02" w:cs="Arial"/>
            <w:noProof/>
          </w:rPr>
          <w:t xml:space="preserve"> – Odhad vývoja úr. Sadzby €str podľa úr. Swapov</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_Toc164684571 \h </w:instrText>
        </w:r>
        <w:r w:rsidR="002D435D" w:rsidRPr="002D435D">
          <w:rPr>
            <w:noProof/>
            <w:webHidden/>
          </w:rPr>
        </w:r>
        <w:r w:rsidR="002D435D" w:rsidRPr="002D435D">
          <w:rPr>
            <w:noProof/>
            <w:webHidden/>
          </w:rPr>
          <w:fldChar w:fldCharType="separate"/>
        </w:r>
        <w:r w:rsidR="007435E9">
          <w:rPr>
            <w:noProof/>
            <w:webHidden/>
          </w:rPr>
          <w:t>7</w:t>
        </w:r>
        <w:r w:rsidR="002D435D" w:rsidRPr="002D435D">
          <w:rPr>
            <w:noProof/>
            <w:webHidden/>
          </w:rPr>
          <w:fldChar w:fldCharType="end"/>
        </w:r>
      </w:hyperlink>
    </w:p>
    <w:p w14:paraId="3DE778C5" w14:textId="5EC2C1ED"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2" w:history="1">
        <w:r w:rsidR="002D435D" w:rsidRPr="002D435D">
          <w:rPr>
            <w:rStyle w:val="Hypertextovprepojenie"/>
            <w:rFonts w:eastAsia="Arial Narrow" w:cs="Arial Narrow"/>
            <w:noProof/>
          </w:rPr>
          <w:t xml:space="preserve">GRAF </w:t>
        </w:r>
        <w:r w:rsidR="002D435D" w:rsidRPr="002D435D">
          <w:rPr>
            <w:rStyle w:val="Hypertextovprepojenie"/>
            <w:noProof/>
          </w:rPr>
          <w:t xml:space="preserve">7 </w:t>
        </w:r>
        <w:r w:rsidR="002D435D" w:rsidRPr="002D435D">
          <w:rPr>
            <w:rStyle w:val="Hypertextovprepojenie"/>
            <w:rFonts w:eastAsia="NeueHaasGroteskText W02" w:cs="Arial"/>
            <w:noProof/>
          </w:rPr>
          <w:t>–</w:t>
        </w:r>
        <w:r w:rsidR="002D435D" w:rsidRPr="002D435D">
          <w:rPr>
            <w:rStyle w:val="Hypertextovprepojenie"/>
            <w:rFonts w:eastAsia="Arial Narrow" w:cs="Arial Narrow"/>
            <w:noProof/>
          </w:rPr>
          <w:t xml:space="preserve"> </w:t>
        </w:r>
        <w:r w:rsidR="002D435D" w:rsidRPr="002D435D">
          <w:rPr>
            <w:rStyle w:val="Hypertextovprepojenie"/>
            <w:noProof/>
          </w:rPr>
          <w:t xml:space="preserve"> </w:t>
        </w:r>
        <w:r w:rsidR="002D435D" w:rsidRPr="002D435D">
          <w:rPr>
            <w:rStyle w:val="Hypertextovprepojenie"/>
            <w:rFonts w:eastAsia="Arial Narrow" w:cs="Arial Narrow"/>
            <w:noProof/>
          </w:rPr>
          <w:t>Príspevky výrobných faktorov k rastu potenciálneho produktu (p. b.) – prístup MF SR</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_Toc164684572 \h </w:instrText>
        </w:r>
        <w:r w:rsidR="002D435D" w:rsidRPr="002D435D">
          <w:rPr>
            <w:noProof/>
            <w:webHidden/>
          </w:rPr>
        </w:r>
        <w:r w:rsidR="002D435D" w:rsidRPr="002D435D">
          <w:rPr>
            <w:noProof/>
            <w:webHidden/>
          </w:rPr>
          <w:fldChar w:fldCharType="separate"/>
        </w:r>
        <w:r w:rsidR="007435E9">
          <w:rPr>
            <w:noProof/>
            <w:webHidden/>
          </w:rPr>
          <w:t>8</w:t>
        </w:r>
        <w:r w:rsidR="002D435D" w:rsidRPr="002D435D">
          <w:rPr>
            <w:noProof/>
            <w:webHidden/>
          </w:rPr>
          <w:fldChar w:fldCharType="end"/>
        </w:r>
      </w:hyperlink>
    </w:p>
    <w:p w14:paraId="7410F6BA" w14:textId="5BF38CF3"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3" w:history="1">
        <w:r w:rsidR="002D435D" w:rsidRPr="002D435D">
          <w:rPr>
            <w:rStyle w:val="Hypertextovprepojenie"/>
            <w:noProof/>
          </w:rPr>
          <w:t>GRAF 8 – Vývoj nominálneho salda v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_Toc164684573 \h </w:instrText>
        </w:r>
        <w:r w:rsidR="002D435D" w:rsidRPr="002D435D">
          <w:rPr>
            <w:noProof/>
            <w:webHidden/>
          </w:rPr>
        </w:r>
        <w:r w:rsidR="002D435D" w:rsidRPr="002D435D">
          <w:rPr>
            <w:noProof/>
            <w:webHidden/>
          </w:rPr>
          <w:fldChar w:fldCharType="separate"/>
        </w:r>
        <w:r w:rsidR="007435E9">
          <w:rPr>
            <w:noProof/>
            <w:webHidden/>
          </w:rPr>
          <w:t>9</w:t>
        </w:r>
        <w:r w:rsidR="002D435D" w:rsidRPr="002D435D">
          <w:rPr>
            <w:noProof/>
            <w:webHidden/>
          </w:rPr>
          <w:fldChar w:fldCharType="end"/>
        </w:r>
      </w:hyperlink>
    </w:p>
    <w:p w14:paraId="49D6439E" w14:textId="3FCF3A24"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4" w:history="1">
        <w:r w:rsidR="002D435D" w:rsidRPr="002D435D">
          <w:rPr>
            <w:rStyle w:val="Hypertextovprepojenie"/>
            <w:noProof/>
          </w:rPr>
          <w:t>GRAF 9 – Príspevky daní k medziročnému rastu daňovo-odvod. príjmov (2023, ESA 2010, v p. 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_Toc164684574 \h </w:instrText>
        </w:r>
        <w:r w:rsidR="002D435D" w:rsidRPr="002D435D">
          <w:rPr>
            <w:noProof/>
            <w:webHidden/>
          </w:rPr>
        </w:r>
        <w:r w:rsidR="002D435D" w:rsidRPr="002D435D">
          <w:rPr>
            <w:noProof/>
            <w:webHidden/>
          </w:rPr>
          <w:fldChar w:fldCharType="separate"/>
        </w:r>
        <w:r w:rsidR="007435E9">
          <w:rPr>
            <w:noProof/>
            <w:webHidden/>
          </w:rPr>
          <w:t>10</w:t>
        </w:r>
        <w:r w:rsidR="002D435D" w:rsidRPr="002D435D">
          <w:rPr>
            <w:noProof/>
            <w:webHidden/>
          </w:rPr>
          <w:fldChar w:fldCharType="end"/>
        </w:r>
      </w:hyperlink>
    </w:p>
    <w:p w14:paraId="3BECDC97" w14:textId="032F1D2F"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5" w:history="1">
        <w:r w:rsidR="002D435D" w:rsidRPr="002D435D">
          <w:rPr>
            <w:rStyle w:val="Hypertextovprepojenie"/>
            <w:noProof/>
          </w:rPr>
          <w:t>GRAF 10 – Príspevky faktorov k medziročnému rastu daňovo-odvod. príjmov (2023, ESA 2010, v p.b.)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_Toc164684575 \h </w:instrText>
        </w:r>
        <w:r w:rsidR="002D435D" w:rsidRPr="002D435D">
          <w:rPr>
            <w:noProof/>
            <w:webHidden/>
          </w:rPr>
        </w:r>
        <w:r w:rsidR="002D435D" w:rsidRPr="002D435D">
          <w:rPr>
            <w:noProof/>
            <w:webHidden/>
          </w:rPr>
          <w:fldChar w:fldCharType="separate"/>
        </w:r>
        <w:r w:rsidR="007435E9">
          <w:rPr>
            <w:noProof/>
            <w:webHidden/>
          </w:rPr>
          <w:t>10</w:t>
        </w:r>
        <w:r w:rsidR="002D435D" w:rsidRPr="002D435D">
          <w:rPr>
            <w:noProof/>
            <w:webHidden/>
          </w:rPr>
          <w:fldChar w:fldCharType="end"/>
        </w:r>
      </w:hyperlink>
    </w:p>
    <w:p w14:paraId="08D75EAE" w14:textId="4D5B61B4"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6" w:history="1">
        <w:r w:rsidR="002D435D" w:rsidRPr="002D435D">
          <w:rPr>
            <w:rStyle w:val="Hypertextovprepojenie"/>
            <w:noProof/>
          </w:rPr>
          <w:t>GRAF 11 – Medziročná zmena daní po faktoroch (2024, ESA 2010, v p. 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_Toc164684576 \h </w:instrText>
        </w:r>
        <w:r w:rsidR="002D435D" w:rsidRPr="002D435D">
          <w:rPr>
            <w:noProof/>
            <w:webHidden/>
          </w:rPr>
        </w:r>
        <w:r w:rsidR="002D435D" w:rsidRPr="002D435D">
          <w:rPr>
            <w:noProof/>
            <w:webHidden/>
          </w:rPr>
          <w:fldChar w:fldCharType="separate"/>
        </w:r>
        <w:r w:rsidR="007435E9">
          <w:rPr>
            <w:noProof/>
            <w:webHidden/>
          </w:rPr>
          <w:t>13</w:t>
        </w:r>
        <w:r w:rsidR="002D435D" w:rsidRPr="002D435D">
          <w:rPr>
            <w:noProof/>
            <w:webHidden/>
          </w:rPr>
          <w:fldChar w:fldCharType="end"/>
        </w:r>
      </w:hyperlink>
    </w:p>
    <w:p w14:paraId="4957FA2C" w14:textId="75358DDA"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7" w:history="1">
        <w:r w:rsidR="002D435D" w:rsidRPr="002D435D">
          <w:rPr>
            <w:rStyle w:val="Hypertextovprepojenie"/>
            <w:noProof/>
          </w:rPr>
          <w:t>GRAF 12 – Vply jednotlivých faktorov na rast DPH v roku 2024 (2024, ESA 2010, v p. b.)</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_Toc164684577 \h </w:instrText>
        </w:r>
        <w:r w:rsidR="002D435D" w:rsidRPr="002D435D">
          <w:rPr>
            <w:noProof/>
            <w:webHidden/>
          </w:rPr>
        </w:r>
        <w:r w:rsidR="002D435D" w:rsidRPr="002D435D">
          <w:rPr>
            <w:noProof/>
            <w:webHidden/>
          </w:rPr>
          <w:fldChar w:fldCharType="separate"/>
        </w:r>
        <w:r w:rsidR="007435E9">
          <w:rPr>
            <w:noProof/>
            <w:webHidden/>
          </w:rPr>
          <w:t>13</w:t>
        </w:r>
        <w:r w:rsidR="002D435D" w:rsidRPr="002D435D">
          <w:rPr>
            <w:noProof/>
            <w:webHidden/>
          </w:rPr>
          <w:fldChar w:fldCharType="end"/>
        </w:r>
      </w:hyperlink>
    </w:p>
    <w:p w14:paraId="4F255655" w14:textId="032BE666"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8" w:history="1">
        <w:r w:rsidR="002D435D" w:rsidRPr="002D435D">
          <w:rPr>
            <w:rStyle w:val="Hypertextovprepojenie"/>
            <w:noProof/>
          </w:rPr>
          <w:t>GRAF 13 – Rast národne financovaných čistých primárnych výdavkov (%)</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_Toc164684578 \h </w:instrText>
        </w:r>
        <w:r w:rsidR="002D435D" w:rsidRPr="002D435D">
          <w:rPr>
            <w:noProof/>
            <w:webHidden/>
          </w:rPr>
        </w:r>
        <w:r w:rsidR="002D435D" w:rsidRPr="002D435D">
          <w:rPr>
            <w:noProof/>
            <w:webHidden/>
          </w:rPr>
          <w:fldChar w:fldCharType="separate"/>
        </w:r>
        <w:r w:rsidR="007435E9">
          <w:rPr>
            <w:noProof/>
            <w:webHidden/>
          </w:rPr>
          <w:t>17</w:t>
        </w:r>
        <w:r w:rsidR="002D435D" w:rsidRPr="002D435D">
          <w:rPr>
            <w:noProof/>
            <w:webHidden/>
          </w:rPr>
          <w:fldChar w:fldCharType="end"/>
        </w:r>
      </w:hyperlink>
    </w:p>
    <w:p w14:paraId="666DC761" w14:textId="19F10C7E"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79" w:history="1">
        <w:r w:rsidR="002D435D" w:rsidRPr="002D435D">
          <w:rPr>
            <w:rStyle w:val="Hypertextovprepojenie"/>
            <w:rFonts w:cs="Arial Narrow"/>
            <w:noProof/>
          </w:rPr>
          <w:t xml:space="preserve">GRAF </w:t>
        </w:r>
        <w:r w:rsidR="002D435D" w:rsidRPr="002D435D">
          <w:rPr>
            <w:rStyle w:val="Hypertextovprepojenie"/>
            <w:noProof/>
          </w:rPr>
          <w:t>14 –</w:t>
        </w:r>
        <w:r w:rsidR="002D435D" w:rsidRPr="002D435D">
          <w:rPr>
            <w:rStyle w:val="Hypertextovprepojenie"/>
            <w:rFonts w:eastAsia="NeueHaasGroteskText W02" w:cs="Arial"/>
            <w:noProof/>
          </w:rPr>
          <w:t> Prognóza hrubého a čistého dlhu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_Toc164684579 \h </w:instrText>
        </w:r>
        <w:r w:rsidR="002D435D" w:rsidRPr="002D435D">
          <w:rPr>
            <w:noProof/>
            <w:webHidden/>
          </w:rPr>
        </w:r>
        <w:r w:rsidR="002D435D" w:rsidRPr="002D435D">
          <w:rPr>
            <w:noProof/>
            <w:webHidden/>
          </w:rPr>
          <w:fldChar w:fldCharType="separate"/>
        </w:r>
        <w:r w:rsidR="007435E9">
          <w:rPr>
            <w:noProof/>
            <w:webHidden/>
          </w:rPr>
          <w:t>19</w:t>
        </w:r>
        <w:r w:rsidR="002D435D" w:rsidRPr="002D435D">
          <w:rPr>
            <w:noProof/>
            <w:webHidden/>
          </w:rPr>
          <w:fldChar w:fldCharType="end"/>
        </w:r>
      </w:hyperlink>
    </w:p>
    <w:p w14:paraId="1C86BF8A" w14:textId="6DF9F3DA"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80" w:history="1">
        <w:r w:rsidR="002D435D" w:rsidRPr="002D435D">
          <w:rPr>
            <w:rStyle w:val="Hypertextovprepojenie"/>
            <w:noProof/>
          </w:rPr>
          <w:t xml:space="preserve">GRAF 15 – </w:t>
        </w:r>
        <w:r w:rsidR="002D435D" w:rsidRPr="002D435D">
          <w:rPr>
            <w:rStyle w:val="Hypertextovprepojenie"/>
            <w:rFonts w:eastAsia="NeueHaasGroteskText W02" w:cs="Arial"/>
            <w:noProof/>
          </w:rPr>
          <w:t>Príspevky k zmene hrubého dlhu (v scenári bez reakcie vlády,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_Toc164684580 \h </w:instrText>
        </w:r>
        <w:r w:rsidR="002D435D" w:rsidRPr="002D435D">
          <w:rPr>
            <w:noProof/>
            <w:webHidden/>
          </w:rPr>
        </w:r>
        <w:r w:rsidR="002D435D" w:rsidRPr="002D435D">
          <w:rPr>
            <w:noProof/>
            <w:webHidden/>
          </w:rPr>
          <w:fldChar w:fldCharType="separate"/>
        </w:r>
        <w:r w:rsidR="007435E9">
          <w:rPr>
            <w:noProof/>
            <w:webHidden/>
          </w:rPr>
          <w:t>19</w:t>
        </w:r>
        <w:r w:rsidR="002D435D" w:rsidRPr="002D435D">
          <w:rPr>
            <w:noProof/>
            <w:webHidden/>
          </w:rPr>
          <w:fldChar w:fldCharType="end"/>
        </w:r>
      </w:hyperlink>
    </w:p>
    <w:p w14:paraId="786EC8CD" w14:textId="6C88F52B"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81" w:history="1">
        <w:r w:rsidR="002D435D" w:rsidRPr="002D435D">
          <w:rPr>
            <w:rStyle w:val="Hypertextovprepojenie"/>
            <w:noProof/>
          </w:rPr>
          <w:t>GRAF 16 – Dlhodobá prognóza dlhu verejnej správy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_Toc164684581 \h </w:instrText>
        </w:r>
        <w:r w:rsidR="002D435D" w:rsidRPr="002D435D">
          <w:rPr>
            <w:noProof/>
            <w:webHidden/>
          </w:rPr>
        </w:r>
        <w:r w:rsidR="002D435D" w:rsidRPr="002D435D">
          <w:rPr>
            <w:noProof/>
            <w:webHidden/>
          </w:rPr>
          <w:fldChar w:fldCharType="separate"/>
        </w:r>
        <w:r w:rsidR="007435E9">
          <w:rPr>
            <w:noProof/>
            <w:webHidden/>
          </w:rPr>
          <w:t>20</w:t>
        </w:r>
        <w:r w:rsidR="002D435D" w:rsidRPr="002D435D">
          <w:rPr>
            <w:noProof/>
            <w:webHidden/>
          </w:rPr>
          <w:fldChar w:fldCharType="end"/>
        </w:r>
      </w:hyperlink>
    </w:p>
    <w:p w14:paraId="4D1A5F1A" w14:textId="6FA8E5A5"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82" w:history="1">
        <w:r w:rsidR="002D435D" w:rsidRPr="002D435D">
          <w:rPr>
            <w:rStyle w:val="Hypertextovprepojenie"/>
            <w:rFonts w:cs="Arial"/>
            <w:noProof/>
          </w:rPr>
          <w:t xml:space="preserve">GRAF </w:t>
        </w:r>
        <w:r w:rsidR="002D435D" w:rsidRPr="002D435D">
          <w:rPr>
            <w:rStyle w:val="Hypertextovprepojenie"/>
            <w:noProof/>
          </w:rPr>
          <w:t>17</w:t>
        </w:r>
        <w:r w:rsidR="002D435D" w:rsidRPr="002D435D">
          <w:rPr>
            <w:rStyle w:val="Hypertextovprepojenie"/>
            <w:rFonts w:cs="Arial"/>
            <w:noProof/>
          </w:rPr>
          <w:t xml:space="preserve"> – Počet žiadostí a novopriznaných predčasných dôchodkov (mesačne)</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_Toc164684582 \h </w:instrText>
        </w:r>
        <w:r w:rsidR="002D435D" w:rsidRPr="002D435D">
          <w:rPr>
            <w:noProof/>
            <w:webHidden/>
          </w:rPr>
        </w:r>
        <w:r w:rsidR="002D435D" w:rsidRPr="002D435D">
          <w:rPr>
            <w:noProof/>
            <w:webHidden/>
          </w:rPr>
          <w:fldChar w:fldCharType="separate"/>
        </w:r>
        <w:r w:rsidR="007435E9">
          <w:rPr>
            <w:noProof/>
            <w:webHidden/>
          </w:rPr>
          <w:t>21</w:t>
        </w:r>
        <w:r w:rsidR="002D435D" w:rsidRPr="002D435D">
          <w:rPr>
            <w:noProof/>
            <w:webHidden/>
          </w:rPr>
          <w:fldChar w:fldCharType="end"/>
        </w:r>
      </w:hyperlink>
    </w:p>
    <w:p w14:paraId="07BF4164" w14:textId="48EA5DF2"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83" w:history="1">
        <w:r w:rsidR="002D435D" w:rsidRPr="002D435D">
          <w:rPr>
            <w:rStyle w:val="Hypertextovprepojenie"/>
            <w:rFonts w:cs="Arial"/>
            <w:noProof/>
          </w:rPr>
          <w:t xml:space="preserve">GRAF </w:t>
        </w:r>
        <w:r w:rsidR="002D435D" w:rsidRPr="002D435D">
          <w:rPr>
            <w:rStyle w:val="Hypertextovprepojenie"/>
            <w:noProof/>
          </w:rPr>
          <w:t>18</w:t>
        </w:r>
        <w:r w:rsidR="002D435D" w:rsidRPr="002D435D">
          <w:rPr>
            <w:rStyle w:val="Hypertextovprepojenie"/>
            <w:rFonts w:cs="Arial"/>
            <w:noProof/>
          </w:rPr>
          <w:t xml:space="preserve"> – Vplyv sprísnenia podmienok pre PSD po 40 rokoch na indikátory S1 a S2 (% HDP)</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_Toc164684583 \h </w:instrText>
        </w:r>
        <w:r w:rsidR="002D435D" w:rsidRPr="002D435D">
          <w:rPr>
            <w:noProof/>
            <w:webHidden/>
          </w:rPr>
        </w:r>
        <w:r w:rsidR="002D435D" w:rsidRPr="002D435D">
          <w:rPr>
            <w:noProof/>
            <w:webHidden/>
          </w:rPr>
          <w:fldChar w:fldCharType="separate"/>
        </w:r>
        <w:r w:rsidR="007435E9">
          <w:rPr>
            <w:noProof/>
            <w:webHidden/>
          </w:rPr>
          <w:t>21</w:t>
        </w:r>
        <w:r w:rsidR="002D435D" w:rsidRPr="002D435D">
          <w:rPr>
            <w:noProof/>
            <w:webHidden/>
          </w:rPr>
          <w:fldChar w:fldCharType="end"/>
        </w:r>
      </w:hyperlink>
    </w:p>
    <w:p w14:paraId="4F3C3DBE" w14:textId="6E887C77" w:rsidR="002D435D" w:rsidRPr="002D435D" w:rsidRDefault="00BC482A">
      <w:pPr>
        <w:pStyle w:val="Zoznamobrzkov"/>
        <w:tabs>
          <w:tab w:val="right" w:leader="dot" w:pos="9060"/>
        </w:tabs>
        <w:rPr>
          <w:rFonts w:asciiTheme="minorHAnsi" w:eastAsiaTheme="minorEastAsia" w:hAnsiTheme="minorHAnsi" w:cstheme="minorBidi"/>
          <w:noProof/>
        </w:rPr>
      </w:pPr>
      <w:hyperlink w:anchor="_Toc164684584" w:history="1">
        <w:r w:rsidR="002D435D" w:rsidRPr="002D435D">
          <w:rPr>
            <w:rStyle w:val="Hypertextovprepojenie"/>
            <w:noProof/>
          </w:rPr>
          <w:t>GRAF 19 – Porovnanie prognóz makroekonomických základní pre rozpočtové príjmy s členmi výboru</w:t>
        </w:r>
        <w:r w:rsidR="002D435D" w:rsidRPr="002D435D">
          <w:rPr>
            <w:noProof/>
            <w:webHidden/>
          </w:rPr>
          <w:tab/>
        </w:r>
        <w:r w:rsidR="002D435D" w:rsidRPr="002D435D">
          <w:rPr>
            <w:noProof/>
            <w:webHidden/>
          </w:rPr>
          <w:fldChar w:fldCharType="begin"/>
        </w:r>
        <w:r w:rsidR="002D435D" w:rsidRPr="002D435D">
          <w:rPr>
            <w:noProof/>
            <w:webHidden/>
          </w:rPr>
          <w:instrText xml:space="preserve"> PAGEREF _Toc164684584 \h </w:instrText>
        </w:r>
        <w:r w:rsidR="002D435D" w:rsidRPr="002D435D">
          <w:rPr>
            <w:noProof/>
            <w:webHidden/>
          </w:rPr>
        </w:r>
        <w:r w:rsidR="002D435D" w:rsidRPr="002D435D">
          <w:rPr>
            <w:noProof/>
            <w:webHidden/>
          </w:rPr>
          <w:fldChar w:fldCharType="separate"/>
        </w:r>
        <w:r w:rsidR="007435E9">
          <w:rPr>
            <w:noProof/>
            <w:webHidden/>
          </w:rPr>
          <w:t>27</w:t>
        </w:r>
        <w:r w:rsidR="002D435D" w:rsidRPr="002D435D">
          <w:rPr>
            <w:noProof/>
            <w:webHidden/>
          </w:rPr>
          <w:fldChar w:fldCharType="end"/>
        </w:r>
      </w:hyperlink>
    </w:p>
    <w:p w14:paraId="513BBC3B" w14:textId="6F8224FB" w:rsidR="00330ADF" w:rsidRPr="008A5B07" w:rsidRDefault="00315902" w:rsidP="00330ADF">
      <w:pPr>
        <w:pStyle w:val="Nadpis1"/>
        <w:spacing w:after="0"/>
        <w:rPr>
          <w:rStyle w:val="Hypertextovprepojenie"/>
          <w:rFonts w:cs="Arial Narrow"/>
          <w:b w:val="0"/>
          <w:bCs w:val="0"/>
          <w:color w:val="2C9ADC"/>
          <w:szCs w:val="28"/>
          <w:u w:val="none"/>
        </w:rPr>
      </w:pPr>
      <w:r w:rsidRPr="002D435D">
        <w:rPr>
          <w:rStyle w:val="Hypertextovprepojenie"/>
          <w:rFonts w:eastAsiaTheme="minorHAnsi"/>
          <w:b w:val="0"/>
          <w:bCs w:val="0"/>
          <w:lang w:eastAsia="en-US"/>
        </w:rPr>
        <w:fldChar w:fldCharType="end"/>
      </w:r>
    </w:p>
    <w:p w14:paraId="0ECB8341" w14:textId="011B4D7C" w:rsidR="00312206" w:rsidRPr="00312206" w:rsidRDefault="00916904" w:rsidP="00F8670D">
      <w:pPr>
        <w:pStyle w:val="Nadpis1"/>
        <w:numPr>
          <w:ilvl w:val="0"/>
          <w:numId w:val="29"/>
        </w:numPr>
        <w:ind w:left="397" w:hanging="397"/>
        <w:rPr>
          <w:rFonts w:cs="Arial Narrow"/>
          <w:color w:val="2C9ADC"/>
          <w:szCs w:val="28"/>
        </w:rPr>
      </w:pPr>
      <w:r w:rsidRPr="00874D9F">
        <w:rPr>
          <w:b w:val="0"/>
        </w:rPr>
        <w:br w:type="page"/>
      </w:r>
      <w:bookmarkStart w:id="42" w:name="_Toc164684478"/>
      <w:bookmarkEnd w:id="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09453F">
        <w:rPr>
          <w:rFonts w:cs="Arial Narrow"/>
          <w:color w:val="2C9ADC"/>
          <w:szCs w:val="28"/>
        </w:rPr>
        <w:lastRenderedPageBreak/>
        <w:t>MAKROEKONOMICKÉ PREDPOKLADY NÁVRHU ROZPOČTU</w:t>
      </w:r>
      <w:bookmarkEnd w:id="42"/>
    </w:p>
    <w:tbl>
      <w:tblPr>
        <w:tblStyle w:val="Mriekatabuky"/>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330ADF" w:rsidRPr="009B64E6" w14:paraId="7651D828" w14:textId="77777777" w:rsidTr="00CC1F9E">
        <w:tc>
          <w:tcPr>
            <w:tcW w:w="9212" w:type="dxa"/>
          </w:tcPr>
          <w:p w14:paraId="55032FE9" w14:textId="6D2EADE8" w:rsidR="00330ADF" w:rsidRPr="009B64E6" w:rsidRDefault="00330ADF" w:rsidP="00CC1F9E">
            <w:pPr>
              <w:widowControl w:val="0"/>
              <w:jc w:val="both"/>
              <w:rPr>
                <w:rFonts w:eastAsia="NeueHaasGroteskText W02" w:cs="Arial"/>
                <w:i/>
                <w:szCs w:val="20"/>
                <w:highlight w:val="yellow"/>
              </w:rPr>
            </w:pPr>
            <w:r w:rsidRPr="004F5A20">
              <w:rPr>
                <w:rFonts w:eastAsia="NeueHaasGroteskText W02" w:cs="Arial"/>
                <w:i/>
                <w:szCs w:val="20"/>
              </w:rPr>
              <w:t>V roku 2024 dosiahne</w:t>
            </w:r>
            <w:r>
              <w:rPr>
                <w:rFonts w:eastAsia="NeueHaasGroteskText W02" w:cs="Arial"/>
                <w:i/>
                <w:szCs w:val="20"/>
              </w:rPr>
              <w:t xml:space="preserve"> reálny</w:t>
            </w:r>
            <w:r w:rsidRPr="004F5A20">
              <w:rPr>
                <w:rFonts w:eastAsia="NeueHaasGroteskText W02" w:cs="Arial"/>
                <w:i/>
                <w:szCs w:val="20"/>
              </w:rPr>
              <w:t xml:space="preserve"> rast HDP 2 %, </w:t>
            </w:r>
            <w:r>
              <w:rPr>
                <w:rFonts w:eastAsia="NeueHaasGroteskText W02" w:cs="Arial"/>
                <w:i/>
                <w:szCs w:val="20"/>
              </w:rPr>
              <w:t>keď</w:t>
            </w:r>
            <w:r w:rsidRPr="004F5A20">
              <w:rPr>
                <w:rFonts w:eastAsia="NeueHaasGroteskText W02" w:cs="Arial"/>
                <w:i/>
                <w:szCs w:val="20"/>
              </w:rPr>
              <w:t xml:space="preserve"> ustupujúc</w:t>
            </w:r>
            <w:r>
              <w:rPr>
                <w:rFonts w:eastAsia="NeueHaasGroteskText W02" w:cs="Arial"/>
                <w:i/>
                <w:szCs w:val="20"/>
              </w:rPr>
              <w:t>a</w:t>
            </w:r>
            <w:r w:rsidRPr="004F5A20">
              <w:rPr>
                <w:rFonts w:eastAsia="NeueHaasGroteskText W02" w:cs="Arial"/>
                <w:i/>
                <w:szCs w:val="20"/>
              </w:rPr>
              <w:t xml:space="preserve"> infláci</w:t>
            </w:r>
            <w:r>
              <w:rPr>
                <w:rFonts w:eastAsia="NeueHaasGroteskText W02" w:cs="Arial"/>
                <w:i/>
                <w:szCs w:val="20"/>
              </w:rPr>
              <w:t>a</w:t>
            </w:r>
            <w:r w:rsidRPr="004F5A20">
              <w:rPr>
                <w:rFonts w:eastAsia="NeueHaasGroteskText W02" w:cs="Arial"/>
                <w:i/>
                <w:szCs w:val="20"/>
              </w:rPr>
              <w:t xml:space="preserve"> </w:t>
            </w:r>
            <w:r>
              <w:rPr>
                <w:rFonts w:eastAsia="NeueHaasGroteskText W02" w:cs="Arial"/>
                <w:i/>
                <w:szCs w:val="20"/>
              </w:rPr>
              <w:t>podporí</w:t>
            </w:r>
            <w:r w:rsidRPr="004F5A20">
              <w:rPr>
                <w:rFonts w:eastAsia="NeueHaasGroteskText W02" w:cs="Arial"/>
                <w:i/>
                <w:szCs w:val="20"/>
              </w:rPr>
              <w:t xml:space="preserve"> </w:t>
            </w:r>
            <w:r>
              <w:rPr>
                <w:rFonts w:eastAsia="NeueHaasGroteskText W02" w:cs="Arial"/>
                <w:i/>
                <w:szCs w:val="20"/>
              </w:rPr>
              <w:t>kúpnu silu obyvateľov a domácu spotrebu</w:t>
            </w:r>
            <w:r w:rsidRPr="004F5A20">
              <w:rPr>
                <w:rFonts w:eastAsia="NeueHaasGroteskText W02" w:cs="Arial"/>
                <w:i/>
                <w:szCs w:val="20"/>
              </w:rPr>
              <w:t xml:space="preserve">. </w:t>
            </w:r>
            <w:r>
              <w:rPr>
                <w:rFonts w:eastAsia="NeueHaasGroteskText W02" w:cs="Arial"/>
                <w:i/>
                <w:szCs w:val="20"/>
              </w:rPr>
              <w:t>Doč</w:t>
            </w:r>
            <w:r w:rsidRPr="004F5A20">
              <w:rPr>
                <w:rFonts w:eastAsia="NeueHaasGroteskText W02" w:cs="Arial"/>
                <w:i/>
                <w:szCs w:val="20"/>
              </w:rPr>
              <w:t>erpani</w:t>
            </w:r>
            <w:r>
              <w:rPr>
                <w:rFonts w:eastAsia="NeueHaasGroteskText W02" w:cs="Arial"/>
                <w:i/>
                <w:szCs w:val="20"/>
              </w:rPr>
              <w:t>e</w:t>
            </w:r>
            <w:r w:rsidRPr="004F5A20">
              <w:rPr>
                <w:rFonts w:eastAsia="NeueHaasGroteskText W02" w:cs="Arial"/>
                <w:i/>
                <w:szCs w:val="20"/>
              </w:rPr>
              <w:t xml:space="preserve"> fondov</w:t>
            </w:r>
            <w:r w:rsidR="000A22C5">
              <w:rPr>
                <w:rFonts w:eastAsia="NeueHaasGroteskText W02" w:cs="Arial"/>
                <w:i/>
                <w:szCs w:val="20"/>
              </w:rPr>
              <w:t xml:space="preserve"> EÚ</w:t>
            </w:r>
            <w:r w:rsidRPr="004F5A20">
              <w:rPr>
                <w:rFonts w:eastAsia="NeueHaasGroteskText W02" w:cs="Arial"/>
                <w:i/>
                <w:szCs w:val="20"/>
              </w:rPr>
              <w:t xml:space="preserve"> </w:t>
            </w:r>
            <w:r>
              <w:rPr>
                <w:rFonts w:eastAsia="NeueHaasGroteskText W02" w:cs="Arial"/>
                <w:i/>
                <w:szCs w:val="20"/>
              </w:rPr>
              <w:t xml:space="preserve">bude postupne nahradené </w:t>
            </w:r>
            <w:r w:rsidRPr="004F5A20">
              <w:rPr>
                <w:rFonts w:eastAsia="NeueHaasGroteskText W02" w:cs="Arial"/>
                <w:i/>
                <w:szCs w:val="20"/>
              </w:rPr>
              <w:t>realizáci</w:t>
            </w:r>
            <w:r>
              <w:rPr>
                <w:rFonts w:eastAsia="NeueHaasGroteskText W02" w:cs="Arial"/>
                <w:i/>
                <w:szCs w:val="20"/>
              </w:rPr>
              <w:t>ou</w:t>
            </w:r>
            <w:r w:rsidRPr="004F5A20">
              <w:rPr>
                <w:rFonts w:eastAsia="NeueHaasGroteskText W02" w:cs="Arial"/>
                <w:i/>
                <w:szCs w:val="20"/>
              </w:rPr>
              <w:t xml:space="preserve"> projektov</w:t>
            </w:r>
            <w:r>
              <w:rPr>
                <w:rFonts w:eastAsia="NeueHaasGroteskText W02" w:cs="Arial"/>
                <w:i/>
                <w:szCs w:val="20"/>
              </w:rPr>
              <w:t xml:space="preserve"> z</w:t>
            </w:r>
            <w:r w:rsidRPr="004F5A20">
              <w:rPr>
                <w:rFonts w:eastAsia="NeueHaasGroteskText W02" w:cs="Arial"/>
                <w:i/>
                <w:szCs w:val="20"/>
              </w:rPr>
              <w:t xml:space="preserve"> Plánu obnovy a</w:t>
            </w:r>
            <w:r>
              <w:rPr>
                <w:rFonts w:eastAsia="NeueHaasGroteskText W02" w:cs="Arial"/>
                <w:i/>
                <w:szCs w:val="20"/>
              </w:rPr>
              <w:t> </w:t>
            </w:r>
            <w:r w:rsidRPr="004F5A20">
              <w:rPr>
                <w:rFonts w:eastAsia="NeueHaasGroteskText W02" w:cs="Arial"/>
                <w:i/>
                <w:szCs w:val="20"/>
              </w:rPr>
              <w:t>odolnosti.</w:t>
            </w:r>
            <w:r>
              <w:rPr>
                <w:rFonts w:eastAsia="NeueHaasGroteskText W02" w:cs="Arial"/>
                <w:i/>
                <w:szCs w:val="20"/>
              </w:rPr>
              <w:t xml:space="preserve"> To posilní investície v roku 2025, vďaka čomu bude dynamika ekonomiky kulminovať na úrovni 3,1 %.</w:t>
            </w:r>
            <w:r w:rsidRPr="004F5A20">
              <w:rPr>
                <w:rFonts w:eastAsia="NeueHaasGroteskText W02" w:cs="Arial"/>
                <w:i/>
                <w:szCs w:val="20"/>
              </w:rPr>
              <w:t xml:space="preserve"> </w:t>
            </w:r>
            <w:r>
              <w:rPr>
                <w:rFonts w:eastAsia="NeueHaasGroteskText W02" w:cs="Arial"/>
                <w:i/>
                <w:szCs w:val="20"/>
              </w:rPr>
              <w:t xml:space="preserve">Následne bude od roku 2026 rast HDP zvoľňovať smerom k svojmu potenciálu. Vzpruhou budú v tomto období </w:t>
            </w:r>
            <w:r w:rsidRPr="00F1369A">
              <w:rPr>
                <w:rFonts w:eastAsia="NeueHaasGroteskText W02" w:cs="Arial"/>
                <w:i/>
                <w:szCs w:val="20"/>
              </w:rPr>
              <w:t xml:space="preserve">vyššie exportné kapacity automobilového priemyslu. </w:t>
            </w:r>
            <w:r>
              <w:rPr>
                <w:rFonts w:eastAsia="NeueHaasGroteskText W02" w:cs="Arial"/>
                <w:i/>
                <w:szCs w:val="20"/>
              </w:rPr>
              <w:t>T</w:t>
            </w:r>
            <w:r w:rsidRPr="004F5A20">
              <w:rPr>
                <w:rFonts w:eastAsia="NeueHaasGroteskText W02" w:cs="Arial"/>
                <w:i/>
                <w:szCs w:val="20"/>
              </w:rPr>
              <w:t xml:space="preserve">rh práce bude </w:t>
            </w:r>
            <w:r>
              <w:rPr>
                <w:rFonts w:eastAsia="NeueHaasGroteskText W02" w:cs="Arial"/>
                <w:i/>
                <w:szCs w:val="20"/>
              </w:rPr>
              <w:t xml:space="preserve">na celom horizonte prognózy </w:t>
            </w:r>
            <w:r w:rsidR="00F71761">
              <w:rPr>
                <w:rFonts w:eastAsia="NeueHaasGroteskText W02" w:cs="Arial"/>
                <w:i/>
                <w:szCs w:val="20"/>
              </w:rPr>
              <w:t>silný</w:t>
            </w:r>
            <w:r>
              <w:rPr>
                <w:rFonts w:eastAsia="NeueHaasGroteskText W02" w:cs="Arial"/>
                <w:i/>
                <w:szCs w:val="20"/>
              </w:rPr>
              <w:t xml:space="preserve">, avšak </w:t>
            </w:r>
            <w:r w:rsidRPr="004F5A20">
              <w:rPr>
                <w:rFonts w:eastAsia="NeueHaasGroteskText W02" w:cs="Arial"/>
                <w:i/>
                <w:szCs w:val="20"/>
              </w:rPr>
              <w:t>dostat</w:t>
            </w:r>
            <w:r>
              <w:rPr>
                <w:rFonts w:eastAsia="NeueHaasGroteskText W02" w:cs="Arial"/>
                <w:i/>
                <w:szCs w:val="20"/>
              </w:rPr>
              <w:t>kom</w:t>
            </w:r>
            <w:r w:rsidRPr="004F5A20">
              <w:rPr>
                <w:rFonts w:eastAsia="NeueHaasGroteskText W02" w:cs="Arial"/>
                <w:i/>
                <w:szCs w:val="20"/>
              </w:rPr>
              <w:t xml:space="preserve"> pracovnej sily</w:t>
            </w:r>
            <w:r w:rsidR="007649E2">
              <w:rPr>
                <w:rFonts w:eastAsia="NeueHaasGroteskText W02" w:cs="Arial"/>
                <w:i/>
                <w:szCs w:val="20"/>
              </w:rPr>
              <w:t xml:space="preserve"> bude obmedzený</w:t>
            </w:r>
            <w:r w:rsidRPr="004F5A20">
              <w:rPr>
                <w:rFonts w:eastAsia="NeueHaasGroteskText W02" w:cs="Arial"/>
                <w:i/>
                <w:szCs w:val="20"/>
              </w:rPr>
              <w:t xml:space="preserve">. Riziká prognózy sú najmä na negatívnej strane, </w:t>
            </w:r>
            <w:r w:rsidR="0022727C">
              <w:rPr>
                <w:rFonts w:eastAsia="NeueHaasGroteskText W02" w:cs="Arial"/>
                <w:i/>
                <w:szCs w:val="20"/>
              </w:rPr>
              <w:t>keďže</w:t>
            </w:r>
            <w:r w:rsidRPr="004F5A20">
              <w:rPr>
                <w:rFonts w:eastAsia="NeueHaasGroteskText W02" w:cs="Arial"/>
                <w:i/>
                <w:szCs w:val="20"/>
              </w:rPr>
              <w:t xml:space="preserve"> ruská </w:t>
            </w:r>
            <w:r>
              <w:rPr>
                <w:rFonts w:eastAsia="NeueHaasGroteskText W02" w:cs="Arial"/>
                <w:i/>
                <w:szCs w:val="20"/>
              </w:rPr>
              <w:t>invázia</w:t>
            </w:r>
            <w:r w:rsidRPr="004F5A20">
              <w:rPr>
                <w:rFonts w:eastAsia="NeueHaasGroteskText W02" w:cs="Arial"/>
                <w:i/>
                <w:szCs w:val="20"/>
              </w:rPr>
              <w:t xml:space="preserve"> pretrváva, čo môže </w:t>
            </w:r>
            <w:r w:rsidR="007649E2">
              <w:rPr>
                <w:rFonts w:eastAsia="NeueHaasGroteskText W02" w:cs="Arial"/>
                <w:i/>
                <w:szCs w:val="20"/>
              </w:rPr>
              <w:t>znova rozkolísať</w:t>
            </w:r>
            <w:r w:rsidR="007649E2" w:rsidRPr="004F5A20">
              <w:rPr>
                <w:rFonts w:eastAsia="NeueHaasGroteskText W02" w:cs="Arial"/>
                <w:i/>
                <w:szCs w:val="20"/>
              </w:rPr>
              <w:t xml:space="preserve"> </w:t>
            </w:r>
            <w:r w:rsidRPr="004F5A20">
              <w:rPr>
                <w:rFonts w:eastAsia="NeueHaasGroteskText W02" w:cs="Arial"/>
                <w:i/>
                <w:szCs w:val="20"/>
              </w:rPr>
              <w:t>ceny energií a</w:t>
            </w:r>
            <w:r>
              <w:rPr>
                <w:rFonts w:eastAsia="NeueHaasGroteskText W02" w:cs="Arial"/>
                <w:i/>
                <w:szCs w:val="20"/>
              </w:rPr>
              <w:t> </w:t>
            </w:r>
            <w:r w:rsidRPr="004F5A20">
              <w:rPr>
                <w:rFonts w:eastAsia="NeueHaasGroteskText W02" w:cs="Arial"/>
                <w:i/>
                <w:szCs w:val="20"/>
              </w:rPr>
              <w:t>potravín.</w:t>
            </w:r>
          </w:p>
        </w:tc>
      </w:tr>
    </w:tbl>
    <w:p w14:paraId="3A2B0253" w14:textId="77777777" w:rsidR="00330ADF" w:rsidRPr="003C5534" w:rsidRDefault="00330ADF" w:rsidP="00A314FD">
      <w:pPr>
        <w:pStyle w:val="Nadpis2"/>
        <w:numPr>
          <w:ilvl w:val="1"/>
          <w:numId w:val="29"/>
        </w:numPr>
        <w:spacing w:after="120"/>
        <w:ind w:left="567" w:hanging="567"/>
        <w:rPr>
          <w:b/>
          <w:bCs/>
          <w:color w:val="2C9ADC"/>
          <w:szCs w:val="24"/>
        </w:rPr>
      </w:pPr>
      <w:bookmarkStart w:id="43" w:name="_Toc117776956"/>
      <w:bookmarkStart w:id="44" w:name="_Toc152932731"/>
      <w:bookmarkStart w:id="45" w:name="_Toc164684479"/>
      <w:r w:rsidRPr="003C5534">
        <w:rPr>
          <w:b/>
          <w:bCs/>
          <w:color w:val="2C9ADC"/>
          <w:szCs w:val="24"/>
        </w:rPr>
        <w:t>Makroekonomická prognóza</w:t>
      </w:r>
      <w:r w:rsidRPr="003C5534">
        <w:rPr>
          <w:rStyle w:val="Odkaznapoznmkupodiarou"/>
          <w:rFonts w:eastAsia="NeueHaasGroteskText W02"/>
          <w:b/>
          <w:bCs/>
        </w:rPr>
        <w:footnoteReference w:id="2"/>
      </w:r>
      <w:bookmarkEnd w:id="43"/>
      <w:bookmarkEnd w:id="44"/>
      <w:bookmarkEnd w:id="45"/>
    </w:p>
    <w:p w14:paraId="1F0502B8" w14:textId="75C372E6" w:rsidR="00330ADF" w:rsidRPr="00131CE9" w:rsidRDefault="00330ADF" w:rsidP="00131CE9">
      <w:pPr>
        <w:jc w:val="both"/>
        <w:rPr>
          <w:iCs/>
        </w:rPr>
      </w:pPr>
      <w:r w:rsidRPr="00131CE9">
        <w:rPr>
          <w:b/>
          <w:bCs/>
          <w:iCs/>
        </w:rPr>
        <w:t>V roku 2024 stúpne reálny HDP o 2 %, vplyvom ustupujúcej inflácie a oživenia domáceho dopytu.</w:t>
      </w:r>
      <w:r w:rsidRPr="00131CE9">
        <w:rPr>
          <w:iCs/>
        </w:rPr>
        <w:t xml:space="preserve"> Oživenie potiahne spotreba domácností, ktorá sa bude opierať o silný rast reálnych miezd nad 3 %. Vrchol čerpania</w:t>
      </w:r>
      <w:r w:rsidR="000A22C5">
        <w:rPr>
          <w:iCs/>
        </w:rPr>
        <w:t xml:space="preserve"> fondov</w:t>
      </w:r>
      <w:r w:rsidRPr="00131CE9">
        <w:rPr>
          <w:iCs/>
        </w:rPr>
        <w:t xml:space="preserve"> EÚ z 2023 čiastočne nahradí v roku 2024 silnejúca realizácia projektov Plánu obnovy a odolnosti (POO) ako aj nákup vojenskej techniky. Zahraničný obchod sa odrazí od dna a v priebehu roka sa nálada vo svetovej ekonomike bude pomaly zlepšovať, čo podporí slovenský export. Trh práce bude stabilný, nedostatok pracovnej sily bude brzdiť tvorbu pracovných miest.  </w:t>
      </w:r>
    </w:p>
    <w:p w14:paraId="472D1C13" w14:textId="77777777" w:rsidR="00131CE9" w:rsidRDefault="00131CE9" w:rsidP="00131CE9">
      <w:pPr>
        <w:jc w:val="both"/>
        <w:rPr>
          <w:iCs/>
        </w:rPr>
      </w:pPr>
    </w:p>
    <w:p w14:paraId="58D5CB64" w14:textId="685445B5" w:rsidR="00131CE9" w:rsidRPr="00131CE9" w:rsidRDefault="00330ADF" w:rsidP="00131CE9">
      <w:pPr>
        <w:jc w:val="both"/>
        <w:rPr>
          <w:iCs/>
        </w:rPr>
      </w:pPr>
      <w:r w:rsidRPr="00131CE9">
        <w:rPr>
          <w:b/>
          <w:bCs/>
          <w:iCs/>
        </w:rPr>
        <w:t>V roku 2025 bude výkon ekonomiky kulminovať na úrovni 3,1 %.</w:t>
      </w:r>
      <w:r w:rsidRPr="00131CE9">
        <w:rPr>
          <w:iCs/>
        </w:rPr>
        <w:t xml:space="preserve"> </w:t>
      </w:r>
      <w:r w:rsidR="007649E2">
        <w:rPr>
          <w:iCs/>
        </w:rPr>
        <w:t>Pre účely prognózy p</w:t>
      </w:r>
      <w:r w:rsidRPr="00131CE9">
        <w:rPr>
          <w:iCs/>
        </w:rPr>
        <w:t>redpokladá</w:t>
      </w:r>
      <w:r w:rsidR="007649E2">
        <w:rPr>
          <w:iCs/>
        </w:rPr>
        <w:t>me</w:t>
      </w:r>
      <w:r w:rsidRPr="00131CE9">
        <w:rPr>
          <w:iCs/>
        </w:rPr>
        <w:t xml:space="preserve"> sa, že ceny elektriny a plynu pre domácnosti prejdú na trhové úrovne, čo môže viesť k miernemu nárastu inflácie. Miera úspor však bude už stabilizovaná a rast reálnych príjmov bude pokračovať. Spotreba domácností si tak udrží 2 % tempo rastu. Vrcholiť bude čerpanie investícií z POO, čo dodá ekonomike dodatočný impulz a zabezpečí polovicu prognózovaného rastu. Externé prostredie nastúpi cestu oživenia a výraznejšie sa prejaví uvoľňovanie monetárnej politiky. Slovenské exporty začnú pomaly zrýchľovať. Na druhej strane bude tlmiť </w:t>
      </w:r>
      <w:r w:rsidR="007649E2">
        <w:rPr>
          <w:iCs/>
        </w:rPr>
        <w:t xml:space="preserve">ekonomickú </w:t>
      </w:r>
      <w:r w:rsidRPr="00131CE9">
        <w:rPr>
          <w:iCs/>
        </w:rPr>
        <w:t xml:space="preserve">aktivitu </w:t>
      </w:r>
      <w:r w:rsidR="007649E2">
        <w:rPr>
          <w:iCs/>
        </w:rPr>
        <w:t xml:space="preserve">na Slovensku </w:t>
      </w:r>
      <w:r w:rsidRPr="00131CE9">
        <w:rPr>
          <w:iCs/>
        </w:rPr>
        <w:t>najmä nutné ozdravovanie verejných financií.</w:t>
      </w:r>
    </w:p>
    <w:tbl>
      <w:tblPr>
        <w:tblW w:w="9160" w:type="dxa"/>
        <w:tblInd w:w="-68" w:type="dxa"/>
        <w:tblLayout w:type="fixed"/>
        <w:tblCellMar>
          <w:left w:w="70" w:type="dxa"/>
          <w:right w:w="70" w:type="dxa"/>
        </w:tblCellMar>
        <w:tblLook w:val="0000" w:firstRow="0" w:lastRow="0" w:firstColumn="0" w:lastColumn="0" w:noHBand="0" w:noVBand="0"/>
      </w:tblPr>
      <w:tblGrid>
        <w:gridCol w:w="4467"/>
        <w:gridCol w:w="236"/>
        <w:gridCol w:w="4457"/>
      </w:tblGrid>
      <w:tr w:rsidR="00330ADF" w:rsidRPr="00877711" w14:paraId="29C8D4C0" w14:textId="77777777" w:rsidTr="00CC1F9E">
        <w:trPr>
          <w:trHeight w:val="206"/>
        </w:trPr>
        <w:tc>
          <w:tcPr>
            <w:tcW w:w="4467" w:type="dxa"/>
            <w:tcBorders>
              <w:top w:val="nil"/>
              <w:left w:val="nil"/>
              <w:bottom w:val="single" w:sz="4" w:space="0" w:color="auto"/>
              <w:right w:val="nil"/>
            </w:tcBorders>
            <w:shd w:val="clear" w:color="auto" w:fill="auto"/>
            <w:vAlign w:val="bottom"/>
          </w:tcPr>
          <w:p w14:paraId="028C2D2B" w14:textId="1BE7A3F7" w:rsidR="00330ADF" w:rsidRPr="00877711" w:rsidRDefault="00330ADF" w:rsidP="00664E8C">
            <w:pPr>
              <w:pStyle w:val="Graf"/>
              <w:spacing w:before="120" w:after="0"/>
            </w:pPr>
            <w:bookmarkStart w:id="46" w:name="_Toc401047311"/>
            <w:bookmarkStart w:id="47" w:name="_Toc401070164"/>
            <w:bookmarkStart w:id="48" w:name="_Toc401071706"/>
            <w:bookmarkStart w:id="49" w:name="_Toc432503736"/>
            <w:bookmarkStart w:id="50" w:name="_Toc432509075"/>
            <w:bookmarkStart w:id="51" w:name="_Toc432573319"/>
            <w:bookmarkStart w:id="52" w:name="_Toc432573768"/>
            <w:bookmarkStart w:id="53" w:name="_Toc461094000"/>
            <w:bookmarkStart w:id="54" w:name="_Toc463861233"/>
            <w:bookmarkStart w:id="55" w:name="_Toc495423395"/>
            <w:bookmarkStart w:id="56" w:name="_Toc117765243"/>
            <w:bookmarkStart w:id="57" w:name="_Toc152932863"/>
            <w:bookmarkStart w:id="58" w:name="_Toc164684566"/>
            <w:r w:rsidRPr="00877711">
              <w:rPr>
                <w:szCs w:val="20"/>
              </w:rPr>
              <w:t xml:space="preserve">GRAF </w:t>
            </w:r>
            <w:r w:rsidRPr="00877711">
              <w:rPr>
                <w:color w:val="2C9ADC"/>
              </w:rPr>
              <w:fldChar w:fldCharType="begin"/>
            </w:r>
            <w:r w:rsidRPr="00877711">
              <w:rPr>
                <w:color w:val="2C9ADC"/>
              </w:rPr>
              <w:instrText xml:space="preserve"> SEQ GRAF \* ARABIC </w:instrText>
            </w:r>
            <w:r w:rsidRPr="00877711">
              <w:rPr>
                <w:color w:val="2C9ADC"/>
              </w:rPr>
              <w:fldChar w:fldCharType="separate"/>
            </w:r>
            <w:r w:rsidR="007435E9">
              <w:rPr>
                <w:noProof/>
                <w:color w:val="2C9ADC"/>
              </w:rPr>
              <w:t>1</w:t>
            </w:r>
            <w:r w:rsidRPr="00877711">
              <w:rPr>
                <w:color w:val="2C9ADC"/>
              </w:rPr>
              <w:fldChar w:fldCharType="end"/>
            </w:r>
            <w:r w:rsidRPr="00877711">
              <w:t xml:space="preserve"> – Príspevky k</w:t>
            </w:r>
            <w:r w:rsidR="001F22FC">
              <w:t> </w:t>
            </w:r>
            <w:r w:rsidRPr="00877711">
              <w:t xml:space="preserve">rastu HDP </w:t>
            </w:r>
            <w:r>
              <w:t>–</w:t>
            </w:r>
            <w:r w:rsidRPr="00877711">
              <w:t xml:space="preserve"> prognóza (p.b.)</w:t>
            </w:r>
            <w:bookmarkEnd w:id="46"/>
            <w:bookmarkEnd w:id="47"/>
            <w:bookmarkEnd w:id="48"/>
            <w:bookmarkEnd w:id="49"/>
            <w:bookmarkEnd w:id="50"/>
            <w:bookmarkEnd w:id="51"/>
            <w:bookmarkEnd w:id="52"/>
            <w:bookmarkEnd w:id="53"/>
            <w:bookmarkEnd w:id="54"/>
            <w:bookmarkEnd w:id="55"/>
            <w:bookmarkEnd w:id="56"/>
            <w:bookmarkEnd w:id="57"/>
            <w:bookmarkEnd w:id="58"/>
          </w:p>
        </w:tc>
        <w:tc>
          <w:tcPr>
            <w:tcW w:w="236" w:type="dxa"/>
            <w:tcBorders>
              <w:top w:val="nil"/>
              <w:left w:val="nil"/>
              <w:bottom w:val="nil"/>
              <w:right w:val="nil"/>
            </w:tcBorders>
            <w:shd w:val="clear" w:color="auto" w:fill="auto"/>
            <w:vAlign w:val="bottom"/>
          </w:tcPr>
          <w:p w14:paraId="56AD6C1D" w14:textId="77777777" w:rsidR="00330ADF" w:rsidRPr="00877711" w:rsidRDefault="00330ADF" w:rsidP="00CC1F9E">
            <w:pPr>
              <w:pStyle w:val="Graf"/>
            </w:pPr>
          </w:p>
        </w:tc>
        <w:tc>
          <w:tcPr>
            <w:tcW w:w="4457" w:type="dxa"/>
            <w:tcBorders>
              <w:top w:val="nil"/>
              <w:left w:val="nil"/>
              <w:bottom w:val="single" w:sz="4" w:space="0" w:color="auto"/>
              <w:right w:val="nil"/>
            </w:tcBorders>
            <w:shd w:val="clear" w:color="auto" w:fill="auto"/>
            <w:vAlign w:val="bottom"/>
          </w:tcPr>
          <w:p w14:paraId="561975CB" w14:textId="0CF6B786" w:rsidR="00330ADF" w:rsidRPr="00877711" w:rsidRDefault="00330ADF" w:rsidP="00664E8C">
            <w:pPr>
              <w:pStyle w:val="Graf"/>
              <w:spacing w:before="120" w:after="0"/>
            </w:pPr>
            <w:bookmarkStart w:id="59" w:name="_Toc401047312"/>
            <w:bookmarkStart w:id="60" w:name="_Toc401070165"/>
            <w:bookmarkStart w:id="61" w:name="_Toc401071707"/>
            <w:bookmarkStart w:id="62" w:name="_Toc432503737"/>
            <w:bookmarkStart w:id="63" w:name="_Toc432509076"/>
            <w:bookmarkStart w:id="64" w:name="_Toc432573320"/>
            <w:bookmarkStart w:id="65" w:name="_Toc432573769"/>
            <w:bookmarkStart w:id="66" w:name="_Toc461094001"/>
            <w:bookmarkStart w:id="67" w:name="_Toc463861234"/>
            <w:bookmarkStart w:id="68" w:name="_Toc495423396"/>
            <w:bookmarkStart w:id="69" w:name="_Toc117765244"/>
            <w:bookmarkStart w:id="70" w:name="_Toc152932864"/>
            <w:bookmarkStart w:id="71" w:name="_Toc164684567"/>
            <w:r w:rsidRPr="00877711">
              <w:rPr>
                <w:szCs w:val="20"/>
              </w:rPr>
              <w:t xml:space="preserve">GRAF </w:t>
            </w:r>
            <w:r w:rsidRPr="00877711">
              <w:rPr>
                <w:color w:val="2C9ADC"/>
              </w:rPr>
              <w:fldChar w:fldCharType="begin"/>
            </w:r>
            <w:r w:rsidRPr="00877711">
              <w:rPr>
                <w:color w:val="2C9ADC"/>
              </w:rPr>
              <w:instrText xml:space="preserve"> SEQ GRAF \* ARABIC </w:instrText>
            </w:r>
            <w:r w:rsidRPr="00877711">
              <w:rPr>
                <w:color w:val="2C9ADC"/>
              </w:rPr>
              <w:fldChar w:fldCharType="separate"/>
            </w:r>
            <w:r w:rsidR="007435E9">
              <w:rPr>
                <w:noProof/>
                <w:color w:val="2C9ADC"/>
              </w:rPr>
              <w:t>2</w:t>
            </w:r>
            <w:r w:rsidRPr="00877711">
              <w:rPr>
                <w:color w:val="2C9ADC"/>
              </w:rPr>
              <w:fldChar w:fldCharType="end"/>
            </w:r>
            <w:r w:rsidRPr="00877711">
              <w:t xml:space="preserve"> – </w:t>
            </w:r>
            <w:bookmarkEnd w:id="59"/>
            <w:bookmarkEnd w:id="60"/>
            <w:bookmarkEnd w:id="61"/>
            <w:bookmarkEnd w:id="62"/>
            <w:bookmarkEnd w:id="63"/>
            <w:bookmarkEnd w:id="64"/>
            <w:bookmarkEnd w:id="65"/>
            <w:bookmarkEnd w:id="66"/>
            <w:bookmarkEnd w:id="67"/>
            <w:bookmarkEnd w:id="68"/>
            <w:r w:rsidRPr="00877711">
              <w:t>Čerpanie EÚ zdrojov (ml</w:t>
            </w:r>
            <w:r w:rsidR="00433D8A">
              <w:t>d</w:t>
            </w:r>
            <w:r w:rsidRPr="00877711">
              <w:t>. EUR)</w:t>
            </w:r>
            <w:bookmarkEnd w:id="69"/>
            <w:bookmarkEnd w:id="70"/>
            <w:bookmarkEnd w:id="71"/>
          </w:p>
        </w:tc>
      </w:tr>
      <w:tr w:rsidR="00330ADF" w:rsidRPr="00877711" w14:paraId="17A3C9E7" w14:textId="77777777" w:rsidTr="00CC1F9E">
        <w:trPr>
          <w:trHeight w:val="1850"/>
        </w:trPr>
        <w:tc>
          <w:tcPr>
            <w:tcW w:w="4467" w:type="dxa"/>
            <w:tcBorders>
              <w:top w:val="single" w:sz="4" w:space="0" w:color="auto"/>
              <w:left w:val="nil"/>
              <w:bottom w:val="single" w:sz="4" w:space="0" w:color="auto"/>
              <w:right w:val="nil"/>
            </w:tcBorders>
          </w:tcPr>
          <w:p w14:paraId="189681B9" w14:textId="77777777" w:rsidR="00330ADF" w:rsidRPr="00877711" w:rsidRDefault="00330ADF" w:rsidP="00CC1F9E">
            <w:pPr>
              <w:contextualSpacing/>
              <w:rPr>
                <w:rFonts w:cs="Garamond"/>
                <w:b/>
                <w:bCs/>
              </w:rPr>
            </w:pPr>
            <w:r>
              <w:rPr>
                <w:noProof/>
              </w:rPr>
              <w:drawing>
                <wp:inline distT="0" distB="0" distL="0" distR="0" wp14:anchorId="3F0E0543" wp14:editId="7181059E">
                  <wp:extent cx="2747645" cy="1905000"/>
                  <wp:effectExtent l="0" t="0" r="0" b="0"/>
                  <wp:docPr id="38" name="Graf 38">
                    <a:extLst xmlns:a="http://schemas.openxmlformats.org/drawingml/2006/main">
                      <a:ext uri="{FF2B5EF4-FFF2-40B4-BE49-F238E27FC236}">
                        <a16:creationId xmlns:a16="http://schemas.microsoft.com/office/drawing/2014/main" id="{61346EBE-9F91-4832-8CC1-45CACDFDA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36" w:type="dxa"/>
            <w:tcBorders>
              <w:top w:val="nil"/>
              <w:left w:val="nil"/>
              <w:bottom w:val="nil"/>
              <w:right w:val="nil"/>
            </w:tcBorders>
          </w:tcPr>
          <w:p w14:paraId="60FB63FB" w14:textId="77777777" w:rsidR="00330ADF" w:rsidRPr="00877711" w:rsidRDefault="00330ADF" w:rsidP="00CC1F9E">
            <w:pPr>
              <w:contextualSpacing/>
              <w:rPr>
                <w:rFonts w:cs="Garamond"/>
                <w:b/>
                <w:bCs/>
              </w:rPr>
            </w:pPr>
          </w:p>
        </w:tc>
        <w:tc>
          <w:tcPr>
            <w:tcW w:w="4457" w:type="dxa"/>
            <w:tcBorders>
              <w:top w:val="single" w:sz="4" w:space="0" w:color="auto"/>
              <w:left w:val="nil"/>
              <w:bottom w:val="single" w:sz="4" w:space="0" w:color="auto"/>
              <w:right w:val="nil"/>
            </w:tcBorders>
          </w:tcPr>
          <w:p w14:paraId="273782DB" w14:textId="77777777" w:rsidR="00330ADF" w:rsidRPr="00877711" w:rsidRDefault="00330ADF" w:rsidP="00CC1F9E">
            <w:pPr>
              <w:contextualSpacing/>
              <w:rPr>
                <w:rFonts w:cs="Garamond"/>
                <w:b/>
                <w:bCs/>
              </w:rPr>
            </w:pPr>
            <w:r>
              <w:rPr>
                <w:noProof/>
              </w:rPr>
              <w:drawing>
                <wp:inline distT="0" distB="0" distL="0" distR="0" wp14:anchorId="6DE70347" wp14:editId="5160E2F3">
                  <wp:extent cx="2741295" cy="2021205"/>
                  <wp:effectExtent l="0" t="0" r="1905" b="0"/>
                  <wp:docPr id="39" name="Graf 39">
                    <a:extLst xmlns:a="http://schemas.openxmlformats.org/drawingml/2006/main">
                      <a:ext uri="{FF2B5EF4-FFF2-40B4-BE49-F238E27FC236}">
                        <a16:creationId xmlns:a16="http://schemas.microsoft.com/office/drawing/2014/main" id="{3F2F4379-1781-4DEC-9BE3-4BD52D5487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30ADF" w:rsidRPr="00877711" w14:paraId="4D99EC2A" w14:textId="77777777" w:rsidTr="00CC1F9E">
        <w:trPr>
          <w:trHeight w:val="213"/>
        </w:trPr>
        <w:tc>
          <w:tcPr>
            <w:tcW w:w="4467" w:type="dxa"/>
            <w:tcBorders>
              <w:top w:val="single" w:sz="4" w:space="0" w:color="auto"/>
              <w:left w:val="nil"/>
              <w:bottom w:val="nil"/>
              <w:right w:val="nil"/>
            </w:tcBorders>
            <w:vAlign w:val="center"/>
          </w:tcPr>
          <w:p w14:paraId="01855B31" w14:textId="77777777" w:rsidR="00330ADF" w:rsidRPr="00877711" w:rsidRDefault="00330ADF" w:rsidP="00CC1F9E">
            <w:pPr>
              <w:spacing w:before="40"/>
              <w:contextualSpacing/>
              <w:jc w:val="right"/>
              <w:rPr>
                <w:rFonts w:cs="Arial"/>
                <w:b/>
                <w:bCs/>
                <w:i/>
                <w:sz w:val="16"/>
                <w:szCs w:val="16"/>
              </w:rPr>
            </w:pPr>
            <w:r w:rsidRPr="00877711">
              <w:rPr>
                <w:rFonts w:cs="Arial"/>
                <w:i/>
                <w:sz w:val="16"/>
                <w:szCs w:val="16"/>
              </w:rPr>
              <w:t>Zdroj: MF SR</w:t>
            </w:r>
          </w:p>
        </w:tc>
        <w:tc>
          <w:tcPr>
            <w:tcW w:w="236" w:type="dxa"/>
            <w:tcBorders>
              <w:top w:val="nil"/>
              <w:left w:val="nil"/>
              <w:bottom w:val="nil"/>
              <w:right w:val="nil"/>
            </w:tcBorders>
            <w:vAlign w:val="center"/>
          </w:tcPr>
          <w:p w14:paraId="74082A15" w14:textId="77777777" w:rsidR="00330ADF" w:rsidRPr="00877711" w:rsidRDefault="00330ADF" w:rsidP="00CC1F9E">
            <w:pPr>
              <w:contextualSpacing/>
              <w:jc w:val="center"/>
              <w:rPr>
                <w:rFonts w:cs="Arial"/>
                <w:i/>
                <w:sz w:val="14"/>
              </w:rPr>
            </w:pPr>
          </w:p>
        </w:tc>
        <w:tc>
          <w:tcPr>
            <w:tcW w:w="4457" w:type="dxa"/>
            <w:tcBorders>
              <w:top w:val="single" w:sz="4" w:space="0" w:color="auto"/>
              <w:left w:val="nil"/>
              <w:bottom w:val="nil"/>
              <w:right w:val="nil"/>
            </w:tcBorders>
            <w:vAlign w:val="center"/>
          </w:tcPr>
          <w:p w14:paraId="78436C2D" w14:textId="77777777" w:rsidR="00330ADF" w:rsidRPr="00877711" w:rsidRDefault="00330ADF" w:rsidP="00CC1F9E">
            <w:pPr>
              <w:spacing w:before="40"/>
              <w:contextualSpacing/>
              <w:jc w:val="right"/>
              <w:rPr>
                <w:rFonts w:cs="Arial"/>
                <w:i/>
                <w:sz w:val="14"/>
                <w:szCs w:val="16"/>
              </w:rPr>
            </w:pPr>
            <w:r w:rsidRPr="00877711">
              <w:rPr>
                <w:rFonts w:cs="Arial"/>
                <w:i/>
                <w:sz w:val="16"/>
                <w:szCs w:val="16"/>
              </w:rPr>
              <w:t xml:space="preserve">Zdroj: MF SR </w:t>
            </w:r>
          </w:p>
        </w:tc>
      </w:tr>
    </w:tbl>
    <w:p w14:paraId="0463FA48" w14:textId="77777777" w:rsidR="00131CE9" w:rsidRDefault="00131CE9" w:rsidP="00131CE9">
      <w:pPr>
        <w:jc w:val="both"/>
        <w:rPr>
          <w:b/>
          <w:bCs/>
          <w:iCs/>
        </w:rPr>
      </w:pPr>
    </w:p>
    <w:p w14:paraId="2505DDCD" w14:textId="2320577A" w:rsidR="00330ADF" w:rsidRPr="00131CE9" w:rsidRDefault="00330ADF" w:rsidP="00131CE9">
      <w:pPr>
        <w:jc w:val="both"/>
        <w:rPr>
          <w:iCs/>
        </w:rPr>
      </w:pPr>
      <w:r w:rsidRPr="00131CE9">
        <w:rPr>
          <w:b/>
          <w:bCs/>
          <w:iCs/>
        </w:rPr>
        <w:t>V</w:t>
      </w:r>
      <w:r w:rsidR="001F22FC">
        <w:rPr>
          <w:b/>
          <w:bCs/>
          <w:iCs/>
        </w:rPr>
        <w:t> </w:t>
      </w:r>
      <w:r w:rsidRPr="00131CE9">
        <w:rPr>
          <w:b/>
          <w:bCs/>
          <w:iCs/>
        </w:rPr>
        <w:t>rokoch 2026 až 2028 sa očakáva ekonomický rast okolo 2 %.</w:t>
      </w:r>
      <w:r w:rsidRPr="00131CE9">
        <w:rPr>
          <w:iCs/>
        </w:rPr>
        <w:t xml:space="preserve"> Vplyvy čerpania zdrojov z</w:t>
      </w:r>
      <w:r w:rsidR="001F22FC">
        <w:rPr>
          <w:iCs/>
        </w:rPr>
        <w:t> </w:t>
      </w:r>
      <w:r w:rsidRPr="00131CE9">
        <w:rPr>
          <w:iCs/>
        </w:rPr>
        <w:t>Plánu obnovy a</w:t>
      </w:r>
      <w:r w:rsidR="001F22FC">
        <w:rPr>
          <w:iCs/>
        </w:rPr>
        <w:t> </w:t>
      </w:r>
      <w:r w:rsidRPr="00131CE9">
        <w:rPr>
          <w:iCs/>
        </w:rPr>
        <w:t>odolnosti postupne odznejú. Posúvať vpred slovenskú ekonomiku budú vyššie exportné kapacity automobilového priemyslu. S</w:t>
      </w:r>
      <w:r w:rsidR="001F22FC">
        <w:rPr>
          <w:iCs/>
        </w:rPr>
        <w:t> </w:t>
      </w:r>
      <w:r w:rsidRPr="00131CE9">
        <w:rPr>
          <w:iCs/>
        </w:rPr>
        <w:t>novými modelmi budú prenikať slovenské automobilky postupne na zahraničné trhy a</w:t>
      </w:r>
      <w:r w:rsidR="001F22FC">
        <w:rPr>
          <w:iCs/>
        </w:rPr>
        <w:t> </w:t>
      </w:r>
      <w:r w:rsidRPr="00131CE9">
        <w:rPr>
          <w:iCs/>
        </w:rPr>
        <w:t xml:space="preserve">očakáva sa dobiehanie stratených trhových podielov. Konsolidácia verejných financií bude tlmiť vládnu spotrebu. Spotreba domácností však ostane stabilná. Na potenciálnu zamestnanosť začne negatívne vplývať starnutie obyvateľstva, keďže silnejšie produktívne ročníky pracovnej sily budú odchádzať do dôchodku. </w:t>
      </w:r>
    </w:p>
    <w:p w14:paraId="383B60CA" w14:textId="77777777" w:rsidR="00131CE9" w:rsidRDefault="00131CE9" w:rsidP="00131CE9">
      <w:pPr>
        <w:jc w:val="both"/>
        <w:rPr>
          <w:b/>
          <w:bCs/>
          <w:iCs/>
        </w:rPr>
      </w:pPr>
    </w:p>
    <w:p w14:paraId="7D425A97" w14:textId="2136386A" w:rsidR="00131CE9" w:rsidRPr="00131CE9" w:rsidRDefault="00330ADF" w:rsidP="00131CE9">
      <w:pPr>
        <w:jc w:val="both"/>
        <w:rPr>
          <w:iCs/>
        </w:rPr>
      </w:pPr>
      <w:r w:rsidRPr="00131CE9">
        <w:rPr>
          <w:b/>
          <w:bCs/>
          <w:iCs/>
        </w:rPr>
        <w:t>Trh práce je odolný, miera nezamestnanosti blízko minima, no pre nedostatok pracovnej sily zostáva dynamika zamestnanosti nízka.</w:t>
      </w:r>
      <w:r w:rsidRPr="00131CE9">
        <w:rPr>
          <w:iCs/>
        </w:rPr>
        <w:t xml:space="preserve"> V</w:t>
      </w:r>
      <w:r w:rsidR="001F22FC">
        <w:rPr>
          <w:iCs/>
        </w:rPr>
        <w:t> </w:t>
      </w:r>
      <w:r w:rsidRPr="00131CE9">
        <w:rPr>
          <w:iCs/>
        </w:rPr>
        <w:t>ekonomike vznikne v</w:t>
      </w:r>
      <w:r w:rsidR="001F22FC">
        <w:rPr>
          <w:iCs/>
        </w:rPr>
        <w:t> </w:t>
      </w:r>
      <w:r w:rsidRPr="00131CE9">
        <w:rPr>
          <w:iCs/>
        </w:rPr>
        <w:t>roku  2024 asi 4 tisíc nových pracovných miest, čo je o</w:t>
      </w:r>
      <w:r w:rsidR="001F22FC">
        <w:rPr>
          <w:iCs/>
        </w:rPr>
        <w:t> </w:t>
      </w:r>
      <w:r w:rsidRPr="00131CE9">
        <w:rPr>
          <w:iCs/>
        </w:rPr>
        <w:t>tretinu menej než vlani. Na zhoršenie domáceho a</w:t>
      </w:r>
      <w:r w:rsidR="001F22FC">
        <w:rPr>
          <w:iCs/>
        </w:rPr>
        <w:t> </w:t>
      </w:r>
      <w:r w:rsidRPr="00131CE9">
        <w:rPr>
          <w:iCs/>
        </w:rPr>
        <w:t>zahraničného dopytu najviac doplatí priemysel a</w:t>
      </w:r>
      <w:r w:rsidR="001F22FC">
        <w:rPr>
          <w:iCs/>
        </w:rPr>
        <w:t> </w:t>
      </w:r>
      <w:r w:rsidRPr="00131CE9">
        <w:rPr>
          <w:iCs/>
        </w:rPr>
        <w:t>nízko-kvalifikované služby, kde zamestnanosť stále nedosiahla úrovne spred pandémie. Zvýšené odchody zamestnancov do predčasného dôchodku budú v</w:t>
      </w:r>
      <w:r w:rsidR="001F22FC">
        <w:rPr>
          <w:iCs/>
        </w:rPr>
        <w:t> </w:t>
      </w:r>
      <w:r w:rsidRPr="00131CE9">
        <w:rPr>
          <w:iCs/>
        </w:rPr>
        <w:t>menšej miere pokračovať aj v</w:t>
      </w:r>
      <w:r w:rsidR="001F22FC">
        <w:rPr>
          <w:iCs/>
        </w:rPr>
        <w:t> </w:t>
      </w:r>
      <w:r w:rsidRPr="00131CE9">
        <w:rPr>
          <w:iCs/>
        </w:rPr>
        <w:t xml:space="preserve">tomto roku. Problém so znižovaním pracovnej sily </w:t>
      </w:r>
      <w:r w:rsidRPr="00131CE9">
        <w:rPr>
          <w:iCs/>
        </w:rPr>
        <w:lastRenderedPageBreak/>
        <w:t>na Slovensku pomáha aj naďalej tlmiť vyše 100 tisíc pracujúcich cudzincov. Miera nezamestnanosti klesne na nové minimum.</w:t>
      </w:r>
    </w:p>
    <w:tbl>
      <w:tblPr>
        <w:tblW w:w="9134" w:type="dxa"/>
        <w:tblCellMar>
          <w:left w:w="70" w:type="dxa"/>
          <w:right w:w="70" w:type="dxa"/>
        </w:tblCellMar>
        <w:tblLook w:val="04A0" w:firstRow="1" w:lastRow="0" w:firstColumn="1" w:lastColumn="0" w:noHBand="0" w:noVBand="1"/>
      </w:tblPr>
      <w:tblGrid>
        <w:gridCol w:w="423"/>
        <w:gridCol w:w="3688"/>
        <w:gridCol w:w="858"/>
        <w:gridCol w:w="595"/>
        <w:gridCol w:w="595"/>
        <w:gridCol w:w="595"/>
        <w:gridCol w:w="595"/>
        <w:gridCol w:w="595"/>
        <w:gridCol w:w="595"/>
        <w:gridCol w:w="595"/>
      </w:tblGrid>
      <w:tr w:rsidR="00330ADF" w:rsidRPr="00EA7053" w14:paraId="1BAFFEBF" w14:textId="77777777" w:rsidTr="00DD6FE8">
        <w:trPr>
          <w:trHeight w:val="315"/>
        </w:trPr>
        <w:tc>
          <w:tcPr>
            <w:tcW w:w="9134" w:type="dxa"/>
            <w:gridSpan w:val="10"/>
            <w:tcBorders>
              <w:top w:val="nil"/>
              <w:left w:val="nil"/>
              <w:bottom w:val="single" w:sz="8" w:space="0" w:color="auto"/>
              <w:right w:val="nil"/>
            </w:tcBorders>
            <w:shd w:val="clear" w:color="auto" w:fill="auto"/>
            <w:noWrap/>
            <w:vAlign w:val="center"/>
            <w:hideMark/>
          </w:tcPr>
          <w:p w14:paraId="49A3603E" w14:textId="21D57EE9" w:rsidR="00330ADF" w:rsidRPr="00664E8C" w:rsidRDefault="00330ADF" w:rsidP="00664E8C">
            <w:pPr>
              <w:spacing w:before="120"/>
              <w:rPr>
                <w:rFonts w:cs="Calibri"/>
                <w:b/>
                <w:bCs/>
                <w:color w:val="2C9ADC"/>
                <w:sz w:val="20"/>
                <w:szCs w:val="20"/>
              </w:rPr>
            </w:pPr>
            <w:bookmarkStart w:id="72" w:name="_Toc164684550"/>
            <w:r w:rsidRPr="00050979">
              <w:rPr>
                <w:rFonts w:cs="Calibri"/>
                <w:b/>
                <w:bCs/>
                <w:color w:val="2C9ADC"/>
                <w:sz w:val="20"/>
                <w:szCs w:val="20"/>
              </w:rPr>
              <w:t xml:space="preserve">TABUĽKA </w:t>
            </w:r>
            <w:r w:rsidR="008D6A85" w:rsidRPr="00050979">
              <w:rPr>
                <w:b/>
                <w:color w:val="2C9ADC" w:themeColor="accent1"/>
                <w:sz w:val="20"/>
                <w:szCs w:val="20"/>
              </w:rPr>
              <w:fldChar w:fldCharType="begin"/>
            </w:r>
            <w:r w:rsidR="008D6A85" w:rsidRPr="00050979">
              <w:rPr>
                <w:b/>
                <w:color w:val="2C9ADC" w:themeColor="accent1"/>
                <w:sz w:val="20"/>
                <w:szCs w:val="20"/>
              </w:rPr>
              <w:instrText xml:space="preserve"> SEQ TABUĽKA \* ARABIC </w:instrText>
            </w:r>
            <w:r w:rsidR="008D6A85" w:rsidRPr="00050979">
              <w:rPr>
                <w:b/>
                <w:color w:val="2C9ADC" w:themeColor="accent1"/>
                <w:sz w:val="20"/>
                <w:szCs w:val="20"/>
              </w:rPr>
              <w:fldChar w:fldCharType="separate"/>
            </w:r>
            <w:r w:rsidR="007435E9">
              <w:rPr>
                <w:b/>
                <w:noProof/>
                <w:color w:val="2C9ADC" w:themeColor="accent1"/>
                <w:sz w:val="20"/>
                <w:szCs w:val="20"/>
              </w:rPr>
              <w:t>1</w:t>
            </w:r>
            <w:r w:rsidR="008D6A85" w:rsidRPr="00050979">
              <w:rPr>
                <w:b/>
                <w:color w:val="2C9ADC" w:themeColor="accent1"/>
                <w:sz w:val="20"/>
                <w:szCs w:val="20"/>
              </w:rPr>
              <w:fldChar w:fldCharType="end"/>
            </w:r>
            <w:r w:rsidR="008D6A85" w:rsidRPr="00050979">
              <w:rPr>
                <w:b/>
                <w:color w:val="2C9ADC" w:themeColor="accent1"/>
                <w:sz w:val="20"/>
                <w:szCs w:val="20"/>
              </w:rPr>
              <w:t xml:space="preserve"> – </w:t>
            </w:r>
            <w:r w:rsidRPr="00050979">
              <w:rPr>
                <w:rFonts w:cs="Calibri"/>
                <w:b/>
                <w:bCs/>
                <w:color w:val="2C9ADC"/>
                <w:sz w:val="20"/>
                <w:szCs w:val="20"/>
              </w:rPr>
              <w:t>Prognóza vybraných indikátorov vývoja ekonomiky SR pre roky 2023 až 2028</w:t>
            </w:r>
            <w:bookmarkEnd w:id="72"/>
          </w:p>
        </w:tc>
      </w:tr>
      <w:tr w:rsidR="00330ADF" w:rsidRPr="00EA7053" w14:paraId="34CBB9BF" w14:textId="77777777" w:rsidTr="00CC1F9E">
        <w:trPr>
          <w:trHeight w:val="315"/>
        </w:trPr>
        <w:tc>
          <w:tcPr>
            <w:tcW w:w="423" w:type="dxa"/>
            <w:tcBorders>
              <w:top w:val="nil"/>
              <w:left w:val="nil"/>
              <w:bottom w:val="single" w:sz="8" w:space="0" w:color="auto"/>
              <w:right w:val="nil"/>
            </w:tcBorders>
            <w:shd w:val="clear" w:color="auto" w:fill="auto"/>
            <w:noWrap/>
            <w:vAlign w:val="center"/>
            <w:hideMark/>
          </w:tcPr>
          <w:p w14:paraId="49CC9F28"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P.č.</w:t>
            </w:r>
          </w:p>
        </w:tc>
        <w:tc>
          <w:tcPr>
            <w:tcW w:w="3688" w:type="dxa"/>
            <w:tcBorders>
              <w:top w:val="nil"/>
              <w:left w:val="nil"/>
              <w:bottom w:val="single" w:sz="8" w:space="0" w:color="auto"/>
              <w:right w:val="nil"/>
            </w:tcBorders>
            <w:shd w:val="clear" w:color="auto" w:fill="auto"/>
            <w:noWrap/>
            <w:vAlign w:val="center"/>
            <w:hideMark/>
          </w:tcPr>
          <w:p w14:paraId="4A029D18"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Ukazovateľ</w:t>
            </w:r>
          </w:p>
        </w:tc>
        <w:tc>
          <w:tcPr>
            <w:tcW w:w="858" w:type="dxa"/>
            <w:tcBorders>
              <w:top w:val="nil"/>
              <w:left w:val="nil"/>
              <w:bottom w:val="single" w:sz="8" w:space="0" w:color="auto"/>
              <w:right w:val="nil"/>
            </w:tcBorders>
            <w:shd w:val="clear" w:color="auto" w:fill="auto"/>
            <w:noWrap/>
            <w:vAlign w:val="center"/>
            <w:hideMark/>
          </w:tcPr>
          <w:p w14:paraId="61517A35"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 </w:t>
            </w:r>
          </w:p>
        </w:tc>
        <w:tc>
          <w:tcPr>
            <w:tcW w:w="1190" w:type="dxa"/>
            <w:gridSpan w:val="2"/>
            <w:tcBorders>
              <w:top w:val="single" w:sz="8" w:space="0" w:color="auto"/>
              <w:left w:val="nil"/>
              <w:bottom w:val="single" w:sz="8" w:space="0" w:color="auto"/>
              <w:right w:val="nil"/>
            </w:tcBorders>
            <w:shd w:val="clear" w:color="auto" w:fill="auto"/>
            <w:noWrap/>
            <w:vAlign w:val="center"/>
            <w:hideMark/>
          </w:tcPr>
          <w:p w14:paraId="0DCA30F4"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Skutočnosť</w:t>
            </w:r>
          </w:p>
        </w:tc>
        <w:tc>
          <w:tcPr>
            <w:tcW w:w="2975" w:type="dxa"/>
            <w:gridSpan w:val="5"/>
            <w:tcBorders>
              <w:top w:val="single" w:sz="8" w:space="0" w:color="auto"/>
              <w:left w:val="nil"/>
              <w:bottom w:val="single" w:sz="8" w:space="0" w:color="auto"/>
              <w:right w:val="nil"/>
            </w:tcBorders>
            <w:shd w:val="clear" w:color="auto" w:fill="auto"/>
            <w:noWrap/>
            <w:vAlign w:val="center"/>
            <w:hideMark/>
          </w:tcPr>
          <w:p w14:paraId="20C4B11F"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Prognóza</w:t>
            </w:r>
          </w:p>
        </w:tc>
      </w:tr>
      <w:tr w:rsidR="00330ADF" w:rsidRPr="00EA7053" w14:paraId="3C0C12D2" w14:textId="77777777" w:rsidTr="00CC1F9E">
        <w:trPr>
          <w:trHeight w:val="285"/>
        </w:trPr>
        <w:tc>
          <w:tcPr>
            <w:tcW w:w="423" w:type="dxa"/>
            <w:tcBorders>
              <w:top w:val="nil"/>
              <w:left w:val="nil"/>
              <w:bottom w:val="single" w:sz="8" w:space="0" w:color="auto"/>
              <w:right w:val="nil"/>
            </w:tcBorders>
            <w:shd w:val="clear" w:color="auto" w:fill="auto"/>
            <w:noWrap/>
            <w:vAlign w:val="center"/>
            <w:hideMark/>
          </w:tcPr>
          <w:p w14:paraId="06A192CE"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 </w:t>
            </w:r>
          </w:p>
        </w:tc>
        <w:tc>
          <w:tcPr>
            <w:tcW w:w="3688" w:type="dxa"/>
            <w:tcBorders>
              <w:top w:val="nil"/>
              <w:left w:val="nil"/>
              <w:bottom w:val="single" w:sz="8" w:space="0" w:color="auto"/>
              <w:right w:val="nil"/>
            </w:tcBorders>
            <w:shd w:val="clear" w:color="auto" w:fill="auto"/>
            <w:noWrap/>
            <w:vAlign w:val="center"/>
            <w:hideMark/>
          </w:tcPr>
          <w:p w14:paraId="7F89A812"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 </w:t>
            </w:r>
          </w:p>
        </w:tc>
        <w:tc>
          <w:tcPr>
            <w:tcW w:w="858" w:type="dxa"/>
            <w:tcBorders>
              <w:top w:val="nil"/>
              <w:left w:val="nil"/>
              <w:bottom w:val="single" w:sz="8" w:space="0" w:color="auto"/>
              <w:right w:val="nil"/>
            </w:tcBorders>
            <w:shd w:val="clear" w:color="auto" w:fill="auto"/>
            <w:noWrap/>
            <w:vAlign w:val="center"/>
            <w:hideMark/>
          </w:tcPr>
          <w:p w14:paraId="5F01C66E"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m.j.</w:t>
            </w:r>
          </w:p>
        </w:tc>
        <w:tc>
          <w:tcPr>
            <w:tcW w:w="595" w:type="dxa"/>
            <w:tcBorders>
              <w:top w:val="nil"/>
              <w:left w:val="nil"/>
              <w:bottom w:val="single" w:sz="8" w:space="0" w:color="auto"/>
              <w:right w:val="nil"/>
            </w:tcBorders>
            <w:shd w:val="clear" w:color="auto" w:fill="auto"/>
            <w:noWrap/>
            <w:vAlign w:val="center"/>
            <w:hideMark/>
          </w:tcPr>
          <w:p w14:paraId="62264898"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2022</w:t>
            </w:r>
          </w:p>
        </w:tc>
        <w:tc>
          <w:tcPr>
            <w:tcW w:w="595" w:type="dxa"/>
            <w:tcBorders>
              <w:top w:val="nil"/>
              <w:left w:val="nil"/>
              <w:bottom w:val="single" w:sz="8" w:space="0" w:color="auto"/>
              <w:right w:val="nil"/>
            </w:tcBorders>
            <w:shd w:val="clear" w:color="auto" w:fill="auto"/>
            <w:noWrap/>
            <w:vAlign w:val="center"/>
            <w:hideMark/>
          </w:tcPr>
          <w:p w14:paraId="71BBD8DD"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2023</w:t>
            </w:r>
          </w:p>
        </w:tc>
        <w:tc>
          <w:tcPr>
            <w:tcW w:w="595" w:type="dxa"/>
            <w:tcBorders>
              <w:top w:val="nil"/>
              <w:left w:val="nil"/>
              <w:bottom w:val="single" w:sz="8" w:space="0" w:color="auto"/>
              <w:right w:val="nil"/>
            </w:tcBorders>
            <w:shd w:val="clear" w:color="auto" w:fill="auto"/>
            <w:noWrap/>
            <w:vAlign w:val="center"/>
            <w:hideMark/>
          </w:tcPr>
          <w:p w14:paraId="4E7B9AD5"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2024</w:t>
            </w:r>
          </w:p>
        </w:tc>
        <w:tc>
          <w:tcPr>
            <w:tcW w:w="595" w:type="dxa"/>
            <w:tcBorders>
              <w:top w:val="nil"/>
              <w:left w:val="nil"/>
              <w:bottom w:val="single" w:sz="8" w:space="0" w:color="auto"/>
              <w:right w:val="nil"/>
            </w:tcBorders>
            <w:shd w:val="clear" w:color="auto" w:fill="auto"/>
            <w:noWrap/>
            <w:vAlign w:val="center"/>
            <w:hideMark/>
          </w:tcPr>
          <w:p w14:paraId="76EFC3A7"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2025</w:t>
            </w:r>
          </w:p>
        </w:tc>
        <w:tc>
          <w:tcPr>
            <w:tcW w:w="595" w:type="dxa"/>
            <w:tcBorders>
              <w:top w:val="nil"/>
              <w:left w:val="nil"/>
              <w:bottom w:val="single" w:sz="8" w:space="0" w:color="auto"/>
              <w:right w:val="nil"/>
            </w:tcBorders>
            <w:shd w:val="clear" w:color="auto" w:fill="auto"/>
            <w:noWrap/>
            <w:vAlign w:val="center"/>
            <w:hideMark/>
          </w:tcPr>
          <w:p w14:paraId="6731DB8C"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2026</w:t>
            </w:r>
          </w:p>
        </w:tc>
        <w:tc>
          <w:tcPr>
            <w:tcW w:w="595" w:type="dxa"/>
            <w:tcBorders>
              <w:top w:val="nil"/>
              <w:left w:val="nil"/>
              <w:bottom w:val="single" w:sz="8" w:space="0" w:color="auto"/>
              <w:right w:val="nil"/>
            </w:tcBorders>
            <w:shd w:val="clear" w:color="auto" w:fill="auto"/>
            <w:noWrap/>
            <w:vAlign w:val="center"/>
            <w:hideMark/>
          </w:tcPr>
          <w:p w14:paraId="7EC069B0"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2027</w:t>
            </w:r>
          </w:p>
        </w:tc>
        <w:tc>
          <w:tcPr>
            <w:tcW w:w="595" w:type="dxa"/>
            <w:tcBorders>
              <w:top w:val="nil"/>
              <w:left w:val="nil"/>
              <w:bottom w:val="single" w:sz="8" w:space="0" w:color="auto"/>
              <w:right w:val="nil"/>
            </w:tcBorders>
            <w:shd w:val="clear" w:color="auto" w:fill="auto"/>
            <w:noWrap/>
            <w:vAlign w:val="center"/>
            <w:hideMark/>
          </w:tcPr>
          <w:p w14:paraId="36A3915B" w14:textId="77777777" w:rsidR="00330ADF" w:rsidRPr="00EA7053" w:rsidRDefault="00330ADF" w:rsidP="00CC1F9E">
            <w:pPr>
              <w:jc w:val="center"/>
              <w:rPr>
                <w:rFonts w:cs="Calibri"/>
                <w:b/>
                <w:bCs/>
                <w:color w:val="000000"/>
                <w:sz w:val="18"/>
                <w:szCs w:val="18"/>
              </w:rPr>
            </w:pPr>
            <w:r w:rsidRPr="00EA7053">
              <w:rPr>
                <w:rFonts w:cs="Calibri"/>
                <w:b/>
                <w:bCs/>
                <w:color w:val="000000"/>
                <w:sz w:val="18"/>
                <w:szCs w:val="18"/>
              </w:rPr>
              <w:t>2028</w:t>
            </w:r>
          </w:p>
        </w:tc>
      </w:tr>
      <w:tr w:rsidR="00050979" w:rsidRPr="00EA7053" w14:paraId="6086362B" w14:textId="77777777" w:rsidTr="00CC1F9E">
        <w:trPr>
          <w:trHeight w:val="270"/>
        </w:trPr>
        <w:tc>
          <w:tcPr>
            <w:tcW w:w="423" w:type="dxa"/>
            <w:tcBorders>
              <w:top w:val="nil"/>
              <w:left w:val="nil"/>
              <w:bottom w:val="nil"/>
              <w:right w:val="nil"/>
            </w:tcBorders>
            <w:shd w:val="clear" w:color="auto" w:fill="auto"/>
            <w:noWrap/>
            <w:vAlign w:val="center"/>
            <w:hideMark/>
          </w:tcPr>
          <w:p w14:paraId="363AD60F" w14:textId="091747BA" w:rsidR="00050979" w:rsidRPr="00EA7053" w:rsidRDefault="00050979" w:rsidP="00050979">
            <w:pPr>
              <w:jc w:val="center"/>
              <w:rPr>
                <w:rFonts w:cs="Calibri"/>
                <w:color w:val="000000"/>
                <w:sz w:val="18"/>
                <w:szCs w:val="18"/>
              </w:rPr>
            </w:pPr>
            <w:r>
              <w:rPr>
                <w:rFonts w:cs="Calibri"/>
                <w:color w:val="000000"/>
                <w:sz w:val="18"/>
                <w:szCs w:val="18"/>
              </w:rPr>
              <w:t>1</w:t>
            </w:r>
          </w:p>
        </w:tc>
        <w:tc>
          <w:tcPr>
            <w:tcW w:w="3688" w:type="dxa"/>
            <w:tcBorders>
              <w:top w:val="nil"/>
              <w:left w:val="nil"/>
              <w:bottom w:val="nil"/>
              <w:right w:val="nil"/>
            </w:tcBorders>
            <w:shd w:val="clear" w:color="auto" w:fill="auto"/>
            <w:noWrap/>
            <w:vAlign w:val="center"/>
            <w:hideMark/>
          </w:tcPr>
          <w:p w14:paraId="0A32DA24" w14:textId="4D40E226" w:rsidR="00050979" w:rsidRPr="00EA7053" w:rsidRDefault="00050979" w:rsidP="00050979">
            <w:pPr>
              <w:rPr>
                <w:rFonts w:cs="Calibri"/>
                <w:color w:val="000000"/>
                <w:sz w:val="18"/>
                <w:szCs w:val="18"/>
              </w:rPr>
            </w:pPr>
            <w:r>
              <w:rPr>
                <w:rFonts w:cs="Calibri"/>
                <w:color w:val="000000"/>
                <w:sz w:val="18"/>
                <w:szCs w:val="18"/>
              </w:rPr>
              <w:t>HDP, bežné ceny</w:t>
            </w:r>
          </w:p>
        </w:tc>
        <w:tc>
          <w:tcPr>
            <w:tcW w:w="858" w:type="dxa"/>
            <w:tcBorders>
              <w:top w:val="nil"/>
              <w:left w:val="nil"/>
              <w:bottom w:val="nil"/>
              <w:right w:val="nil"/>
            </w:tcBorders>
            <w:shd w:val="clear" w:color="auto" w:fill="auto"/>
            <w:noWrap/>
            <w:vAlign w:val="center"/>
            <w:hideMark/>
          </w:tcPr>
          <w:p w14:paraId="5BE73EA4" w14:textId="5D6986F5" w:rsidR="00050979" w:rsidRPr="00EA7053" w:rsidRDefault="00050979" w:rsidP="00050979">
            <w:pPr>
              <w:jc w:val="center"/>
              <w:rPr>
                <w:rFonts w:cs="Calibri"/>
                <w:color w:val="000000"/>
                <w:sz w:val="18"/>
                <w:szCs w:val="18"/>
              </w:rPr>
            </w:pPr>
            <w:r>
              <w:rPr>
                <w:rFonts w:cs="Calibri"/>
                <w:color w:val="000000"/>
                <w:sz w:val="18"/>
                <w:szCs w:val="18"/>
              </w:rPr>
              <w:t>mld. eur</w:t>
            </w:r>
          </w:p>
        </w:tc>
        <w:tc>
          <w:tcPr>
            <w:tcW w:w="595" w:type="dxa"/>
            <w:tcBorders>
              <w:top w:val="single" w:sz="8" w:space="0" w:color="auto"/>
              <w:left w:val="nil"/>
              <w:bottom w:val="nil"/>
              <w:right w:val="nil"/>
            </w:tcBorders>
            <w:shd w:val="clear" w:color="auto" w:fill="auto"/>
            <w:noWrap/>
            <w:vAlign w:val="center"/>
            <w:hideMark/>
          </w:tcPr>
          <w:p w14:paraId="515AEFD2" w14:textId="14AF4F9B" w:rsidR="00050979" w:rsidRPr="00EA7053" w:rsidRDefault="00050979" w:rsidP="00050979">
            <w:pPr>
              <w:jc w:val="center"/>
              <w:rPr>
                <w:rFonts w:cs="Calibri"/>
                <w:color w:val="000000"/>
                <w:sz w:val="18"/>
                <w:szCs w:val="18"/>
              </w:rPr>
            </w:pPr>
            <w:r>
              <w:rPr>
                <w:rFonts w:cs="Calibri"/>
                <w:color w:val="000000"/>
                <w:sz w:val="18"/>
                <w:szCs w:val="18"/>
              </w:rPr>
              <w:t>109,8</w:t>
            </w:r>
          </w:p>
        </w:tc>
        <w:tc>
          <w:tcPr>
            <w:tcW w:w="595" w:type="dxa"/>
            <w:tcBorders>
              <w:top w:val="single" w:sz="8" w:space="0" w:color="auto"/>
              <w:left w:val="nil"/>
              <w:bottom w:val="nil"/>
              <w:right w:val="nil"/>
            </w:tcBorders>
            <w:shd w:val="clear" w:color="auto" w:fill="auto"/>
            <w:noWrap/>
            <w:vAlign w:val="center"/>
            <w:hideMark/>
          </w:tcPr>
          <w:p w14:paraId="28AF27C1" w14:textId="683B923E" w:rsidR="00050979" w:rsidRPr="00EA7053" w:rsidRDefault="00050979" w:rsidP="00050979">
            <w:pPr>
              <w:jc w:val="center"/>
              <w:rPr>
                <w:rFonts w:cs="Calibri"/>
                <w:color w:val="000000"/>
                <w:sz w:val="18"/>
                <w:szCs w:val="18"/>
              </w:rPr>
            </w:pPr>
            <w:r>
              <w:rPr>
                <w:rFonts w:cs="Calibri"/>
                <w:color w:val="000000"/>
                <w:sz w:val="18"/>
                <w:szCs w:val="18"/>
              </w:rPr>
              <w:t>122,8</w:t>
            </w:r>
          </w:p>
        </w:tc>
        <w:tc>
          <w:tcPr>
            <w:tcW w:w="595" w:type="dxa"/>
            <w:tcBorders>
              <w:top w:val="single" w:sz="8" w:space="0" w:color="auto"/>
              <w:left w:val="nil"/>
              <w:bottom w:val="nil"/>
              <w:right w:val="nil"/>
            </w:tcBorders>
            <w:shd w:val="clear" w:color="auto" w:fill="auto"/>
            <w:noWrap/>
            <w:vAlign w:val="center"/>
            <w:hideMark/>
          </w:tcPr>
          <w:p w14:paraId="6294D022" w14:textId="7CA5A517" w:rsidR="00050979" w:rsidRPr="00EA7053" w:rsidRDefault="00050979" w:rsidP="00050979">
            <w:pPr>
              <w:jc w:val="center"/>
              <w:rPr>
                <w:rFonts w:cs="Calibri"/>
                <w:color w:val="000000"/>
                <w:sz w:val="18"/>
                <w:szCs w:val="18"/>
              </w:rPr>
            </w:pPr>
            <w:r>
              <w:rPr>
                <w:rFonts w:cs="Calibri"/>
                <w:color w:val="000000"/>
                <w:sz w:val="18"/>
                <w:szCs w:val="18"/>
              </w:rPr>
              <w:t>131,4</w:t>
            </w:r>
          </w:p>
        </w:tc>
        <w:tc>
          <w:tcPr>
            <w:tcW w:w="595" w:type="dxa"/>
            <w:tcBorders>
              <w:top w:val="single" w:sz="8" w:space="0" w:color="auto"/>
              <w:left w:val="nil"/>
              <w:bottom w:val="nil"/>
              <w:right w:val="nil"/>
            </w:tcBorders>
            <w:shd w:val="clear" w:color="auto" w:fill="auto"/>
            <w:noWrap/>
            <w:vAlign w:val="center"/>
            <w:hideMark/>
          </w:tcPr>
          <w:p w14:paraId="02018AF6" w14:textId="23604849" w:rsidR="00050979" w:rsidRPr="00EA7053" w:rsidRDefault="00050979" w:rsidP="00050979">
            <w:pPr>
              <w:jc w:val="center"/>
              <w:rPr>
                <w:rFonts w:cs="Calibri"/>
                <w:color w:val="000000"/>
                <w:sz w:val="18"/>
                <w:szCs w:val="18"/>
              </w:rPr>
            </w:pPr>
            <w:r>
              <w:rPr>
                <w:rFonts w:cs="Calibri"/>
                <w:color w:val="000000"/>
                <w:sz w:val="18"/>
                <w:szCs w:val="18"/>
              </w:rPr>
              <w:t>140,4</w:t>
            </w:r>
          </w:p>
        </w:tc>
        <w:tc>
          <w:tcPr>
            <w:tcW w:w="595" w:type="dxa"/>
            <w:tcBorders>
              <w:top w:val="single" w:sz="8" w:space="0" w:color="auto"/>
              <w:left w:val="nil"/>
              <w:bottom w:val="nil"/>
              <w:right w:val="nil"/>
            </w:tcBorders>
            <w:shd w:val="clear" w:color="auto" w:fill="auto"/>
            <w:noWrap/>
            <w:vAlign w:val="center"/>
            <w:hideMark/>
          </w:tcPr>
          <w:p w14:paraId="103CB458" w14:textId="0D399395" w:rsidR="00050979" w:rsidRPr="00EA7053" w:rsidRDefault="00050979" w:rsidP="00050979">
            <w:pPr>
              <w:jc w:val="center"/>
              <w:rPr>
                <w:rFonts w:cs="Calibri"/>
                <w:color w:val="000000"/>
                <w:sz w:val="18"/>
                <w:szCs w:val="18"/>
              </w:rPr>
            </w:pPr>
            <w:r>
              <w:rPr>
                <w:rFonts w:cs="Calibri"/>
                <w:color w:val="000000"/>
                <w:sz w:val="18"/>
                <w:szCs w:val="18"/>
              </w:rPr>
              <w:t>147,0</w:t>
            </w:r>
          </w:p>
        </w:tc>
        <w:tc>
          <w:tcPr>
            <w:tcW w:w="595" w:type="dxa"/>
            <w:tcBorders>
              <w:top w:val="single" w:sz="8" w:space="0" w:color="auto"/>
              <w:left w:val="nil"/>
              <w:bottom w:val="nil"/>
              <w:right w:val="nil"/>
            </w:tcBorders>
            <w:shd w:val="clear" w:color="auto" w:fill="auto"/>
            <w:noWrap/>
            <w:vAlign w:val="center"/>
            <w:hideMark/>
          </w:tcPr>
          <w:p w14:paraId="03DF578F" w14:textId="3ABFC0B0" w:rsidR="00050979" w:rsidRPr="00EA7053" w:rsidRDefault="00050979" w:rsidP="00050979">
            <w:pPr>
              <w:jc w:val="center"/>
              <w:rPr>
                <w:rFonts w:cs="Calibri"/>
                <w:color w:val="000000"/>
                <w:sz w:val="18"/>
                <w:szCs w:val="18"/>
              </w:rPr>
            </w:pPr>
            <w:r>
              <w:rPr>
                <w:rFonts w:cs="Calibri"/>
                <w:color w:val="000000"/>
                <w:sz w:val="18"/>
                <w:szCs w:val="18"/>
              </w:rPr>
              <w:t>152,7</w:t>
            </w:r>
          </w:p>
        </w:tc>
        <w:tc>
          <w:tcPr>
            <w:tcW w:w="595" w:type="dxa"/>
            <w:tcBorders>
              <w:top w:val="single" w:sz="8" w:space="0" w:color="auto"/>
              <w:left w:val="nil"/>
              <w:bottom w:val="nil"/>
              <w:right w:val="nil"/>
            </w:tcBorders>
            <w:shd w:val="clear" w:color="auto" w:fill="auto"/>
            <w:noWrap/>
            <w:vAlign w:val="center"/>
            <w:hideMark/>
          </w:tcPr>
          <w:p w14:paraId="2A2ECD49" w14:textId="3BAF9EA8" w:rsidR="00050979" w:rsidRPr="00EA7053" w:rsidRDefault="00050979" w:rsidP="00050979">
            <w:pPr>
              <w:jc w:val="center"/>
              <w:rPr>
                <w:rFonts w:cs="Calibri"/>
                <w:color w:val="000000"/>
                <w:sz w:val="18"/>
                <w:szCs w:val="18"/>
              </w:rPr>
            </w:pPr>
            <w:r>
              <w:rPr>
                <w:rFonts w:cs="Calibri"/>
                <w:color w:val="000000"/>
                <w:sz w:val="18"/>
                <w:szCs w:val="18"/>
              </w:rPr>
              <w:t>159,3</w:t>
            </w:r>
          </w:p>
        </w:tc>
      </w:tr>
      <w:tr w:rsidR="00050979" w:rsidRPr="00EA7053" w14:paraId="2EC3341B" w14:textId="77777777" w:rsidTr="00CC1F9E">
        <w:trPr>
          <w:trHeight w:val="270"/>
        </w:trPr>
        <w:tc>
          <w:tcPr>
            <w:tcW w:w="423" w:type="dxa"/>
            <w:tcBorders>
              <w:top w:val="nil"/>
              <w:left w:val="nil"/>
              <w:bottom w:val="nil"/>
              <w:right w:val="nil"/>
            </w:tcBorders>
            <w:shd w:val="clear" w:color="auto" w:fill="auto"/>
            <w:noWrap/>
            <w:vAlign w:val="center"/>
            <w:hideMark/>
          </w:tcPr>
          <w:p w14:paraId="17D908DC" w14:textId="01C7CB92" w:rsidR="00050979" w:rsidRPr="00EA7053" w:rsidRDefault="00050979" w:rsidP="00050979">
            <w:pPr>
              <w:jc w:val="center"/>
              <w:rPr>
                <w:rFonts w:cs="Calibri"/>
                <w:color w:val="000000"/>
                <w:sz w:val="18"/>
                <w:szCs w:val="18"/>
              </w:rPr>
            </w:pPr>
            <w:r>
              <w:rPr>
                <w:rFonts w:cs="Calibri"/>
                <w:color w:val="000000"/>
                <w:sz w:val="18"/>
                <w:szCs w:val="18"/>
              </w:rPr>
              <w:t>2</w:t>
            </w:r>
          </w:p>
        </w:tc>
        <w:tc>
          <w:tcPr>
            <w:tcW w:w="3688" w:type="dxa"/>
            <w:tcBorders>
              <w:top w:val="nil"/>
              <w:left w:val="nil"/>
              <w:bottom w:val="nil"/>
              <w:right w:val="nil"/>
            </w:tcBorders>
            <w:shd w:val="clear" w:color="auto" w:fill="auto"/>
            <w:noWrap/>
            <w:vAlign w:val="center"/>
            <w:hideMark/>
          </w:tcPr>
          <w:p w14:paraId="7C358F59" w14:textId="7282D65A" w:rsidR="00050979" w:rsidRPr="00EA7053" w:rsidRDefault="00050979" w:rsidP="00050979">
            <w:pPr>
              <w:rPr>
                <w:rFonts w:cs="Calibri"/>
                <w:color w:val="000000"/>
                <w:sz w:val="18"/>
                <w:szCs w:val="18"/>
              </w:rPr>
            </w:pPr>
            <w:r>
              <w:rPr>
                <w:rFonts w:cs="Calibri"/>
                <w:color w:val="000000"/>
                <w:sz w:val="18"/>
                <w:szCs w:val="18"/>
              </w:rPr>
              <w:t>HDP, stále ceny</w:t>
            </w:r>
          </w:p>
        </w:tc>
        <w:tc>
          <w:tcPr>
            <w:tcW w:w="858" w:type="dxa"/>
            <w:tcBorders>
              <w:top w:val="nil"/>
              <w:left w:val="nil"/>
              <w:bottom w:val="nil"/>
              <w:right w:val="nil"/>
            </w:tcBorders>
            <w:shd w:val="clear" w:color="auto" w:fill="auto"/>
            <w:noWrap/>
            <w:vAlign w:val="center"/>
            <w:hideMark/>
          </w:tcPr>
          <w:p w14:paraId="2DC948B6" w14:textId="0AD4D36A"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1DF73FDE" w14:textId="41037C2D" w:rsidR="00050979" w:rsidRPr="00EA7053" w:rsidRDefault="00050979" w:rsidP="00050979">
            <w:pPr>
              <w:jc w:val="center"/>
              <w:rPr>
                <w:rFonts w:cs="Calibri"/>
                <w:color w:val="000000"/>
                <w:sz w:val="18"/>
                <w:szCs w:val="18"/>
              </w:rPr>
            </w:pPr>
            <w:r>
              <w:rPr>
                <w:rFonts w:cs="Calibri"/>
                <w:color w:val="000000"/>
                <w:sz w:val="18"/>
                <w:szCs w:val="18"/>
              </w:rPr>
              <w:t>1,9</w:t>
            </w:r>
          </w:p>
        </w:tc>
        <w:tc>
          <w:tcPr>
            <w:tcW w:w="595" w:type="dxa"/>
            <w:tcBorders>
              <w:top w:val="nil"/>
              <w:left w:val="nil"/>
              <w:bottom w:val="nil"/>
              <w:right w:val="nil"/>
            </w:tcBorders>
            <w:shd w:val="clear" w:color="auto" w:fill="auto"/>
            <w:noWrap/>
            <w:vAlign w:val="center"/>
            <w:hideMark/>
          </w:tcPr>
          <w:p w14:paraId="3159E1A5" w14:textId="7AE2846D" w:rsidR="00050979" w:rsidRPr="00EA7053" w:rsidRDefault="00050979" w:rsidP="00050979">
            <w:pPr>
              <w:jc w:val="center"/>
              <w:rPr>
                <w:rFonts w:cs="Calibri"/>
                <w:color w:val="000000"/>
                <w:sz w:val="18"/>
                <w:szCs w:val="18"/>
              </w:rPr>
            </w:pPr>
            <w:r>
              <w:rPr>
                <w:rFonts w:cs="Calibri"/>
                <w:color w:val="000000"/>
                <w:sz w:val="18"/>
                <w:szCs w:val="18"/>
              </w:rPr>
              <w:t>1,6</w:t>
            </w:r>
          </w:p>
        </w:tc>
        <w:tc>
          <w:tcPr>
            <w:tcW w:w="595" w:type="dxa"/>
            <w:tcBorders>
              <w:top w:val="nil"/>
              <w:left w:val="nil"/>
              <w:bottom w:val="nil"/>
              <w:right w:val="nil"/>
            </w:tcBorders>
            <w:shd w:val="clear" w:color="auto" w:fill="auto"/>
            <w:noWrap/>
            <w:vAlign w:val="center"/>
            <w:hideMark/>
          </w:tcPr>
          <w:p w14:paraId="6032410B" w14:textId="030CABCE" w:rsidR="00050979" w:rsidRPr="00EA7053" w:rsidRDefault="00050979" w:rsidP="00050979">
            <w:pPr>
              <w:jc w:val="center"/>
              <w:rPr>
                <w:rFonts w:cs="Calibri"/>
                <w:color w:val="000000"/>
                <w:sz w:val="18"/>
                <w:szCs w:val="18"/>
              </w:rPr>
            </w:pPr>
            <w:r>
              <w:rPr>
                <w:rFonts w:cs="Calibri"/>
                <w:color w:val="000000"/>
                <w:sz w:val="18"/>
                <w:szCs w:val="18"/>
              </w:rPr>
              <w:t>2,0</w:t>
            </w:r>
          </w:p>
        </w:tc>
        <w:tc>
          <w:tcPr>
            <w:tcW w:w="595" w:type="dxa"/>
            <w:tcBorders>
              <w:top w:val="nil"/>
              <w:left w:val="nil"/>
              <w:bottom w:val="nil"/>
              <w:right w:val="nil"/>
            </w:tcBorders>
            <w:shd w:val="clear" w:color="auto" w:fill="auto"/>
            <w:noWrap/>
            <w:vAlign w:val="center"/>
            <w:hideMark/>
          </w:tcPr>
          <w:p w14:paraId="02F6357E" w14:textId="48621DDD" w:rsidR="00050979" w:rsidRPr="00EA7053" w:rsidRDefault="00050979" w:rsidP="00050979">
            <w:pPr>
              <w:jc w:val="center"/>
              <w:rPr>
                <w:rFonts w:cs="Calibri"/>
                <w:color w:val="000000"/>
                <w:sz w:val="18"/>
                <w:szCs w:val="18"/>
              </w:rPr>
            </w:pPr>
            <w:r>
              <w:rPr>
                <w:rFonts w:cs="Calibri"/>
                <w:color w:val="000000"/>
                <w:sz w:val="18"/>
                <w:szCs w:val="18"/>
              </w:rPr>
              <w:t>3,1</w:t>
            </w:r>
          </w:p>
        </w:tc>
        <w:tc>
          <w:tcPr>
            <w:tcW w:w="595" w:type="dxa"/>
            <w:tcBorders>
              <w:top w:val="nil"/>
              <w:left w:val="nil"/>
              <w:bottom w:val="nil"/>
              <w:right w:val="nil"/>
            </w:tcBorders>
            <w:shd w:val="clear" w:color="auto" w:fill="auto"/>
            <w:noWrap/>
            <w:vAlign w:val="center"/>
            <w:hideMark/>
          </w:tcPr>
          <w:p w14:paraId="3A6EC4DE" w14:textId="33B9094D" w:rsidR="00050979" w:rsidRPr="00EA7053" w:rsidRDefault="00050979" w:rsidP="00050979">
            <w:pPr>
              <w:jc w:val="center"/>
              <w:rPr>
                <w:rFonts w:cs="Calibri"/>
                <w:color w:val="000000"/>
                <w:sz w:val="18"/>
                <w:szCs w:val="18"/>
              </w:rPr>
            </w:pPr>
            <w:r>
              <w:rPr>
                <w:rFonts w:cs="Calibri"/>
                <w:color w:val="000000"/>
                <w:sz w:val="18"/>
                <w:szCs w:val="18"/>
              </w:rPr>
              <w:t>2,2</w:t>
            </w:r>
          </w:p>
        </w:tc>
        <w:tc>
          <w:tcPr>
            <w:tcW w:w="595" w:type="dxa"/>
            <w:tcBorders>
              <w:top w:val="nil"/>
              <w:left w:val="nil"/>
              <w:bottom w:val="nil"/>
              <w:right w:val="nil"/>
            </w:tcBorders>
            <w:shd w:val="clear" w:color="auto" w:fill="auto"/>
            <w:noWrap/>
            <w:vAlign w:val="center"/>
            <w:hideMark/>
          </w:tcPr>
          <w:p w14:paraId="468344ED" w14:textId="7D822971" w:rsidR="00050979" w:rsidRPr="00EA7053" w:rsidRDefault="00050979" w:rsidP="00050979">
            <w:pPr>
              <w:jc w:val="center"/>
              <w:rPr>
                <w:rFonts w:cs="Calibri"/>
                <w:color w:val="000000"/>
                <w:sz w:val="18"/>
                <w:szCs w:val="18"/>
              </w:rPr>
            </w:pPr>
            <w:r>
              <w:rPr>
                <w:rFonts w:cs="Calibri"/>
                <w:color w:val="000000"/>
                <w:sz w:val="18"/>
                <w:szCs w:val="18"/>
              </w:rPr>
              <w:t>1,6</w:t>
            </w:r>
          </w:p>
        </w:tc>
        <w:tc>
          <w:tcPr>
            <w:tcW w:w="595" w:type="dxa"/>
            <w:tcBorders>
              <w:top w:val="nil"/>
              <w:left w:val="nil"/>
              <w:bottom w:val="nil"/>
              <w:right w:val="nil"/>
            </w:tcBorders>
            <w:shd w:val="clear" w:color="auto" w:fill="auto"/>
            <w:noWrap/>
            <w:vAlign w:val="center"/>
            <w:hideMark/>
          </w:tcPr>
          <w:p w14:paraId="34F8257E" w14:textId="21494EF7" w:rsidR="00050979" w:rsidRPr="00EA7053" w:rsidRDefault="00050979" w:rsidP="00050979">
            <w:pPr>
              <w:jc w:val="center"/>
              <w:rPr>
                <w:rFonts w:cs="Calibri"/>
                <w:color w:val="000000"/>
                <w:sz w:val="18"/>
                <w:szCs w:val="18"/>
              </w:rPr>
            </w:pPr>
            <w:r>
              <w:rPr>
                <w:rFonts w:cs="Calibri"/>
                <w:color w:val="000000"/>
                <w:sz w:val="18"/>
                <w:szCs w:val="18"/>
              </w:rPr>
              <w:t>2,1</w:t>
            </w:r>
          </w:p>
        </w:tc>
      </w:tr>
      <w:tr w:rsidR="00050979" w:rsidRPr="00EA7053" w14:paraId="6B8DB823" w14:textId="77777777" w:rsidTr="00CC1F9E">
        <w:trPr>
          <w:trHeight w:val="270"/>
        </w:trPr>
        <w:tc>
          <w:tcPr>
            <w:tcW w:w="423" w:type="dxa"/>
            <w:tcBorders>
              <w:top w:val="nil"/>
              <w:left w:val="nil"/>
              <w:bottom w:val="nil"/>
              <w:right w:val="nil"/>
            </w:tcBorders>
            <w:shd w:val="clear" w:color="auto" w:fill="auto"/>
            <w:noWrap/>
            <w:vAlign w:val="center"/>
            <w:hideMark/>
          </w:tcPr>
          <w:p w14:paraId="11B2C7C7" w14:textId="536C39A7" w:rsidR="00050979" w:rsidRPr="00EA7053" w:rsidRDefault="00050979" w:rsidP="00050979">
            <w:pPr>
              <w:jc w:val="center"/>
              <w:rPr>
                <w:rFonts w:cs="Calibri"/>
                <w:color w:val="000000"/>
                <w:sz w:val="18"/>
                <w:szCs w:val="18"/>
              </w:rPr>
            </w:pPr>
            <w:r>
              <w:rPr>
                <w:rFonts w:cs="Calibri"/>
                <w:color w:val="000000"/>
                <w:sz w:val="18"/>
                <w:szCs w:val="18"/>
              </w:rPr>
              <w:t>3</w:t>
            </w:r>
          </w:p>
        </w:tc>
        <w:tc>
          <w:tcPr>
            <w:tcW w:w="3688" w:type="dxa"/>
            <w:tcBorders>
              <w:top w:val="nil"/>
              <w:left w:val="nil"/>
              <w:bottom w:val="nil"/>
              <w:right w:val="nil"/>
            </w:tcBorders>
            <w:shd w:val="clear" w:color="auto" w:fill="auto"/>
            <w:noWrap/>
            <w:vAlign w:val="center"/>
            <w:hideMark/>
          </w:tcPr>
          <w:p w14:paraId="12A6DA36" w14:textId="072FEB5F" w:rsidR="00050979" w:rsidRPr="00EA7053" w:rsidRDefault="00BC482A" w:rsidP="00050979">
            <w:pPr>
              <w:rPr>
                <w:rFonts w:cs="Calibri"/>
                <w:color w:val="000000"/>
                <w:sz w:val="18"/>
                <w:szCs w:val="18"/>
              </w:rPr>
            </w:pPr>
            <w:hyperlink r:id="rId14" w:anchor="RANGE!A25" w:history="1">
              <w:r w:rsidR="00050979" w:rsidRPr="00176046">
                <w:rPr>
                  <w:rStyle w:val="Hypertextovprepojenie"/>
                  <w:rFonts w:cs="Calibri"/>
                  <w:color w:val="000000"/>
                  <w:sz w:val="18"/>
                  <w:szCs w:val="18"/>
                  <w:u w:val="none"/>
                </w:rPr>
                <w:t xml:space="preserve">     Konečná spotreba domácností a NISD[1</w:t>
              </w:r>
              <w:r w:rsidR="00050979">
                <w:rPr>
                  <w:rStyle w:val="Hypertextovprepojenie"/>
                  <w:rFonts w:cs="Calibri"/>
                  <w:color w:val="000000"/>
                  <w:sz w:val="18"/>
                  <w:szCs w:val="18"/>
                </w:rPr>
                <w:t>]</w:t>
              </w:r>
            </w:hyperlink>
          </w:p>
        </w:tc>
        <w:tc>
          <w:tcPr>
            <w:tcW w:w="858" w:type="dxa"/>
            <w:tcBorders>
              <w:top w:val="nil"/>
              <w:left w:val="nil"/>
              <w:bottom w:val="nil"/>
              <w:right w:val="nil"/>
            </w:tcBorders>
            <w:shd w:val="clear" w:color="auto" w:fill="auto"/>
            <w:noWrap/>
            <w:vAlign w:val="center"/>
            <w:hideMark/>
          </w:tcPr>
          <w:p w14:paraId="260E16F2" w14:textId="4F5A3D26"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059306C7" w14:textId="217DEE95" w:rsidR="00050979" w:rsidRPr="00EA7053" w:rsidRDefault="00050979" w:rsidP="00050979">
            <w:pPr>
              <w:jc w:val="center"/>
              <w:rPr>
                <w:rFonts w:cs="Calibri"/>
                <w:color w:val="000000"/>
                <w:sz w:val="18"/>
                <w:szCs w:val="18"/>
              </w:rPr>
            </w:pPr>
            <w:r>
              <w:rPr>
                <w:rFonts w:cs="Calibri"/>
                <w:color w:val="000000"/>
                <w:sz w:val="18"/>
                <w:szCs w:val="18"/>
              </w:rPr>
              <w:t>6,1</w:t>
            </w:r>
          </w:p>
        </w:tc>
        <w:tc>
          <w:tcPr>
            <w:tcW w:w="595" w:type="dxa"/>
            <w:tcBorders>
              <w:top w:val="nil"/>
              <w:left w:val="nil"/>
              <w:bottom w:val="nil"/>
              <w:right w:val="nil"/>
            </w:tcBorders>
            <w:shd w:val="clear" w:color="auto" w:fill="auto"/>
            <w:noWrap/>
            <w:vAlign w:val="center"/>
            <w:hideMark/>
          </w:tcPr>
          <w:p w14:paraId="7477B0FE" w14:textId="013B2C73" w:rsidR="00050979" w:rsidRPr="00EA7053" w:rsidRDefault="00050979" w:rsidP="00050979">
            <w:pPr>
              <w:jc w:val="center"/>
              <w:rPr>
                <w:rFonts w:cs="Calibri"/>
                <w:color w:val="000000"/>
                <w:sz w:val="18"/>
                <w:szCs w:val="18"/>
              </w:rPr>
            </w:pPr>
            <w:r>
              <w:rPr>
                <w:rFonts w:cs="Calibri"/>
                <w:color w:val="000000"/>
                <w:sz w:val="18"/>
                <w:szCs w:val="18"/>
              </w:rPr>
              <w:t>-3,2</w:t>
            </w:r>
          </w:p>
        </w:tc>
        <w:tc>
          <w:tcPr>
            <w:tcW w:w="595" w:type="dxa"/>
            <w:tcBorders>
              <w:top w:val="nil"/>
              <w:left w:val="nil"/>
              <w:bottom w:val="nil"/>
              <w:right w:val="nil"/>
            </w:tcBorders>
            <w:shd w:val="clear" w:color="auto" w:fill="auto"/>
            <w:noWrap/>
            <w:vAlign w:val="center"/>
            <w:hideMark/>
          </w:tcPr>
          <w:p w14:paraId="2ECE0306" w14:textId="60CC7502" w:rsidR="00050979" w:rsidRPr="00EA7053" w:rsidRDefault="00050979" w:rsidP="00050979">
            <w:pPr>
              <w:jc w:val="center"/>
              <w:rPr>
                <w:rFonts w:cs="Calibri"/>
                <w:color w:val="000000"/>
                <w:sz w:val="18"/>
                <w:szCs w:val="18"/>
              </w:rPr>
            </w:pPr>
            <w:r>
              <w:rPr>
                <w:rFonts w:cs="Calibri"/>
                <w:color w:val="000000"/>
                <w:sz w:val="18"/>
                <w:szCs w:val="18"/>
              </w:rPr>
              <w:t>2,3</w:t>
            </w:r>
          </w:p>
        </w:tc>
        <w:tc>
          <w:tcPr>
            <w:tcW w:w="595" w:type="dxa"/>
            <w:tcBorders>
              <w:top w:val="nil"/>
              <w:left w:val="nil"/>
              <w:bottom w:val="nil"/>
              <w:right w:val="nil"/>
            </w:tcBorders>
            <w:shd w:val="clear" w:color="auto" w:fill="auto"/>
            <w:noWrap/>
            <w:vAlign w:val="center"/>
            <w:hideMark/>
          </w:tcPr>
          <w:p w14:paraId="3056D5AC" w14:textId="257B1D8A" w:rsidR="00050979" w:rsidRPr="00EA7053" w:rsidRDefault="00050979" w:rsidP="00050979">
            <w:pPr>
              <w:jc w:val="center"/>
              <w:rPr>
                <w:rFonts w:cs="Calibri"/>
                <w:color w:val="000000"/>
                <w:sz w:val="18"/>
                <w:szCs w:val="18"/>
              </w:rPr>
            </w:pPr>
            <w:r>
              <w:rPr>
                <w:rFonts w:cs="Calibri"/>
                <w:color w:val="000000"/>
                <w:sz w:val="18"/>
                <w:szCs w:val="18"/>
              </w:rPr>
              <w:t>2,2</w:t>
            </w:r>
          </w:p>
        </w:tc>
        <w:tc>
          <w:tcPr>
            <w:tcW w:w="595" w:type="dxa"/>
            <w:tcBorders>
              <w:top w:val="nil"/>
              <w:left w:val="nil"/>
              <w:bottom w:val="nil"/>
              <w:right w:val="nil"/>
            </w:tcBorders>
            <w:shd w:val="clear" w:color="auto" w:fill="auto"/>
            <w:noWrap/>
            <w:vAlign w:val="center"/>
            <w:hideMark/>
          </w:tcPr>
          <w:p w14:paraId="0E4FEED2" w14:textId="6551D411" w:rsidR="00050979" w:rsidRPr="00EA7053" w:rsidRDefault="00050979" w:rsidP="00050979">
            <w:pPr>
              <w:jc w:val="center"/>
              <w:rPr>
                <w:rFonts w:cs="Calibri"/>
                <w:color w:val="000000"/>
                <w:sz w:val="18"/>
                <w:szCs w:val="18"/>
              </w:rPr>
            </w:pPr>
            <w:r>
              <w:rPr>
                <w:rFonts w:cs="Calibri"/>
                <w:color w:val="000000"/>
                <w:sz w:val="18"/>
                <w:szCs w:val="18"/>
              </w:rPr>
              <w:t>1,9</w:t>
            </w:r>
          </w:p>
        </w:tc>
        <w:tc>
          <w:tcPr>
            <w:tcW w:w="595" w:type="dxa"/>
            <w:tcBorders>
              <w:top w:val="nil"/>
              <w:left w:val="nil"/>
              <w:bottom w:val="nil"/>
              <w:right w:val="nil"/>
            </w:tcBorders>
            <w:shd w:val="clear" w:color="auto" w:fill="auto"/>
            <w:noWrap/>
            <w:vAlign w:val="center"/>
            <w:hideMark/>
          </w:tcPr>
          <w:p w14:paraId="2B899EC5" w14:textId="5F02454B" w:rsidR="00050979" w:rsidRPr="00EA7053" w:rsidRDefault="00050979" w:rsidP="00050979">
            <w:pPr>
              <w:jc w:val="center"/>
              <w:rPr>
                <w:rFonts w:cs="Calibri"/>
                <w:color w:val="000000"/>
                <w:sz w:val="18"/>
                <w:szCs w:val="18"/>
              </w:rPr>
            </w:pPr>
            <w:r>
              <w:rPr>
                <w:rFonts w:cs="Calibri"/>
                <w:color w:val="000000"/>
                <w:sz w:val="18"/>
                <w:szCs w:val="18"/>
              </w:rPr>
              <w:t>1,7</w:t>
            </w:r>
          </w:p>
        </w:tc>
        <w:tc>
          <w:tcPr>
            <w:tcW w:w="595" w:type="dxa"/>
            <w:tcBorders>
              <w:top w:val="nil"/>
              <w:left w:val="nil"/>
              <w:bottom w:val="nil"/>
              <w:right w:val="nil"/>
            </w:tcBorders>
            <w:shd w:val="clear" w:color="auto" w:fill="auto"/>
            <w:noWrap/>
            <w:vAlign w:val="center"/>
            <w:hideMark/>
          </w:tcPr>
          <w:p w14:paraId="599CB30C" w14:textId="4663EC21" w:rsidR="00050979" w:rsidRPr="00EA7053" w:rsidRDefault="00050979" w:rsidP="00050979">
            <w:pPr>
              <w:jc w:val="center"/>
              <w:rPr>
                <w:rFonts w:cs="Calibri"/>
                <w:color w:val="000000"/>
                <w:sz w:val="18"/>
                <w:szCs w:val="18"/>
              </w:rPr>
            </w:pPr>
            <w:r>
              <w:rPr>
                <w:rFonts w:cs="Calibri"/>
                <w:color w:val="000000"/>
                <w:sz w:val="18"/>
                <w:szCs w:val="18"/>
              </w:rPr>
              <w:t>1,8</w:t>
            </w:r>
          </w:p>
        </w:tc>
      </w:tr>
      <w:tr w:rsidR="00050979" w:rsidRPr="00EA7053" w14:paraId="7825204B" w14:textId="77777777" w:rsidTr="00CC1F9E">
        <w:trPr>
          <w:trHeight w:val="270"/>
        </w:trPr>
        <w:tc>
          <w:tcPr>
            <w:tcW w:w="423" w:type="dxa"/>
            <w:tcBorders>
              <w:top w:val="nil"/>
              <w:left w:val="nil"/>
              <w:bottom w:val="nil"/>
              <w:right w:val="nil"/>
            </w:tcBorders>
            <w:shd w:val="clear" w:color="auto" w:fill="auto"/>
            <w:noWrap/>
            <w:vAlign w:val="center"/>
            <w:hideMark/>
          </w:tcPr>
          <w:p w14:paraId="36DDFC52" w14:textId="348689E4" w:rsidR="00050979" w:rsidRPr="00EA7053" w:rsidRDefault="00050979" w:rsidP="00050979">
            <w:pPr>
              <w:jc w:val="center"/>
              <w:rPr>
                <w:rFonts w:cs="Calibri"/>
                <w:color w:val="000000"/>
                <w:sz w:val="18"/>
                <w:szCs w:val="18"/>
              </w:rPr>
            </w:pPr>
            <w:r>
              <w:rPr>
                <w:rFonts w:cs="Calibri"/>
                <w:color w:val="000000"/>
                <w:sz w:val="18"/>
                <w:szCs w:val="18"/>
              </w:rPr>
              <w:t>4</w:t>
            </w:r>
          </w:p>
        </w:tc>
        <w:tc>
          <w:tcPr>
            <w:tcW w:w="3688" w:type="dxa"/>
            <w:tcBorders>
              <w:top w:val="nil"/>
              <w:left w:val="nil"/>
              <w:bottom w:val="nil"/>
              <w:right w:val="nil"/>
            </w:tcBorders>
            <w:shd w:val="clear" w:color="auto" w:fill="auto"/>
            <w:vAlign w:val="center"/>
            <w:hideMark/>
          </w:tcPr>
          <w:p w14:paraId="7D2594F3" w14:textId="3EE13F0E" w:rsidR="00050979" w:rsidRPr="00EA7053" w:rsidRDefault="00050979" w:rsidP="00050979">
            <w:pPr>
              <w:rPr>
                <w:rFonts w:cs="Calibri"/>
                <w:color w:val="000000"/>
                <w:sz w:val="18"/>
                <w:szCs w:val="18"/>
              </w:rPr>
            </w:pPr>
            <w:r>
              <w:rPr>
                <w:rFonts w:cs="Calibri"/>
                <w:color w:val="000000"/>
                <w:sz w:val="18"/>
                <w:szCs w:val="18"/>
              </w:rPr>
              <w:t xml:space="preserve">     Konečná spotreba verejnej správy </w:t>
            </w:r>
          </w:p>
        </w:tc>
        <w:tc>
          <w:tcPr>
            <w:tcW w:w="858" w:type="dxa"/>
            <w:tcBorders>
              <w:top w:val="nil"/>
              <w:left w:val="nil"/>
              <w:bottom w:val="nil"/>
              <w:right w:val="nil"/>
            </w:tcBorders>
            <w:shd w:val="clear" w:color="auto" w:fill="auto"/>
            <w:noWrap/>
            <w:vAlign w:val="center"/>
            <w:hideMark/>
          </w:tcPr>
          <w:p w14:paraId="25D03334" w14:textId="5010777D"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3F490E5C" w14:textId="746A4DED" w:rsidR="00050979" w:rsidRPr="00EA7053" w:rsidRDefault="00050979" w:rsidP="00050979">
            <w:pPr>
              <w:jc w:val="center"/>
              <w:rPr>
                <w:rFonts w:cs="Calibri"/>
                <w:color w:val="000000"/>
                <w:sz w:val="18"/>
                <w:szCs w:val="18"/>
              </w:rPr>
            </w:pPr>
            <w:r>
              <w:rPr>
                <w:rFonts w:cs="Calibri"/>
                <w:color w:val="000000"/>
                <w:sz w:val="18"/>
                <w:szCs w:val="18"/>
              </w:rPr>
              <w:t>-4,5</w:t>
            </w:r>
          </w:p>
        </w:tc>
        <w:tc>
          <w:tcPr>
            <w:tcW w:w="595" w:type="dxa"/>
            <w:tcBorders>
              <w:top w:val="nil"/>
              <w:left w:val="nil"/>
              <w:bottom w:val="nil"/>
              <w:right w:val="nil"/>
            </w:tcBorders>
            <w:shd w:val="clear" w:color="auto" w:fill="auto"/>
            <w:noWrap/>
            <w:vAlign w:val="center"/>
            <w:hideMark/>
          </w:tcPr>
          <w:p w14:paraId="70B8A94C" w14:textId="03CDEE3D" w:rsidR="00050979" w:rsidRPr="00EA7053" w:rsidRDefault="00050979" w:rsidP="00050979">
            <w:pPr>
              <w:jc w:val="center"/>
              <w:rPr>
                <w:rFonts w:cs="Calibri"/>
                <w:color w:val="000000"/>
                <w:sz w:val="18"/>
                <w:szCs w:val="18"/>
              </w:rPr>
            </w:pPr>
            <w:r>
              <w:rPr>
                <w:rFonts w:cs="Calibri"/>
                <w:color w:val="000000"/>
                <w:sz w:val="18"/>
                <w:szCs w:val="18"/>
              </w:rPr>
              <w:t>-0,6</w:t>
            </w:r>
          </w:p>
        </w:tc>
        <w:tc>
          <w:tcPr>
            <w:tcW w:w="595" w:type="dxa"/>
            <w:tcBorders>
              <w:top w:val="nil"/>
              <w:left w:val="nil"/>
              <w:bottom w:val="nil"/>
              <w:right w:val="nil"/>
            </w:tcBorders>
            <w:shd w:val="clear" w:color="auto" w:fill="auto"/>
            <w:noWrap/>
            <w:vAlign w:val="center"/>
            <w:hideMark/>
          </w:tcPr>
          <w:p w14:paraId="7743CC8E" w14:textId="4880CB15" w:rsidR="00050979" w:rsidRPr="00EA7053" w:rsidRDefault="00050979" w:rsidP="00050979">
            <w:pPr>
              <w:jc w:val="center"/>
              <w:rPr>
                <w:rFonts w:cs="Calibri"/>
                <w:color w:val="000000"/>
                <w:sz w:val="18"/>
                <w:szCs w:val="18"/>
              </w:rPr>
            </w:pPr>
            <w:r>
              <w:rPr>
                <w:rFonts w:cs="Calibri"/>
                <w:color w:val="000000"/>
                <w:sz w:val="18"/>
                <w:szCs w:val="18"/>
              </w:rPr>
              <w:t>1,9</w:t>
            </w:r>
          </w:p>
        </w:tc>
        <w:tc>
          <w:tcPr>
            <w:tcW w:w="595" w:type="dxa"/>
            <w:tcBorders>
              <w:top w:val="nil"/>
              <w:left w:val="nil"/>
              <w:bottom w:val="nil"/>
              <w:right w:val="nil"/>
            </w:tcBorders>
            <w:shd w:val="clear" w:color="auto" w:fill="auto"/>
            <w:noWrap/>
            <w:vAlign w:val="center"/>
            <w:hideMark/>
          </w:tcPr>
          <w:p w14:paraId="7F0B5ED7" w14:textId="49CF1BDB" w:rsidR="00050979" w:rsidRPr="00EA7053" w:rsidRDefault="00050979" w:rsidP="00050979">
            <w:pPr>
              <w:jc w:val="center"/>
              <w:rPr>
                <w:rFonts w:cs="Calibri"/>
                <w:color w:val="000000"/>
                <w:sz w:val="18"/>
                <w:szCs w:val="18"/>
              </w:rPr>
            </w:pPr>
            <w:r>
              <w:rPr>
                <w:rFonts w:cs="Calibri"/>
                <w:color w:val="000000"/>
                <w:sz w:val="18"/>
                <w:szCs w:val="18"/>
              </w:rPr>
              <w:t>1,2</w:t>
            </w:r>
          </w:p>
        </w:tc>
        <w:tc>
          <w:tcPr>
            <w:tcW w:w="595" w:type="dxa"/>
            <w:tcBorders>
              <w:top w:val="nil"/>
              <w:left w:val="nil"/>
              <w:bottom w:val="nil"/>
              <w:right w:val="nil"/>
            </w:tcBorders>
            <w:shd w:val="clear" w:color="auto" w:fill="auto"/>
            <w:noWrap/>
            <w:vAlign w:val="center"/>
            <w:hideMark/>
          </w:tcPr>
          <w:p w14:paraId="724256AA" w14:textId="44C268A5" w:rsidR="00050979" w:rsidRPr="00EA7053" w:rsidRDefault="00050979" w:rsidP="00050979">
            <w:pPr>
              <w:jc w:val="center"/>
              <w:rPr>
                <w:rFonts w:cs="Calibri"/>
                <w:color w:val="000000"/>
                <w:sz w:val="18"/>
                <w:szCs w:val="18"/>
              </w:rPr>
            </w:pPr>
            <w:r>
              <w:rPr>
                <w:rFonts w:cs="Calibri"/>
                <w:color w:val="000000"/>
                <w:sz w:val="18"/>
                <w:szCs w:val="18"/>
              </w:rPr>
              <w:t>0,8</w:t>
            </w:r>
          </w:p>
        </w:tc>
        <w:tc>
          <w:tcPr>
            <w:tcW w:w="595" w:type="dxa"/>
            <w:tcBorders>
              <w:top w:val="nil"/>
              <w:left w:val="nil"/>
              <w:bottom w:val="nil"/>
              <w:right w:val="nil"/>
            </w:tcBorders>
            <w:shd w:val="clear" w:color="auto" w:fill="auto"/>
            <w:noWrap/>
            <w:vAlign w:val="center"/>
            <w:hideMark/>
          </w:tcPr>
          <w:p w14:paraId="76039BA2" w14:textId="2728B82A" w:rsidR="00050979" w:rsidRPr="00EA7053" w:rsidRDefault="00050979" w:rsidP="00050979">
            <w:pPr>
              <w:jc w:val="center"/>
              <w:rPr>
                <w:rFonts w:cs="Calibri"/>
                <w:color w:val="000000"/>
                <w:sz w:val="18"/>
                <w:szCs w:val="18"/>
              </w:rPr>
            </w:pPr>
            <w:r>
              <w:rPr>
                <w:rFonts w:cs="Calibri"/>
                <w:color w:val="000000"/>
                <w:sz w:val="18"/>
                <w:szCs w:val="18"/>
              </w:rPr>
              <w:t>-0,5</w:t>
            </w:r>
          </w:p>
        </w:tc>
        <w:tc>
          <w:tcPr>
            <w:tcW w:w="595" w:type="dxa"/>
            <w:tcBorders>
              <w:top w:val="nil"/>
              <w:left w:val="nil"/>
              <w:bottom w:val="nil"/>
              <w:right w:val="nil"/>
            </w:tcBorders>
            <w:shd w:val="clear" w:color="auto" w:fill="auto"/>
            <w:noWrap/>
            <w:vAlign w:val="center"/>
            <w:hideMark/>
          </w:tcPr>
          <w:p w14:paraId="03769B01" w14:textId="5F75F833" w:rsidR="00050979" w:rsidRPr="00EA7053" w:rsidRDefault="00050979" w:rsidP="00050979">
            <w:pPr>
              <w:jc w:val="center"/>
              <w:rPr>
                <w:rFonts w:cs="Calibri"/>
                <w:color w:val="000000"/>
                <w:sz w:val="18"/>
                <w:szCs w:val="18"/>
              </w:rPr>
            </w:pPr>
            <w:r>
              <w:rPr>
                <w:rFonts w:cs="Calibri"/>
                <w:color w:val="000000"/>
                <w:sz w:val="18"/>
                <w:szCs w:val="18"/>
              </w:rPr>
              <w:t>0,0</w:t>
            </w:r>
          </w:p>
        </w:tc>
      </w:tr>
      <w:tr w:rsidR="00050979" w:rsidRPr="00EA7053" w14:paraId="7C3C4968" w14:textId="77777777" w:rsidTr="00CC1F9E">
        <w:trPr>
          <w:trHeight w:val="270"/>
        </w:trPr>
        <w:tc>
          <w:tcPr>
            <w:tcW w:w="423" w:type="dxa"/>
            <w:tcBorders>
              <w:top w:val="nil"/>
              <w:left w:val="nil"/>
              <w:bottom w:val="nil"/>
              <w:right w:val="nil"/>
            </w:tcBorders>
            <w:shd w:val="clear" w:color="auto" w:fill="auto"/>
            <w:noWrap/>
            <w:vAlign w:val="center"/>
            <w:hideMark/>
          </w:tcPr>
          <w:p w14:paraId="4354E085" w14:textId="13FD7786" w:rsidR="00050979" w:rsidRPr="00EA7053" w:rsidRDefault="00050979" w:rsidP="00050979">
            <w:pPr>
              <w:jc w:val="center"/>
              <w:rPr>
                <w:rFonts w:cs="Calibri"/>
                <w:color w:val="000000"/>
                <w:sz w:val="18"/>
                <w:szCs w:val="18"/>
              </w:rPr>
            </w:pPr>
            <w:r>
              <w:rPr>
                <w:rFonts w:cs="Calibri"/>
                <w:color w:val="000000"/>
                <w:sz w:val="18"/>
                <w:szCs w:val="18"/>
              </w:rPr>
              <w:t>5</w:t>
            </w:r>
          </w:p>
        </w:tc>
        <w:tc>
          <w:tcPr>
            <w:tcW w:w="3688" w:type="dxa"/>
            <w:tcBorders>
              <w:top w:val="nil"/>
              <w:left w:val="nil"/>
              <w:bottom w:val="nil"/>
              <w:right w:val="nil"/>
            </w:tcBorders>
            <w:shd w:val="clear" w:color="auto" w:fill="auto"/>
            <w:vAlign w:val="center"/>
            <w:hideMark/>
          </w:tcPr>
          <w:p w14:paraId="2A363126" w14:textId="7296C406" w:rsidR="00050979" w:rsidRPr="00EA7053" w:rsidRDefault="00050979" w:rsidP="00050979">
            <w:pPr>
              <w:rPr>
                <w:rFonts w:cs="Calibri"/>
                <w:color w:val="000000"/>
                <w:sz w:val="18"/>
                <w:szCs w:val="18"/>
              </w:rPr>
            </w:pPr>
            <w:r>
              <w:rPr>
                <w:rFonts w:cs="Calibri"/>
                <w:color w:val="000000"/>
                <w:sz w:val="18"/>
                <w:szCs w:val="18"/>
              </w:rPr>
              <w:t xml:space="preserve">     Tvorba hrubého fixného kapitálu </w:t>
            </w:r>
          </w:p>
        </w:tc>
        <w:tc>
          <w:tcPr>
            <w:tcW w:w="858" w:type="dxa"/>
            <w:tcBorders>
              <w:top w:val="nil"/>
              <w:left w:val="nil"/>
              <w:bottom w:val="nil"/>
              <w:right w:val="nil"/>
            </w:tcBorders>
            <w:shd w:val="clear" w:color="auto" w:fill="auto"/>
            <w:noWrap/>
            <w:vAlign w:val="center"/>
            <w:hideMark/>
          </w:tcPr>
          <w:p w14:paraId="7C0848AE" w14:textId="0112825B"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64D93F28" w14:textId="59D961E2" w:rsidR="00050979" w:rsidRPr="00EA7053" w:rsidRDefault="00050979" w:rsidP="00050979">
            <w:pPr>
              <w:jc w:val="center"/>
              <w:rPr>
                <w:rFonts w:cs="Calibri"/>
                <w:color w:val="000000"/>
                <w:sz w:val="18"/>
                <w:szCs w:val="18"/>
              </w:rPr>
            </w:pPr>
            <w:r>
              <w:rPr>
                <w:rFonts w:cs="Calibri"/>
                <w:color w:val="000000"/>
                <w:sz w:val="18"/>
                <w:szCs w:val="18"/>
              </w:rPr>
              <w:t>5,7</w:t>
            </w:r>
          </w:p>
        </w:tc>
        <w:tc>
          <w:tcPr>
            <w:tcW w:w="595" w:type="dxa"/>
            <w:tcBorders>
              <w:top w:val="nil"/>
              <w:left w:val="nil"/>
              <w:bottom w:val="nil"/>
              <w:right w:val="nil"/>
            </w:tcBorders>
            <w:shd w:val="clear" w:color="auto" w:fill="auto"/>
            <w:noWrap/>
            <w:vAlign w:val="center"/>
            <w:hideMark/>
          </w:tcPr>
          <w:p w14:paraId="7D58DCC9" w14:textId="5501AC2A" w:rsidR="00050979" w:rsidRPr="00EA7053" w:rsidRDefault="00050979" w:rsidP="00050979">
            <w:pPr>
              <w:jc w:val="center"/>
              <w:rPr>
                <w:rFonts w:cs="Calibri"/>
                <w:color w:val="000000"/>
                <w:sz w:val="18"/>
                <w:szCs w:val="18"/>
              </w:rPr>
            </w:pPr>
            <w:r>
              <w:rPr>
                <w:rFonts w:cs="Calibri"/>
                <w:color w:val="000000"/>
                <w:sz w:val="18"/>
                <w:szCs w:val="18"/>
              </w:rPr>
              <w:t>10,6</w:t>
            </w:r>
          </w:p>
        </w:tc>
        <w:tc>
          <w:tcPr>
            <w:tcW w:w="595" w:type="dxa"/>
            <w:tcBorders>
              <w:top w:val="nil"/>
              <w:left w:val="nil"/>
              <w:bottom w:val="nil"/>
              <w:right w:val="nil"/>
            </w:tcBorders>
            <w:shd w:val="clear" w:color="auto" w:fill="auto"/>
            <w:noWrap/>
            <w:vAlign w:val="center"/>
            <w:hideMark/>
          </w:tcPr>
          <w:p w14:paraId="551B0381" w14:textId="19F3E98C" w:rsidR="00050979" w:rsidRPr="00EA7053" w:rsidRDefault="00050979" w:rsidP="00050979">
            <w:pPr>
              <w:jc w:val="center"/>
              <w:rPr>
                <w:rFonts w:cs="Calibri"/>
                <w:color w:val="000000"/>
                <w:sz w:val="18"/>
                <w:szCs w:val="18"/>
              </w:rPr>
            </w:pPr>
            <w:r>
              <w:rPr>
                <w:rFonts w:cs="Calibri"/>
                <w:color w:val="000000"/>
                <w:sz w:val="18"/>
                <w:szCs w:val="18"/>
              </w:rPr>
              <w:t>-1,6</w:t>
            </w:r>
          </w:p>
        </w:tc>
        <w:tc>
          <w:tcPr>
            <w:tcW w:w="595" w:type="dxa"/>
            <w:tcBorders>
              <w:top w:val="nil"/>
              <w:left w:val="nil"/>
              <w:bottom w:val="nil"/>
              <w:right w:val="nil"/>
            </w:tcBorders>
            <w:shd w:val="clear" w:color="auto" w:fill="auto"/>
            <w:noWrap/>
            <w:vAlign w:val="center"/>
            <w:hideMark/>
          </w:tcPr>
          <w:p w14:paraId="086248B4" w14:textId="402CA1DD" w:rsidR="00050979" w:rsidRPr="00EA7053" w:rsidRDefault="00050979" w:rsidP="00050979">
            <w:pPr>
              <w:jc w:val="center"/>
              <w:rPr>
                <w:rFonts w:cs="Calibri"/>
                <w:color w:val="000000"/>
                <w:sz w:val="18"/>
                <w:szCs w:val="18"/>
              </w:rPr>
            </w:pPr>
            <w:r>
              <w:rPr>
                <w:rFonts w:cs="Calibri"/>
                <w:color w:val="000000"/>
                <w:sz w:val="18"/>
                <w:szCs w:val="18"/>
              </w:rPr>
              <w:t>10,8</w:t>
            </w:r>
          </w:p>
        </w:tc>
        <w:tc>
          <w:tcPr>
            <w:tcW w:w="595" w:type="dxa"/>
            <w:tcBorders>
              <w:top w:val="nil"/>
              <w:left w:val="nil"/>
              <w:bottom w:val="nil"/>
              <w:right w:val="nil"/>
            </w:tcBorders>
            <w:shd w:val="clear" w:color="auto" w:fill="auto"/>
            <w:noWrap/>
            <w:vAlign w:val="center"/>
            <w:hideMark/>
          </w:tcPr>
          <w:p w14:paraId="3D8BD6E4" w14:textId="4214A2F4" w:rsidR="00050979" w:rsidRPr="00EA7053" w:rsidRDefault="00050979" w:rsidP="00050979">
            <w:pPr>
              <w:jc w:val="center"/>
              <w:rPr>
                <w:rFonts w:cs="Calibri"/>
                <w:color w:val="000000"/>
                <w:sz w:val="18"/>
                <w:szCs w:val="18"/>
              </w:rPr>
            </w:pPr>
            <w:r>
              <w:rPr>
                <w:rFonts w:cs="Calibri"/>
                <w:color w:val="000000"/>
                <w:sz w:val="18"/>
                <w:szCs w:val="18"/>
              </w:rPr>
              <w:t>-1,4</w:t>
            </w:r>
          </w:p>
        </w:tc>
        <w:tc>
          <w:tcPr>
            <w:tcW w:w="595" w:type="dxa"/>
            <w:tcBorders>
              <w:top w:val="nil"/>
              <w:left w:val="nil"/>
              <w:bottom w:val="nil"/>
              <w:right w:val="nil"/>
            </w:tcBorders>
            <w:shd w:val="clear" w:color="auto" w:fill="auto"/>
            <w:noWrap/>
            <w:vAlign w:val="center"/>
            <w:hideMark/>
          </w:tcPr>
          <w:p w14:paraId="38BFB6D4" w14:textId="4CC73DED" w:rsidR="00050979" w:rsidRPr="00EA7053" w:rsidRDefault="00050979" w:rsidP="00050979">
            <w:pPr>
              <w:jc w:val="center"/>
              <w:rPr>
                <w:rFonts w:cs="Calibri"/>
                <w:color w:val="000000"/>
                <w:sz w:val="18"/>
                <w:szCs w:val="18"/>
              </w:rPr>
            </w:pPr>
            <w:r>
              <w:rPr>
                <w:rFonts w:cs="Calibri"/>
                <w:color w:val="000000"/>
                <w:sz w:val="18"/>
                <w:szCs w:val="18"/>
              </w:rPr>
              <w:t>-3,8</w:t>
            </w:r>
          </w:p>
        </w:tc>
        <w:tc>
          <w:tcPr>
            <w:tcW w:w="595" w:type="dxa"/>
            <w:tcBorders>
              <w:top w:val="nil"/>
              <w:left w:val="nil"/>
              <w:bottom w:val="nil"/>
              <w:right w:val="nil"/>
            </w:tcBorders>
            <w:shd w:val="clear" w:color="auto" w:fill="auto"/>
            <w:noWrap/>
            <w:vAlign w:val="center"/>
            <w:hideMark/>
          </w:tcPr>
          <w:p w14:paraId="2DD5C03A" w14:textId="0CAC7B00" w:rsidR="00050979" w:rsidRPr="00EA7053" w:rsidRDefault="00050979" w:rsidP="00050979">
            <w:pPr>
              <w:jc w:val="center"/>
              <w:rPr>
                <w:rFonts w:cs="Calibri"/>
                <w:color w:val="000000"/>
                <w:sz w:val="18"/>
                <w:szCs w:val="18"/>
              </w:rPr>
            </w:pPr>
            <w:r>
              <w:rPr>
                <w:rFonts w:cs="Calibri"/>
                <w:color w:val="000000"/>
                <w:sz w:val="18"/>
                <w:szCs w:val="18"/>
              </w:rPr>
              <w:t>1,8</w:t>
            </w:r>
          </w:p>
        </w:tc>
      </w:tr>
      <w:tr w:rsidR="00050979" w:rsidRPr="00EA7053" w14:paraId="1B7CA0A2" w14:textId="77777777" w:rsidTr="00CC1F9E">
        <w:trPr>
          <w:trHeight w:val="270"/>
        </w:trPr>
        <w:tc>
          <w:tcPr>
            <w:tcW w:w="423" w:type="dxa"/>
            <w:tcBorders>
              <w:top w:val="nil"/>
              <w:left w:val="nil"/>
              <w:bottom w:val="nil"/>
              <w:right w:val="nil"/>
            </w:tcBorders>
            <w:shd w:val="clear" w:color="auto" w:fill="auto"/>
            <w:noWrap/>
            <w:vAlign w:val="center"/>
            <w:hideMark/>
          </w:tcPr>
          <w:p w14:paraId="2FD920E7" w14:textId="62FC57CC" w:rsidR="00050979" w:rsidRPr="00EA7053" w:rsidRDefault="00050979" w:rsidP="00050979">
            <w:pPr>
              <w:jc w:val="center"/>
              <w:rPr>
                <w:rFonts w:cs="Calibri"/>
                <w:color w:val="000000"/>
                <w:sz w:val="18"/>
                <w:szCs w:val="18"/>
              </w:rPr>
            </w:pPr>
            <w:r>
              <w:rPr>
                <w:rFonts w:cs="Calibri"/>
                <w:color w:val="000000"/>
                <w:sz w:val="18"/>
                <w:szCs w:val="18"/>
              </w:rPr>
              <w:t>6</w:t>
            </w:r>
          </w:p>
        </w:tc>
        <w:tc>
          <w:tcPr>
            <w:tcW w:w="3688" w:type="dxa"/>
            <w:tcBorders>
              <w:top w:val="nil"/>
              <w:left w:val="nil"/>
              <w:bottom w:val="nil"/>
              <w:right w:val="nil"/>
            </w:tcBorders>
            <w:shd w:val="clear" w:color="auto" w:fill="auto"/>
            <w:vAlign w:val="center"/>
            <w:hideMark/>
          </w:tcPr>
          <w:p w14:paraId="37D01D27" w14:textId="5C7BC42F" w:rsidR="00050979" w:rsidRPr="00EA7053" w:rsidRDefault="00050979" w:rsidP="00050979">
            <w:pPr>
              <w:rPr>
                <w:rFonts w:cs="Calibri"/>
                <w:color w:val="000000"/>
                <w:sz w:val="18"/>
                <w:szCs w:val="18"/>
              </w:rPr>
            </w:pPr>
            <w:r>
              <w:rPr>
                <w:rFonts w:cs="Calibri"/>
                <w:color w:val="000000"/>
                <w:sz w:val="18"/>
                <w:szCs w:val="18"/>
              </w:rPr>
              <w:t xml:space="preserve">     Export tovarov a služieb </w:t>
            </w:r>
          </w:p>
        </w:tc>
        <w:tc>
          <w:tcPr>
            <w:tcW w:w="858" w:type="dxa"/>
            <w:tcBorders>
              <w:top w:val="nil"/>
              <w:left w:val="nil"/>
              <w:bottom w:val="nil"/>
              <w:right w:val="nil"/>
            </w:tcBorders>
            <w:shd w:val="clear" w:color="auto" w:fill="auto"/>
            <w:noWrap/>
            <w:vAlign w:val="center"/>
            <w:hideMark/>
          </w:tcPr>
          <w:p w14:paraId="45FB35D6" w14:textId="21B4B18E"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514D3652" w14:textId="72F828A6" w:rsidR="00050979" w:rsidRPr="00EA7053" w:rsidRDefault="00050979" w:rsidP="00050979">
            <w:pPr>
              <w:jc w:val="center"/>
              <w:rPr>
                <w:rFonts w:cs="Calibri"/>
                <w:color w:val="000000"/>
                <w:sz w:val="18"/>
                <w:szCs w:val="18"/>
              </w:rPr>
            </w:pPr>
            <w:r>
              <w:rPr>
                <w:rFonts w:cs="Calibri"/>
                <w:color w:val="000000"/>
                <w:sz w:val="18"/>
                <w:szCs w:val="18"/>
              </w:rPr>
              <w:t>3,0</w:t>
            </w:r>
          </w:p>
        </w:tc>
        <w:tc>
          <w:tcPr>
            <w:tcW w:w="595" w:type="dxa"/>
            <w:tcBorders>
              <w:top w:val="nil"/>
              <w:left w:val="nil"/>
              <w:bottom w:val="nil"/>
              <w:right w:val="nil"/>
            </w:tcBorders>
            <w:shd w:val="clear" w:color="auto" w:fill="auto"/>
            <w:noWrap/>
            <w:vAlign w:val="center"/>
            <w:hideMark/>
          </w:tcPr>
          <w:p w14:paraId="1A29D0FE" w14:textId="664BF9F5" w:rsidR="00050979" w:rsidRPr="00EA7053" w:rsidRDefault="00050979" w:rsidP="00050979">
            <w:pPr>
              <w:jc w:val="center"/>
              <w:rPr>
                <w:rFonts w:cs="Calibri"/>
                <w:color w:val="000000"/>
                <w:sz w:val="18"/>
                <w:szCs w:val="18"/>
              </w:rPr>
            </w:pPr>
            <w:r>
              <w:rPr>
                <w:rFonts w:cs="Calibri"/>
                <w:color w:val="000000"/>
                <w:sz w:val="18"/>
                <w:szCs w:val="18"/>
              </w:rPr>
              <w:t>-1,4</w:t>
            </w:r>
          </w:p>
        </w:tc>
        <w:tc>
          <w:tcPr>
            <w:tcW w:w="595" w:type="dxa"/>
            <w:tcBorders>
              <w:top w:val="nil"/>
              <w:left w:val="nil"/>
              <w:bottom w:val="nil"/>
              <w:right w:val="nil"/>
            </w:tcBorders>
            <w:shd w:val="clear" w:color="auto" w:fill="auto"/>
            <w:noWrap/>
            <w:vAlign w:val="center"/>
            <w:hideMark/>
          </w:tcPr>
          <w:p w14:paraId="514354A6" w14:textId="0C2BA60B" w:rsidR="00050979" w:rsidRPr="00EA7053" w:rsidRDefault="00050979" w:rsidP="00050979">
            <w:pPr>
              <w:jc w:val="center"/>
              <w:rPr>
                <w:rFonts w:cs="Calibri"/>
                <w:color w:val="000000"/>
                <w:sz w:val="18"/>
                <w:szCs w:val="18"/>
              </w:rPr>
            </w:pPr>
            <w:r>
              <w:rPr>
                <w:rFonts w:cs="Calibri"/>
                <w:color w:val="000000"/>
                <w:sz w:val="18"/>
                <w:szCs w:val="18"/>
              </w:rPr>
              <w:t>2,8</w:t>
            </w:r>
          </w:p>
        </w:tc>
        <w:tc>
          <w:tcPr>
            <w:tcW w:w="595" w:type="dxa"/>
            <w:tcBorders>
              <w:top w:val="nil"/>
              <w:left w:val="nil"/>
              <w:bottom w:val="nil"/>
              <w:right w:val="nil"/>
            </w:tcBorders>
            <w:shd w:val="clear" w:color="auto" w:fill="auto"/>
            <w:noWrap/>
            <w:vAlign w:val="center"/>
            <w:hideMark/>
          </w:tcPr>
          <w:p w14:paraId="1F133CDF" w14:textId="31C6457C" w:rsidR="00050979" w:rsidRPr="00EA7053" w:rsidRDefault="00050979" w:rsidP="00050979">
            <w:pPr>
              <w:jc w:val="center"/>
              <w:rPr>
                <w:rFonts w:cs="Calibri"/>
                <w:color w:val="000000"/>
                <w:sz w:val="18"/>
                <w:szCs w:val="18"/>
              </w:rPr>
            </w:pPr>
            <w:r>
              <w:rPr>
                <w:rFonts w:cs="Calibri"/>
                <w:color w:val="000000"/>
                <w:sz w:val="18"/>
                <w:szCs w:val="18"/>
              </w:rPr>
              <w:t>3,1</w:t>
            </w:r>
          </w:p>
        </w:tc>
        <w:tc>
          <w:tcPr>
            <w:tcW w:w="595" w:type="dxa"/>
            <w:tcBorders>
              <w:top w:val="nil"/>
              <w:left w:val="nil"/>
              <w:bottom w:val="nil"/>
              <w:right w:val="nil"/>
            </w:tcBorders>
            <w:shd w:val="clear" w:color="auto" w:fill="auto"/>
            <w:noWrap/>
            <w:vAlign w:val="center"/>
            <w:hideMark/>
          </w:tcPr>
          <w:p w14:paraId="40130550" w14:textId="0EB679B9" w:rsidR="00050979" w:rsidRPr="00EA7053" w:rsidRDefault="00050979" w:rsidP="00050979">
            <w:pPr>
              <w:jc w:val="center"/>
              <w:rPr>
                <w:rFonts w:cs="Calibri"/>
                <w:color w:val="000000"/>
                <w:sz w:val="18"/>
                <w:szCs w:val="18"/>
              </w:rPr>
            </w:pPr>
            <w:r>
              <w:rPr>
                <w:rFonts w:cs="Calibri"/>
                <w:color w:val="000000"/>
                <w:sz w:val="18"/>
                <w:szCs w:val="18"/>
              </w:rPr>
              <w:t>4,5</w:t>
            </w:r>
          </w:p>
        </w:tc>
        <w:tc>
          <w:tcPr>
            <w:tcW w:w="595" w:type="dxa"/>
            <w:tcBorders>
              <w:top w:val="nil"/>
              <w:left w:val="nil"/>
              <w:bottom w:val="nil"/>
              <w:right w:val="nil"/>
            </w:tcBorders>
            <w:shd w:val="clear" w:color="auto" w:fill="auto"/>
            <w:noWrap/>
            <w:vAlign w:val="center"/>
            <w:hideMark/>
          </w:tcPr>
          <w:p w14:paraId="34BFA0C9" w14:textId="03C78034" w:rsidR="00050979" w:rsidRPr="00EA7053" w:rsidRDefault="00050979" w:rsidP="00050979">
            <w:pPr>
              <w:jc w:val="center"/>
              <w:rPr>
                <w:rFonts w:cs="Calibri"/>
                <w:color w:val="000000"/>
                <w:sz w:val="18"/>
                <w:szCs w:val="18"/>
              </w:rPr>
            </w:pPr>
            <w:r>
              <w:rPr>
                <w:rFonts w:cs="Calibri"/>
                <w:color w:val="000000"/>
                <w:sz w:val="18"/>
                <w:szCs w:val="18"/>
              </w:rPr>
              <w:t>4,5</w:t>
            </w:r>
          </w:p>
        </w:tc>
        <w:tc>
          <w:tcPr>
            <w:tcW w:w="595" w:type="dxa"/>
            <w:tcBorders>
              <w:top w:val="nil"/>
              <w:left w:val="nil"/>
              <w:bottom w:val="nil"/>
              <w:right w:val="nil"/>
            </w:tcBorders>
            <w:shd w:val="clear" w:color="auto" w:fill="auto"/>
            <w:noWrap/>
            <w:vAlign w:val="center"/>
            <w:hideMark/>
          </w:tcPr>
          <w:p w14:paraId="368806E0" w14:textId="3DEF978C" w:rsidR="00050979" w:rsidRPr="00EA7053" w:rsidRDefault="00050979" w:rsidP="00050979">
            <w:pPr>
              <w:jc w:val="center"/>
              <w:rPr>
                <w:rFonts w:cs="Calibri"/>
                <w:color w:val="000000"/>
                <w:sz w:val="18"/>
                <w:szCs w:val="18"/>
              </w:rPr>
            </w:pPr>
            <w:r>
              <w:rPr>
                <w:rFonts w:cs="Calibri"/>
                <w:color w:val="000000"/>
                <w:sz w:val="18"/>
                <w:szCs w:val="18"/>
              </w:rPr>
              <w:t>3,2</w:t>
            </w:r>
          </w:p>
        </w:tc>
      </w:tr>
      <w:tr w:rsidR="00050979" w:rsidRPr="00EA7053" w14:paraId="18B7F4EF" w14:textId="77777777" w:rsidTr="00CC1F9E">
        <w:trPr>
          <w:trHeight w:val="270"/>
        </w:trPr>
        <w:tc>
          <w:tcPr>
            <w:tcW w:w="423" w:type="dxa"/>
            <w:tcBorders>
              <w:top w:val="nil"/>
              <w:left w:val="nil"/>
              <w:bottom w:val="nil"/>
              <w:right w:val="nil"/>
            </w:tcBorders>
            <w:shd w:val="clear" w:color="auto" w:fill="auto"/>
            <w:noWrap/>
            <w:vAlign w:val="center"/>
            <w:hideMark/>
          </w:tcPr>
          <w:p w14:paraId="172B37DA" w14:textId="2A1BD53C" w:rsidR="00050979" w:rsidRPr="00EA7053" w:rsidRDefault="00050979" w:rsidP="00050979">
            <w:pPr>
              <w:jc w:val="center"/>
              <w:rPr>
                <w:rFonts w:cs="Calibri"/>
                <w:color w:val="000000"/>
                <w:sz w:val="18"/>
                <w:szCs w:val="18"/>
              </w:rPr>
            </w:pPr>
            <w:r>
              <w:rPr>
                <w:rFonts w:cs="Calibri"/>
                <w:color w:val="000000"/>
                <w:sz w:val="18"/>
                <w:szCs w:val="18"/>
              </w:rPr>
              <w:t>7</w:t>
            </w:r>
          </w:p>
        </w:tc>
        <w:tc>
          <w:tcPr>
            <w:tcW w:w="3688" w:type="dxa"/>
            <w:tcBorders>
              <w:top w:val="nil"/>
              <w:left w:val="nil"/>
              <w:bottom w:val="nil"/>
              <w:right w:val="nil"/>
            </w:tcBorders>
            <w:shd w:val="clear" w:color="auto" w:fill="auto"/>
            <w:vAlign w:val="center"/>
            <w:hideMark/>
          </w:tcPr>
          <w:p w14:paraId="700A673B" w14:textId="34BDF20C" w:rsidR="00050979" w:rsidRPr="00EA7053" w:rsidRDefault="00050979" w:rsidP="00050979">
            <w:pPr>
              <w:rPr>
                <w:rFonts w:cs="Calibri"/>
                <w:color w:val="000000"/>
                <w:sz w:val="18"/>
                <w:szCs w:val="18"/>
              </w:rPr>
            </w:pPr>
            <w:r>
              <w:rPr>
                <w:rFonts w:cs="Calibri"/>
                <w:color w:val="000000"/>
                <w:sz w:val="18"/>
                <w:szCs w:val="18"/>
              </w:rPr>
              <w:t xml:space="preserve">     Import tovarov a služieb </w:t>
            </w:r>
          </w:p>
        </w:tc>
        <w:tc>
          <w:tcPr>
            <w:tcW w:w="858" w:type="dxa"/>
            <w:tcBorders>
              <w:top w:val="nil"/>
              <w:left w:val="nil"/>
              <w:bottom w:val="nil"/>
              <w:right w:val="nil"/>
            </w:tcBorders>
            <w:shd w:val="clear" w:color="auto" w:fill="auto"/>
            <w:noWrap/>
            <w:vAlign w:val="center"/>
            <w:hideMark/>
          </w:tcPr>
          <w:p w14:paraId="5A2735BF" w14:textId="4C3CE434"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2D45CF35" w14:textId="6DA4F54B" w:rsidR="00050979" w:rsidRPr="00EA7053" w:rsidRDefault="00050979" w:rsidP="00050979">
            <w:pPr>
              <w:jc w:val="center"/>
              <w:rPr>
                <w:rFonts w:cs="Calibri"/>
                <w:color w:val="000000"/>
                <w:sz w:val="18"/>
                <w:szCs w:val="18"/>
              </w:rPr>
            </w:pPr>
            <w:r>
              <w:rPr>
                <w:rFonts w:cs="Calibri"/>
                <w:color w:val="000000"/>
                <w:sz w:val="18"/>
                <w:szCs w:val="18"/>
              </w:rPr>
              <w:t>4,3</w:t>
            </w:r>
          </w:p>
        </w:tc>
        <w:tc>
          <w:tcPr>
            <w:tcW w:w="595" w:type="dxa"/>
            <w:tcBorders>
              <w:top w:val="nil"/>
              <w:left w:val="nil"/>
              <w:bottom w:val="nil"/>
              <w:right w:val="nil"/>
            </w:tcBorders>
            <w:shd w:val="clear" w:color="auto" w:fill="auto"/>
            <w:noWrap/>
            <w:vAlign w:val="center"/>
            <w:hideMark/>
          </w:tcPr>
          <w:p w14:paraId="6A2AF087" w14:textId="34BBE668" w:rsidR="00050979" w:rsidRPr="00EA7053" w:rsidRDefault="00050979" w:rsidP="00050979">
            <w:pPr>
              <w:jc w:val="center"/>
              <w:rPr>
                <w:rFonts w:cs="Calibri"/>
                <w:color w:val="000000"/>
                <w:sz w:val="18"/>
                <w:szCs w:val="18"/>
              </w:rPr>
            </w:pPr>
            <w:r>
              <w:rPr>
                <w:rFonts w:cs="Calibri"/>
                <w:color w:val="000000"/>
                <w:sz w:val="18"/>
                <w:szCs w:val="18"/>
              </w:rPr>
              <w:t>-7,6</w:t>
            </w:r>
          </w:p>
        </w:tc>
        <w:tc>
          <w:tcPr>
            <w:tcW w:w="595" w:type="dxa"/>
            <w:tcBorders>
              <w:top w:val="nil"/>
              <w:left w:val="nil"/>
              <w:bottom w:val="nil"/>
              <w:right w:val="nil"/>
            </w:tcBorders>
            <w:shd w:val="clear" w:color="auto" w:fill="auto"/>
            <w:noWrap/>
            <w:vAlign w:val="center"/>
            <w:hideMark/>
          </w:tcPr>
          <w:p w14:paraId="0C5A67CD" w14:textId="6673D800" w:rsidR="00050979" w:rsidRPr="00EA7053" w:rsidRDefault="00050979" w:rsidP="00050979">
            <w:pPr>
              <w:jc w:val="center"/>
              <w:rPr>
                <w:rFonts w:cs="Calibri"/>
                <w:color w:val="000000"/>
                <w:sz w:val="18"/>
                <w:szCs w:val="18"/>
              </w:rPr>
            </w:pPr>
            <w:r>
              <w:rPr>
                <w:rFonts w:cs="Calibri"/>
                <w:color w:val="000000"/>
                <w:sz w:val="18"/>
                <w:szCs w:val="18"/>
              </w:rPr>
              <w:t>6,3</w:t>
            </w:r>
          </w:p>
        </w:tc>
        <w:tc>
          <w:tcPr>
            <w:tcW w:w="595" w:type="dxa"/>
            <w:tcBorders>
              <w:top w:val="nil"/>
              <w:left w:val="nil"/>
              <w:bottom w:val="nil"/>
              <w:right w:val="nil"/>
            </w:tcBorders>
            <w:shd w:val="clear" w:color="auto" w:fill="auto"/>
            <w:noWrap/>
            <w:vAlign w:val="center"/>
            <w:hideMark/>
          </w:tcPr>
          <w:p w14:paraId="034CE783" w14:textId="7BDE38B3" w:rsidR="00050979" w:rsidRPr="00EA7053" w:rsidRDefault="00050979" w:rsidP="00050979">
            <w:pPr>
              <w:jc w:val="center"/>
              <w:rPr>
                <w:rFonts w:cs="Calibri"/>
                <w:color w:val="000000"/>
                <w:sz w:val="18"/>
                <w:szCs w:val="18"/>
              </w:rPr>
            </w:pPr>
            <w:r>
              <w:rPr>
                <w:rFonts w:cs="Calibri"/>
                <w:color w:val="000000"/>
                <w:sz w:val="18"/>
                <w:szCs w:val="18"/>
              </w:rPr>
              <w:t>4,7</w:t>
            </w:r>
          </w:p>
        </w:tc>
        <w:tc>
          <w:tcPr>
            <w:tcW w:w="595" w:type="dxa"/>
            <w:tcBorders>
              <w:top w:val="nil"/>
              <w:left w:val="nil"/>
              <w:bottom w:val="nil"/>
              <w:right w:val="nil"/>
            </w:tcBorders>
            <w:shd w:val="clear" w:color="auto" w:fill="auto"/>
            <w:noWrap/>
            <w:vAlign w:val="center"/>
            <w:hideMark/>
          </w:tcPr>
          <w:p w14:paraId="385A3D5E" w14:textId="77642E33" w:rsidR="00050979" w:rsidRPr="00EA7053" w:rsidRDefault="00050979" w:rsidP="00050979">
            <w:pPr>
              <w:jc w:val="center"/>
              <w:rPr>
                <w:rFonts w:cs="Calibri"/>
                <w:color w:val="000000"/>
                <w:sz w:val="18"/>
                <w:szCs w:val="18"/>
              </w:rPr>
            </w:pPr>
            <w:r>
              <w:rPr>
                <w:rFonts w:cs="Calibri"/>
                <w:color w:val="000000"/>
                <w:sz w:val="18"/>
                <w:szCs w:val="18"/>
              </w:rPr>
              <w:t>3,1</w:t>
            </w:r>
          </w:p>
        </w:tc>
        <w:tc>
          <w:tcPr>
            <w:tcW w:w="595" w:type="dxa"/>
            <w:tcBorders>
              <w:top w:val="nil"/>
              <w:left w:val="nil"/>
              <w:bottom w:val="nil"/>
              <w:right w:val="nil"/>
            </w:tcBorders>
            <w:shd w:val="clear" w:color="auto" w:fill="auto"/>
            <w:noWrap/>
            <w:vAlign w:val="center"/>
            <w:hideMark/>
          </w:tcPr>
          <w:p w14:paraId="78F12281" w14:textId="06317A09" w:rsidR="00050979" w:rsidRPr="00EA7053" w:rsidRDefault="00050979" w:rsidP="00050979">
            <w:pPr>
              <w:jc w:val="center"/>
              <w:rPr>
                <w:rFonts w:cs="Calibri"/>
                <w:color w:val="000000"/>
                <w:sz w:val="18"/>
                <w:szCs w:val="18"/>
              </w:rPr>
            </w:pPr>
            <w:r>
              <w:rPr>
                <w:rFonts w:cs="Calibri"/>
                <w:color w:val="000000"/>
                <w:sz w:val="18"/>
                <w:szCs w:val="18"/>
              </w:rPr>
              <w:t>2,9</w:t>
            </w:r>
          </w:p>
        </w:tc>
        <w:tc>
          <w:tcPr>
            <w:tcW w:w="595" w:type="dxa"/>
            <w:tcBorders>
              <w:top w:val="nil"/>
              <w:left w:val="nil"/>
              <w:bottom w:val="nil"/>
              <w:right w:val="nil"/>
            </w:tcBorders>
            <w:shd w:val="clear" w:color="auto" w:fill="auto"/>
            <w:noWrap/>
            <w:vAlign w:val="center"/>
            <w:hideMark/>
          </w:tcPr>
          <w:p w14:paraId="55C59A29" w14:textId="6CD74F80" w:rsidR="00050979" w:rsidRPr="00EA7053" w:rsidRDefault="00050979" w:rsidP="00050979">
            <w:pPr>
              <w:jc w:val="center"/>
              <w:rPr>
                <w:rFonts w:cs="Calibri"/>
                <w:color w:val="000000"/>
                <w:sz w:val="18"/>
                <w:szCs w:val="18"/>
              </w:rPr>
            </w:pPr>
            <w:r>
              <w:rPr>
                <w:rFonts w:cs="Calibri"/>
                <w:color w:val="000000"/>
                <w:sz w:val="18"/>
                <w:szCs w:val="18"/>
              </w:rPr>
              <w:t>2,6</w:t>
            </w:r>
          </w:p>
        </w:tc>
      </w:tr>
      <w:tr w:rsidR="00050979" w:rsidRPr="00EA7053" w14:paraId="502A3C50" w14:textId="77777777" w:rsidTr="002821FD">
        <w:trPr>
          <w:trHeight w:val="270"/>
        </w:trPr>
        <w:tc>
          <w:tcPr>
            <w:tcW w:w="423" w:type="dxa"/>
            <w:tcBorders>
              <w:top w:val="nil"/>
              <w:left w:val="nil"/>
              <w:bottom w:val="nil"/>
              <w:right w:val="nil"/>
            </w:tcBorders>
            <w:shd w:val="clear" w:color="auto" w:fill="auto"/>
            <w:noWrap/>
            <w:vAlign w:val="center"/>
            <w:hideMark/>
          </w:tcPr>
          <w:p w14:paraId="643C26B9" w14:textId="13F91703" w:rsidR="00050979" w:rsidRPr="00EA7053" w:rsidRDefault="00050979" w:rsidP="00050979">
            <w:pPr>
              <w:jc w:val="center"/>
              <w:rPr>
                <w:rFonts w:cs="Calibri"/>
                <w:color w:val="000000"/>
                <w:sz w:val="18"/>
                <w:szCs w:val="18"/>
              </w:rPr>
            </w:pPr>
            <w:r>
              <w:rPr>
                <w:rFonts w:cs="Calibri"/>
                <w:color w:val="000000"/>
                <w:sz w:val="18"/>
                <w:szCs w:val="18"/>
              </w:rPr>
              <w:t>8</w:t>
            </w:r>
          </w:p>
        </w:tc>
        <w:tc>
          <w:tcPr>
            <w:tcW w:w="3688" w:type="dxa"/>
            <w:tcBorders>
              <w:top w:val="nil"/>
              <w:left w:val="nil"/>
              <w:bottom w:val="nil"/>
              <w:right w:val="nil"/>
            </w:tcBorders>
            <w:shd w:val="clear" w:color="auto" w:fill="auto"/>
            <w:noWrap/>
            <w:vAlign w:val="center"/>
            <w:hideMark/>
          </w:tcPr>
          <w:p w14:paraId="72A6865C" w14:textId="43FCA823" w:rsidR="00050979" w:rsidRPr="00EA7053" w:rsidRDefault="00050979" w:rsidP="00050979">
            <w:pPr>
              <w:rPr>
                <w:rFonts w:cs="Calibri"/>
                <w:color w:val="000000"/>
                <w:sz w:val="18"/>
                <w:szCs w:val="18"/>
              </w:rPr>
            </w:pPr>
            <w:r>
              <w:rPr>
                <w:rFonts w:cs="Calibri"/>
                <w:color w:val="000000"/>
                <w:sz w:val="18"/>
                <w:szCs w:val="18"/>
              </w:rPr>
              <w:t>Produkčná medzera (podiel na pot. produkte)</w:t>
            </w:r>
          </w:p>
        </w:tc>
        <w:tc>
          <w:tcPr>
            <w:tcW w:w="858" w:type="dxa"/>
            <w:tcBorders>
              <w:top w:val="nil"/>
              <w:left w:val="nil"/>
              <w:bottom w:val="nil"/>
              <w:right w:val="nil"/>
            </w:tcBorders>
            <w:shd w:val="clear" w:color="auto" w:fill="auto"/>
            <w:noWrap/>
            <w:vAlign w:val="center"/>
            <w:hideMark/>
          </w:tcPr>
          <w:p w14:paraId="797D5AA0" w14:textId="0201399D"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590A98D8" w14:textId="55D6E9F5" w:rsidR="00050979" w:rsidRPr="00AF01FF" w:rsidRDefault="00050979" w:rsidP="00050979">
            <w:pPr>
              <w:jc w:val="center"/>
              <w:rPr>
                <w:rFonts w:cs="Calibri"/>
                <w:color w:val="000000"/>
                <w:sz w:val="18"/>
                <w:szCs w:val="18"/>
              </w:rPr>
            </w:pPr>
            <w:r>
              <w:rPr>
                <w:rFonts w:cs="Calibri"/>
                <w:color w:val="000000"/>
                <w:sz w:val="18"/>
                <w:szCs w:val="18"/>
              </w:rPr>
              <w:t>0,5</w:t>
            </w:r>
          </w:p>
        </w:tc>
        <w:tc>
          <w:tcPr>
            <w:tcW w:w="595" w:type="dxa"/>
            <w:tcBorders>
              <w:top w:val="nil"/>
              <w:left w:val="nil"/>
              <w:bottom w:val="nil"/>
              <w:right w:val="nil"/>
            </w:tcBorders>
            <w:shd w:val="clear" w:color="auto" w:fill="auto"/>
            <w:noWrap/>
            <w:vAlign w:val="center"/>
            <w:hideMark/>
          </w:tcPr>
          <w:p w14:paraId="069685E4" w14:textId="3FABE57B" w:rsidR="00050979" w:rsidRPr="00AF01FF" w:rsidRDefault="00050979" w:rsidP="00050979">
            <w:pPr>
              <w:jc w:val="center"/>
              <w:rPr>
                <w:rFonts w:cs="Calibri"/>
                <w:color w:val="000000"/>
                <w:sz w:val="18"/>
                <w:szCs w:val="18"/>
              </w:rPr>
            </w:pPr>
            <w:r>
              <w:rPr>
                <w:rFonts w:cs="Calibri"/>
                <w:color w:val="000000"/>
                <w:sz w:val="18"/>
                <w:szCs w:val="18"/>
              </w:rPr>
              <w:t>-0,3</w:t>
            </w:r>
          </w:p>
        </w:tc>
        <w:tc>
          <w:tcPr>
            <w:tcW w:w="595" w:type="dxa"/>
            <w:tcBorders>
              <w:top w:val="nil"/>
              <w:left w:val="nil"/>
              <w:bottom w:val="nil"/>
              <w:right w:val="nil"/>
            </w:tcBorders>
            <w:shd w:val="clear" w:color="auto" w:fill="auto"/>
            <w:noWrap/>
            <w:vAlign w:val="center"/>
            <w:hideMark/>
          </w:tcPr>
          <w:p w14:paraId="579B3320" w14:textId="5AD6FF9E" w:rsidR="00050979" w:rsidRPr="00AF01FF" w:rsidRDefault="00050979" w:rsidP="00050979">
            <w:pPr>
              <w:jc w:val="center"/>
              <w:rPr>
                <w:rFonts w:cs="Calibri"/>
                <w:color w:val="000000"/>
                <w:sz w:val="18"/>
                <w:szCs w:val="18"/>
              </w:rPr>
            </w:pPr>
            <w:r>
              <w:rPr>
                <w:rFonts w:cs="Calibri"/>
                <w:color w:val="000000"/>
                <w:sz w:val="18"/>
                <w:szCs w:val="18"/>
              </w:rPr>
              <w:t>-0,3</w:t>
            </w:r>
          </w:p>
        </w:tc>
        <w:tc>
          <w:tcPr>
            <w:tcW w:w="595" w:type="dxa"/>
            <w:tcBorders>
              <w:top w:val="nil"/>
              <w:left w:val="nil"/>
              <w:bottom w:val="nil"/>
              <w:right w:val="nil"/>
            </w:tcBorders>
            <w:shd w:val="clear" w:color="auto" w:fill="auto"/>
            <w:noWrap/>
            <w:vAlign w:val="center"/>
            <w:hideMark/>
          </w:tcPr>
          <w:p w14:paraId="78052E69" w14:textId="3486F487" w:rsidR="00050979" w:rsidRPr="00AF01FF" w:rsidRDefault="00050979" w:rsidP="00050979">
            <w:pPr>
              <w:jc w:val="center"/>
              <w:rPr>
                <w:rFonts w:cs="Calibri"/>
                <w:color w:val="000000"/>
                <w:sz w:val="18"/>
                <w:szCs w:val="18"/>
              </w:rPr>
            </w:pPr>
            <w:r>
              <w:rPr>
                <w:rFonts w:cs="Calibri"/>
                <w:color w:val="000000"/>
                <w:sz w:val="18"/>
                <w:szCs w:val="18"/>
              </w:rPr>
              <w:t>0,7</w:t>
            </w:r>
          </w:p>
        </w:tc>
        <w:tc>
          <w:tcPr>
            <w:tcW w:w="595" w:type="dxa"/>
            <w:tcBorders>
              <w:top w:val="nil"/>
              <w:left w:val="nil"/>
              <w:bottom w:val="nil"/>
              <w:right w:val="nil"/>
            </w:tcBorders>
            <w:shd w:val="clear" w:color="auto" w:fill="auto"/>
            <w:noWrap/>
            <w:vAlign w:val="center"/>
            <w:hideMark/>
          </w:tcPr>
          <w:p w14:paraId="79D25F89" w14:textId="49533E26" w:rsidR="00050979" w:rsidRPr="00AF01FF" w:rsidRDefault="00050979" w:rsidP="00050979">
            <w:pPr>
              <w:jc w:val="center"/>
              <w:rPr>
                <w:rFonts w:cs="Calibri"/>
                <w:color w:val="000000"/>
                <w:sz w:val="18"/>
                <w:szCs w:val="18"/>
              </w:rPr>
            </w:pPr>
            <w:r>
              <w:rPr>
                <w:rFonts w:cs="Calibri"/>
                <w:color w:val="000000"/>
                <w:sz w:val="18"/>
                <w:szCs w:val="18"/>
              </w:rPr>
              <w:t>1,0</w:t>
            </w:r>
          </w:p>
        </w:tc>
        <w:tc>
          <w:tcPr>
            <w:tcW w:w="595" w:type="dxa"/>
            <w:tcBorders>
              <w:top w:val="nil"/>
              <w:left w:val="nil"/>
              <w:bottom w:val="nil"/>
              <w:right w:val="nil"/>
            </w:tcBorders>
            <w:shd w:val="clear" w:color="auto" w:fill="auto"/>
            <w:noWrap/>
            <w:vAlign w:val="center"/>
            <w:hideMark/>
          </w:tcPr>
          <w:p w14:paraId="16A81278" w14:textId="783034EF" w:rsidR="00050979" w:rsidRPr="00AF01FF" w:rsidRDefault="00050979" w:rsidP="00050979">
            <w:pPr>
              <w:jc w:val="center"/>
              <w:rPr>
                <w:rFonts w:cs="Calibri"/>
                <w:color w:val="000000"/>
                <w:sz w:val="18"/>
                <w:szCs w:val="18"/>
              </w:rPr>
            </w:pPr>
            <w:r>
              <w:rPr>
                <w:rFonts w:cs="Calibri"/>
                <w:color w:val="000000"/>
                <w:sz w:val="18"/>
                <w:szCs w:val="18"/>
              </w:rPr>
              <w:t>0,8</w:t>
            </w:r>
          </w:p>
        </w:tc>
        <w:tc>
          <w:tcPr>
            <w:tcW w:w="595" w:type="dxa"/>
            <w:tcBorders>
              <w:top w:val="nil"/>
              <w:left w:val="nil"/>
              <w:bottom w:val="nil"/>
              <w:right w:val="nil"/>
            </w:tcBorders>
            <w:shd w:val="clear" w:color="auto" w:fill="auto"/>
            <w:noWrap/>
            <w:vAlign w:val="center"/>
            <w:hideMark/>
          </w:tcPr>
          <w:p w14:paraId="48D93745" w14:textId="7840DF90" w:rsidR="00050979" w:rsidRPr="00AF01FF" w:rsidRDefault="00050979" w:rsidP="00050979">
            <w:pPr>
              <w:jc w:val="center"/>
              <w:rPr>
                <w:rFonts w:cs="Calibri"/>
                <w:color w:val="000000"/>
                <w:sz w:val="18"/>
                <w:szCs w:val="18"/>
              </w:rPr>
            </w:pPr>
            <w:r>
              <w:rPr>
                <w:rFonts w:cs="Calibri"/>
                <w:color w:val="000000"/>
                <w:sz w:val="18"/>
                <w:szCs w:val="18"/>
              </w:rPr>
              <w:t>1,2</w:t>
            </w:r>
          </w:p>
        </w:tc>
      </w:tr>
      <w:tr w:rsidR="00050979" w:rsidRPr="00EA7053" w14:paraId="7CF2345D" w14:textId="77777777" w:rsidTr="002821FD">
        <w:trPr>
          <w:trHeight w:val="270"/>
        </w:trPr>
        <w:tc>
          <w:tcPr>
            <w:tcW w:w="423" w:type="dxa"/>
            <w:tcBorders>
              <w:top w:val="nil"/>
              <w:left w:val="nil"/>
              <w:bottom w:val="nil"/>
              <w:right w:val="nil"/>
            </w:tcBorders>
            <w:shd w:val="clear" w:color="auto" w:fill="auto"/>
            <w:noWrap/>
            <w:vAlign w:val="center"/>
            <w:hideMark/>
          </w:tcPr>
          <w:p w14:paraId="7F58B8A1" w14:textId="49CFEDFA" w:rsidR="00050979" w:rsidRPr="00EA7053" w:rsidRDefault="00050979" w:rsidP="00050979">
            <w:pPr>
              <w:jc w:val="center"/>
              <w:rPr>
                <w:rFonts w:cs="Calibri"/>
                <w:color w:val="000000"/>
                <w:sz w:val="18"/>
                <w:szCs w:val="18"/>
              </w:rPr>
            </w:pPr>
            <w:r>
              <w:rPr>
                <w:rFonts w:cs="Calibri"/>
                <w:color w:val="000000"/>
                <w:sz w:val="18"/>
                <w:szCs w:val="18"/>
              </w:rPr>
              <w:t>9</w:t>
            </w:r>
          </w:p>
        </w:tc>
        <w:tc>
          <w:tcPr>
            <w:tcW w:w="3688" w:type="dxa"/>
            <w:tcBorders>
              <w:top w:val="nil"/>
              <w:left w:val="nil"/>
              <w:bottom w:val="nil"/>
              <w:right w:val="nil"/>
            </w:tcBorders>
            <w:shd w:val="clear" w:color="auto" w:fill="auto"/>
            <w:noWrap/>
            <w:vAlign w:val="center"/>
            <w:hideMark/>
          </w:tcPr>
          <w:p w14:paraId="09AFE417" w14:textId="1ABB1412" w:rsidR="00050979" w:rsidRPr="00EA7053" w:rsidRDefault="00050979" w:rsidP="00050979">
            <w:pPr>
              <w:rPr>
                <w:rFonts w:cs="Calibri"/>
                <w:color w:val="000000"/>
                <w:sz w:val="18"/>
                <w:szCs w:val="18"/>
              </w:rPr>
            </w:pPr>
            <w:r>
              <w:rPr>
                <w:rFonts w:cs="Calibri"/>
                <w:color w:val="000000"/>
                <w:sz w:val="18"/>
                <w:szCs w:val="18"/>
              </w:rPr>
              <w:t>Priem. mesačná mzda v hosp. (nominálny rast)</w:t>
            </w:r>
          </w:p>
        </w:tc>
        <w:tc>
          <w:tcPr>
            <w:tcW w:w="858" w:type="dxa"/>
            <w:tcBorders>
              <w:top w:val="nil"/>
              <w:left w:val="nil"/>
              <w:bottom w:val="nil"/>
              <w:right w:val="nil"/>
            </w:tcBorders>
            <w:shd w:val="clear" w:color="auto" w:fill="auto"/>
            <w:noWrap/>
            <w:vAlign w:val="center"/>
            <w:hideMark/>
          </w:tcPr>
          <w:p w14:paraId="3BCDF38A" w14:textId="6460E8EA"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6704BCE9" w14:textId="0C397A4D" w:rsidR="00050979" w:rsidRPr="00AF01FF" w:rsidRDefault="00050979" w:rsidP="00050979">
            <w:pPr>
              <w:jc w:val="center"/>
              <w:rPr>
                <w:rFonts w:cs="Calibri"/>
                <w:color w:val="000000"/>
                <w:sz w:val="18"/>
                <w:szCs w:val="18"/>
              </w:rPr>
            </w:pPr>
            <w:r>
              <w:rPr>
                <w:rFonts w:cs="Calibri"/>
                <w:color w:val="000000"/>
                <w:sz w:val="18"/>
                <w:szCs w:val="18"/>
              </w:rPr>
              <w:t>7,7</w:t>
            </w:r>
          </w:p>
        </w:tc>
        <w:tc>
          <w:tcPr>
            <w:tcW w:w="595" w:type="dxa"/>
            <w:tcBorders>
              <w:top w:val="nil"/>
              <w:left w:val="nil"/>
              <w:bottom w:val="nil"/>
              <w:right w:val="nil"/>
            </w:tcBorders>
            <w:shd w:val="clear" w:color="auto" w:fill="auto"/>
            <w:noWrap/>
            <w:vAlign w:val="center"/>
            <w:hideMark/>
          </w:tcPr>
          <w:p w14:paraId="3BD0374C" w14:textId="193B8B51" w:rsidR="00050979" w:rsidRPr="00AF01FF" w:rsidRDefault="00050979" w:rsidP="00050979">
            <w:pPr>
              <w:jc w:val="center"/>
              <w:rPr>
                <w:rFonts w:cs="Calibri"/>
                <w:color w:val="000000"/>
                <w:sz w:val="18"/>
                <w:szCs w:val="18"/>
              </w:rPr>
            </w:pPr>
            <w:r>
              <w:rPr>
                <w:rFonts w:cs="Calibri"/>
                <w:color w:val="000000"/>
                <w:sz w:val="18"/>
                <w:szCs w:val="18"/>
              </w:rPr>
              <w:t>9,7</w:t>
            </w:r>
          </w:p>
        </w:tc>
        <w:tc>
          <w:tcPr>
            <w:tcW w:w="595" w:type="dxa"/>
            <w:tcBorders>
              <w:top w:val="nil"/>
              <w:left w:val="nil"/>
              <w:bottom w:val="nil"/>
              <w:right w:val="nil"/>
            </w:tcBorders>
            <w:shd w:val="clear" w:color="auto" w:fill="auto"/>
            <w:noWrap/>
            <w:vAlign w:val="center"/>
            <w:hideMark/>
          </w:tcPr>
          <w:p w14:paraId="3DE633BA" w14:textId="1D698FD1" w:rsidR="00050979" w:rsidRPr="00AF01FF" w:rsidRDefault="00050979" w:rsidP="00050979">
            <w:pPr>
              <w:jc w:val="center"/>
              <w:rPr>
                <w:rFonts w:cs="Calibri"/>
                <w:color w:val="000000"/>
                <w:sz w:val="18"/>
                <w:szCs w:val="18"/>
              </w:rPr>
            </w:pPr>
            <w:r>
              <w:rPr>
                <w:rFonts w:cs="Calibri"/>
                <w:color w:val="000000"/>
                <w:sz w:val="18"/>
                <w:szCs w:val="18"/>
              </w:rPr>
              <w:t>6,3</w:t>
            </w:r>
          </w:p>
        </w:tc>
        <w:tc>
          <w:tcPr>
            <w:tcW w:w="595" w:type="dxa"/>
            <w:tcBorders>
              <w:top w:val="nil"/>
              <w:left w:val="nil"/>
              <w:bottom w:val="nil"/>
              <w:right w:val="nil"/>
            </w:tcBorders>
            <w:shd w:val="clear" w:color="auto" w:fill="auto"/>
            <w:noWrap/>
            <w:vAlign w:val="center"/>
            <w:hideMark/>
          </w:tcPr>
          <w:p w14:paraId="435B4D99" w14:textId="3C464254" w:rsidR="00050979" w:rsidRPr="00AF01FF" w:rsidRDefault="00050979" w:rsidP="00050979">
            <w:pPr>
              <w:jc w:val="center"/>
              <w:rPr>
                <w:rFonts w:cs="Calibri"/>
                <w:color w:val="000000"/>
                <w:sz w:val="18"/>
                <w:szCs w:val="18"/>
              </w:rPr>
            </w:pPr>
            <w:r>
              <w:rPr>
                <w:rFonts w:cs="Calibri"/>
                <w:color w:val="000000"/>
                <w:sz w:val="18"/>
                <w:szCs w:val="18"/>
              </w:rPr>
              <w:t>5,5</w:t>
            </w:r>
          </w:p>
        </w:tc>
        <w:tc>
          <w:tcPr>
            <w:tcW w:w="595" w:type="dxa"/>
            <w:tcBorders>
              <w:top w:val="nil"/>
              <w:left w:val="nil"/>
              <w:bottom w:val="nil"/>
              <w:right w:val="nil"/>
            </w:tcBorders>
            <w:shd w:val="clear" w:color="auto" w:fill="auto"/>
            <w:noWrap/>
            <w:vAlign w:val="center"/>
            <w:hideMark/>
          </w:tcPr>
          <w:p w14:paraId="20BCB70F" w14:textId="2A5A710B" w:rsidR="00050979" w:rsidRPr="00AF01FF" w:rsidRDefault="00050979" w:rsidP="00050979">
            <w:pPr>
              <w:jc w:val="center"/>
              <w:rPr>
                <w:rFonts w:cs="Calibri"/>
                <w:color w:val="000000"/>
                <w:sz w:val="18"/>
                <w:szCs w:val="18"/>
              </w:rPr>
            </w:pPr>
            <w:r>
              <w:rPr>
                <w:rFonts w:cs="Calibri"/>
                <w:color w:val="000000"/>
                <w:sz w:val="18"/>
                <w:szCs w:val="18"/>
              </w:rPr>
              <w:t>4,4</w:t>
            </w:r>
          </w:p>
        </w:tc>
        <w:tc>
          <w:tcPr>
            <w:tcW w:w="595" w:type="dxa"/>
            <w:tcBorders>
              <w:top w:val="nil"/>
              <w:left w:val="nil"/>
              <w:bottom w:val="nil"/>
              <w:right w:val="nil"/>
            </w:tcBorders>
            <w:shd w:val="clear" w:color="auto" w:fill="auto"/>
            <w:noWrap/>
            <w:vAlign w:val="center"/>
            <w:hideMark/>
          </w:tcPr>
          <w:p w14:paraId="02C77113" w14:textId="6781F00A" w:rsidR="00050979" w:rsidRPr="00AF01FF" w:rsidRDefault="00050979" w:rsidP="00050979">
            <w:pPr>
              <w:jc w:val="center"/>
              <w:rPr>
                <w:rFonts w:cs="Calibri"/>
                <w:color w:val="000000"/>
                <w:sz w:val="18"/>
                <w:szCs w:val="18"/>
              </w:rPr>
            </w:pPr>
            <w:r>
              <w:rPr>
                <w:rFonts w:cs="Calibri"/>
                <w:color w:val="000000"/>
                <w:sz w:val="18"/>
                <w:szCs w:val="18"/>
              </w:rPr>
              <w:t>4,0</w:t>
            </w:r>
          </w:p>
        </w:tc>
        <w:tc>
          <w:tcPr>
            <w:tcW w:w="595" w:type="dxa"/>
            <w:tcBorders>
              <w:top w:val="nil"/>
              <w:left w:val="nil"/>
              <w:bottom w:val="nil"/>
              <w:right w:val="nil"/>
            </w:tcBorders>
            <w:shd w:val="clear" w:color="auto" w:fill="auto"/>
            <w:noWrap/>
            <w:vAlign w:val="center"/>
            <w:hideMark/>
          </w:tcPr>
          <w:p w14:paraId="3849A957" w14:textId="55EE5F8A" w:rsidR="00050979" w:rsidRPr="00AF01FF" w:rsidRDefault="00050979" w:rsidP="00050979">
            <w:pPr>
              <w:jc w:val="center"/>
              <w:rPr>
                <w:rFonts w:cs="Calibri"/>
                <w:color w:val="000000"/>
                <w:sz w:val="18"/>
                <w:szCs w:val="18"/>
              </w:rPr>
            </w:pPr>
            <w:r>
              <w:rPr>
                <w:rFonts w:cs="Calibri"/>
                <w:color w:val="000000"/>
                <w:sz w:val="18"/>
                <w:szCs w:val="18"/>
              </w:rPr>
              <w:t>4,5</w:t>
            </w:r>
          </w:p>
        </w:tc>
      </w:tr>
      <w:tr w:rsidR="00050979" w:rsidRPr="00EA7053" w14:paraId="3774EFF5" w14:textId="77777777" w:rsidTr="00CC1F9E">
        <w:trPr>
          <w:trHeight w:val="270"/>
        </w:trPr>
        <w:tc>
          <w:tcPr>
            <w:tcW w:w="423" w:type="dxa"/>
            <w:tcBorders>
              <w:top w:val="nil"/>
              <w:left w:val="nil"/>
              <w:bottom w:val="nil"/>
              <w:right w:val="nil"/>
            </w:tcBorders>
            <w:shd w:val="clear" w:color="auto" w:fill="auto"/>
            <w:noWrap/>
            <w:vAlign w:val="center"/>
            <w:hideMark/>
          </w:tcPr>
          <w:p w14:paraId="72CFC8BF" w14:textId="46903A4D" w:rsidR="00050979" w:rsidRPr="00EA7053" w:rsidRDefault="00050979" w:rsidP="00050979">
            <w:pPr>
              <w:jc w:val="center"/>
              <w:rPr>
                <w:rFonts w:cs="Calibri"/>
                <w:color w:val="000000"/>
                <w:sz w:val="18"/>
                <w:szCs w:val="18"/>
              </w:rPr>
            </w:pPr>
            <w:r>
              <w:rPr>
                <w:rFonts w:cs="Calibri"/>
                <w:color w:val="000000"/>
                <w:sz w:val="18"/>
                <w:szCs w:val="18"/>
              </w:rPr>
              <w:t>10</w:t>
            </w:r>
          </w:p>
        </w:tc>
        <w:tc>
          <w:tcPr>
            <w:tcW w:w="3688" w:type="dxa"/>
            <w:tcBorders>
              <w:top w:val="nil"/>
              <w:left w:val="nil"/>
              <w:bottom w:val="nil"/>
              <w:right w:val="nil"/>
            </w:tcBorders>
            <w:shd w:val="clear" w:color="auto" w:fill="auto"/>
            <w:noWrap/>
            <w:vAlign w:val="center"/>
            <w:hideMark/>
          </w:tcPr>
          <w:p w14:paraId="2855360F" w14:textId="38C6C9E0" w:rsidR="00050979" w:rsidRPr="00EA7053" w:rsidRDefault="00050979" w:rsidP="00050979">
            <w:pPr>
              <w:rPr>
                <w:rFonts w:cs="Calibri"/>
                <w:color w:val="000000"/>
                <w:sz w:val="18"/>
                <w:szCs w:val="18"/>
              </w:rPr>
            </w:pPr>
            <w:r>
              <w:rPr>
                <w:rFonts w:cs="Calibri"/>
                <w:color w:val="000000"/>
                <w:sz w:val="18"/>
                <w:szCs w:val="18"/>
              </w:rPr>
              <w:t>Spotrebiteľská inflácia (ŠÚSR)</w:t>
            </w:r>
          </w:p>
        </w:tc>
        <w:tc>
          <w:tcPr>
            <w:tcW w:w="858" w:type="dxa"/>
            <w:tcBorders>
              <w:top w:val="nil"/>
              <w:left w:val="nil"/>
              <w:bottom w:val="nil"/>
              <w:right w:val="nil"/>
            </w:tcBorders>
            <w:shd w:val="clear" w:color="auto" w:fill="auto"/>
            <w:noWrap/>
            <w:vAlign w:val="center"/>
            <w:hideMark/>
          </w:tcPr>
          <w:p w14:paraId="68079BDD" w14:textId="2A52D66A"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06F352E4" w14:textId="44DF40FD" w:rsidR="00050979" w:rsidRPr="00EA7053" w:rsidRDefault="00050979" w:rsidP="00050979">
            <w:pPr>
              <w:jc w:val="center"/>
              <w:rPr>
                <w:rFonts w:cs="Calibri"/>
                <w:color w:val="000000"/>
                <w:sz w:val="18"/>
                <w:szCs w:val="18"/>
              </w:rPr>
            </w:pPr>
            <w:r>
              <w:rPr>
                <w:rFonts w:cs="Calibri"/>
                <w:color w:val="000000"/>
                <w:sz w:val="18"/>
                <w:szCs w:val="18"/>
              </w:rPr>
              <w:t>12,8</w:t>
            </w:r>
          </w:p>
        </w:tc>
        <w:tc>
          <w:tcPr>
            <w:tcW w:w="595" w:type="dxa"/>
            <w:tcBorders>
              <w:top w:val="nil"/>
              <w:left w:val="nil"/>
              <w:bottom w:val="nil"/>
              <w:right w:val="nil"/>
            </w:tcBorders>
            <w:shd w:val="clear" w:color="auto" w:fill="auto"/>
            <w:noWrap/>
            <w:vAlign w:val="center"/>
            <w:hideMark/>
          </w:tcPr>
          <w:p w14:paraId="3FBFB3FE" w14:textId="29DF3C64" w:rsidR="00050979" w:rsidRPr="00EA7053" w:rsidRDefault="00050979" w:rsidP="00050979">
            <w:pPr>
              <w:jc w:val="center"/>
              <w:rPr>
                <w:rFonts w:cs="Calibri"/>
                <w:color w:val="000000"/>
                <w:sz w:val="18"/>
                <w:szCs w:val="18"/>
              </w:rPr>
            </w:pPr>
            <w:r>
              <w:rPr>
                <w:rFonts w:cs="Calibri"/>
                <w:color w:val="000000"/>
                <w:sz w:val="18"/>
                <w:szCs w:val="18"/>
              </w:rPr>
              <w:t>10,5</w:t>
            </w:r>
          </w:p>
        </w:tc>
        <w:tc>
          <w:tcPr>
            <w:tcW w:w="595" w:type="dxa"/>
            <w:tcBorders>
              <w:top w:val="nil"/>
              <w:left w:val="nil"/>
              <w:bottom w:val="nil"/>
              <w:right w:val="nil"/>
            </w:tcBorders>
            <w:shd w:val="clear" w:color="auto" w:fill="auto"/>
            <w:noWrap/>
            <w:vAlign w:val="center"/>
            <w:hideMark/>
          </w:tcPr>
          <w:p w14:paraId="3868F5D5" w14:textId="072A7875" w:rsidR="00050979" w:rsidRPr="00EA7053" w:rsidRDefault="00050979" w:rsidP="00050979">
            <w:pPr>
              <w:jc w:val="center"/>
              <w:rPr>
                <w:rFonts w:cs="Calibri"/>
                <w:color w:val="000000"/>
                <w:sz w:val="18"/>
                <w:szCs w:val="18"/>
              </w:rPr>
            </w:pPr>
            <w:r>
              <w:rPr>
                <w:rFonts w:cs="Calibri"/>
                <w:color w:val="000000"/>
                <w:sz w:val="18"/>
                <w:szCs w:val="18"/>
              </w:rPr>
              <w:t>3,0</w:t>
            </w:r>
          </w:p>
        </w:tc>
        <w:tc>
          <w:tcPr>
            <w:tcW w:w="595" w:type="dxa"/>
            <w:tcBorders>
              <w:top w:val="nil"/>
              <w:left w:val="nil"/>
              <w:bottom w:val="nil"/>
              <w:right w:val="nil"/>
            </w:tcBorders>
            <w:shd w:val="clear" w:color="auto" w:fill="auto"/>
            <w:noWrap/>
            <w:vAlign w:val="center"/>
            <w:hideMark/>
          </w:tcPr>
          <w:p w14:paraId="2DABCF10" w14:textId="724533DB" w:rsidR="00050979" w:rsidRPr="00EA7053" w:rsidRDefault="00050979" w:rsidP="00050979">
            <w:pPr>
              <w:jc w:val="center"/>
              <w:rPr>
                <w:rFonts w:cs="Calibri"/>
                <w:color w:val="000000"/>
                <w:sz w:val="18"/>
                <w:szCs w:val="18"/>
              </w:rPr>
            </w:pPr>
            <w:r>
              <w:rPr>
                <w:rFonts w:cs="Calibri"/>
                <w:color w:val="000000"/>
                <w:sz w:val="18"/>
                <w:szCs w:val="18"/>
              </w:rPr>
              <w:t>4,1</w:t>
            </w:r>
          </w:p>
        </w:tc>
        <w:tc>
          <w:tcPr>
            <w:tcW w:w="595" w:type="dxa"/>
            <w:tcBorders>
              <w:top w:val="nil"/>
              <w:left w:val="nil"/>
              <w:bottom w:val="nil"/>
              <w:right w:val="nil"/>
            </w:tcBorders>
            <w:shd w:val="clear" w:color="auto" w:fill="auto"/>
            <w:noWrap/>
            <w:vAlign w:val="center"/>
            <w:hideMark/>
          </w:tcPr>
          <w:p w14:paraId="333354C2" w14:textId="234CC88A" w:rsidR="00050979" w:rsidRPr="00EA7053" w:rsidRDefault="00050979" w:rsidP="00050979">
            <w:pPr>
              <w:jc w:val="center"/>
              <w:rPr>
                <w:rFonts w:cs="Calibri"/>
                <w:color w:val="000000"/>
                <w:sz w:val="18"/>
                <w:szCs w:val="18"/>
              </w:rPr>
            </w:pPr>
            <w:r>
              <w:rPr>
                <w:rFonts w:cs="Calibri"/>
                <w:color w:val="000000"/>
                <w:sz w:val="18"/>
                <w:szCs w:val="18"/>
              </w:rPr>
              <w:t>2,3</w:t>
            </w:r>
          </w:p>
        </w:tc>
        <w:tc>
          <w:tcPr>
            <w:tcW w:w="595" w:type="dxa"/>
            <w:tcBorders>
              <w:top w:val="nil"/>
              <w:left w:val="nil"/>
              <w:bottom w:val="nil"/>
              <w:right w:val="nil"/>
            </w:tcBorders>
            <w:shd w:val="clear" w:color="auto" w:fill="auto"/>
            <w:noWrap/>
            <w:vAlign w:val="center"/>
            <w:hideMark/>
          </w:tcPr>
          <w:p w14:paraId="534755F1" w14:textId="0A3F4FFA" w:rsidR="00050979" w:rsidRPr="00EA7053" w:rsidRDefault="00050979" w:rsidP="00050979">
            <w:pPr>
              <w:jc w:val="center"/>
              <w:rPr>
                <w:rFonts w:cs="Calibri"/>
                <w:color w:val="000000"/>
                <w:sz w:val="18"/>
                <w:szCs w:val="18"/>
              </w:rPr>
            </w:pPr>
            <w:r>
              <w:rPr>
                <w:rFonts w:cs="Calibri"/>
                <w:color w:val="000000"/>
                <w:sz w:val="18"/>
                <w:szCs w:val="18"/>
              </w:rPr>
              <w:t>2,2</w:t>
            </w:r>
          </w:p>
        </w:tc>
        <w:tc>
          <w:tcPr>
            <w:tcW w:w="595" w:type="dxa"/>
            <w:tcBorders>
              <w:top w:val="nil"/>
              <w:left w:val="nil"/>
              <w:bottom w:val="nil"/>
              <w:right w:val="nil"/>
            </w:tcBorders>
            <w:shd w:val="clear" w:color="auto" w:fill="auto"/>
            <w:noWrap/>
            <w:vAlign w:val="center"/>
            <w:hideMark/>
          </w:tcPr>
          <w:p w14:paraId="72B8D29E" w14:textId="27CF2735" w:rsidR="00050979" w:rsidRPr="00EA7053" w:rsidRDefault="00050979" w:rsidP="00050979">
            <w:pPr>
              <w:jc w:val="center"/>
              <w:rPr>
                <w:rFonts w:cs="Calibri"/>
                <w:color w:val="000000"/>
                <w:sz w:val="18"/>
                <w:szCs w:val="18"/>
              </w:rPr>
            </w:pPr>
            <w:r>
              <w:rPr>
                <w:rFonts w:cs="Calibri"/>
                <w:color w:val="000000"/>
                <w:sz w:val="18"/>
                <w:szCs w:val="18"/>
              </w:rPr>
              <w:t>2,2</w:t>
            </w:r>
          </w:p>
        </w:tc>
      </w:tr>
      <w:tr w:rsidR="00050979" w:rsidRPr="00EA7053" w14:paraId="0E48DD42" w14:textId="77777777" w:rsidTr="00CC1F9E">
        <w:trPr>
          <w:trHeight w:val="270"/>
        </w:trPr>
        <w:tc>
          <w:tcPr>
            <w:tcW w:w="423" w:type="dxa"/>
            <w:tcBorders>
              <w:top w:val="nil"/>
              <w:left w:val="nil"/>
              <w:bottom w:val="nil"/>
              <w:right w:val="nil"/>
            </w:tcBorders>
            <w:shd w:val="clear" w:color="auto" w:fill="auto"/>
            <w:noWrap/>
            <w:vAlign w:val="center"/>
            <w:hideMark/>
          </w:tcPr>
          <w:p w14:paraId="1C266DE3" w14:textId="4EBE5018" w:rsidR="00050979" w:rsidRPr="00EA7053" w:rsidRDefault="00050979" w:rsidP="00050979">
            <w:pPr>
              <w:jc w:val="center"/>
              <w:rPr>
                <w:rFonts w:cs="Calibri"/>
                <w:color w:val="000000"/>
                <w:sz w:val="18"/>
                <w:szCs w:val="18"/>
              </w:rPr>
            </w:pPr>
            <w:r>
              <w:rPr>
                <w:rFonts w:cs="Calibri"/>
                <w:color w:val="000000"/>
                <w:sz w:val="18"/>
                <w:szCs w:val="18"/>
              </w:rPr>
              <w:t>11</w:t>
            </w:r>
          </w:p>
        </w:tc>
        <w:tc>
          <w:tcPr>
            <w:tcW w:w="3688" w:type="dxa"/>
            <w:tcBorders>
              <w:top w:val="nil"/>
              <w:left w:val="nil"/>
              <w:bottom w:val="nil"/>
              <w:right w:val="nil"/>
            </w:tcBorders>
            <w:shd w:val="clear" w:color="auto" w:fill="auto"/>
            <w:vAlign w:val="center"/>
            <w:hideMark/>
          </w:tcPr>
          <w:p w14:paraId="095255D1" w14:textId="65539BD1" w:rsidR="00050979" w:rsidRPr="00EA7053" w:rsidRDefault="00050979" w:rsidP="00050979">
            <w:pPr>
              <w:rPr>
                <w:rFonts w:cs="Calibri"/>
                <w:color w:val="000000"/>
                <w:sz w:val="18"/>
                <w:szCs w:val="18"/>
              </w:rPr>
            </w:pPr>
            <w:r>
              <w:rPr>
                <w:rFonts w:cs="Calibri"/>
                <w:color w:val="000000"/>
                <w:sz w:val="18"/>
                <w:szCs w:val="18"/>
              </w:rPr>
              <w:t>Priem. mesačná mzda v hospodárstve (reálny rast)</w:t>
            </w:r>
          </w:p>
        </w:tc>
        <w:tc>
          <w:tcPr>
            <w:tcW w:w="858" w:type="dxa"/>
            <w:tcBorders>
              <w:top w:val="nil"/>
              <w:left w:val="nil"/>
              <w:bottom w:val="nil"/>
              <w:right w:val="nil"/>
            </w:tcBorders>
            <w:shd w:val="clear" w:color="auto" w:fill="auto"/>
            <w:noWrap/>
            <w:vAlign w:val="center"/>
            <w:hideMark/>
          </w:tcPr>
          <w:p w14:paraId="36B2D6D1" w14:textId="7A5D0CD0"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05E7E9FE" w14:textId="4200B642" w:rsidR="00050979" w:rsidRPr="00EA7053" w:rsidRDefault="00050979" w:rsidP="00050979">
            <w:pPr>
              <w:jc w:val="center"/>
              <w:rPr>
                <w:rFonts w:cs="Calibri"/>
                <w:color w:val="000000"/>
                <w:sz w:val="18"/>
                <w:szCs w:val="18"/>
              </w:rPr>
            </w:pPr>
            <w:r>
              <w:rPr>
                <w:rFonts w:cs="Calibri"/>
                <w:color w:val="000000"/>
                <w:sz w:val="18"/>
                <w:szCs w:val="18"/>
              </w:rPr>
              <w:t>-4,5</w:t>
            </w:r>
          </w:p>
        </w:tc>
        <w:tc>
          <w:tcPr>
            <w:tcW w:w="595" w:type="dxa"/>
            <w:tcBorders>
              <w:top w:val="nil"/>
              <w:left w:val="nil"/>
              <w:bottom w:val="nil"/>
              <w:right w:val="nil"/>
            </w:tcBorders>
            <w:shd w:val="clear" w:color="auto" w:fill="auto"/>
            <w:noWrap/>
            <w:vAlign w:val="center"/>
            <w:hideMark/>
          </w:tcPr>
          <w:p w14:paraId="2D08757D" w14:textId="77F6353D" w:rsidR="00050979" w:rsidRPr="00EA7053" w:rsidRDefault="00050979" w:rsidP="00050979">
            <w:pPr>
              <w:jc w:val="center"/>
              <w:rPr>
                <w:rFonts w:cs="Calibri"/>
                <w:color w:val="000000"/>
                <w:sz w:val="18"/>
                <w:szCs w:val="18"/>
              </w:rPr>
            </w:pPr>
            <w:r>
              <w:rPr>
                <w:rFonts w:cs="Calibri"/>
                <w:color w:val="000000"/>
                <w:sz w:val="18"/>
                <w:szCs w:val="18"/>
              </w:rPr>
              <w:t>-0,8</w:t>
            </w:r>
          </w:p>
        </w:tc>
        <w:tc>
          <w:tcPr>
            <w:tcW w:w="595" w:type="dxa"/>
            <w:tcBorders>
              <w:top w:val="nil"/>
              <w:left w:val="nil"/>
              <w:bottom w:val="nil"/>
              <w:right w:val="nil"/>
            </w:tcBorders>
            <w:shd w:val="clear" w:color="auto" w:fill="auto"/>
            <w:noWrap/>
            <w:vAlign w:val="center"/>
            <w:hideMark/>
          </w:tcPr>
          <w:p w14:paraId="38900970" w14:textId="39A6ECB6" w:rsidR="00050979" w:rsidRPr="00EA7053" w:rsidRDefault="00050979" w:rsidP="00050979">
            <w:pPr>
              <w:jc w:val="center"/>
              <w:rPr>
                <w:rFonts w:cs="Calibri"/>
                <w:color w:val="000000"/>
                <w:sz w:val="18"/>
                <w:szCs w:val="18"/>
              </w:rPr>
            </w:pPr>
            <w:r>
              <w:rPr>
                <w:rFonts w:cs="Calibri"/>
                <w:color w:val="000000"/>
                <w:sz w:val="18"/>
                <w:szCs w:val="18"/>
              </w:rPr>
              <w:t>3,2</w:t>
            </w:r>
          </w:p>
        </w:tc>
        <w:tc>
          <w:tcPr>
            <w:tcW w:w="595" w:type="dxa"/>
            <w:tcBorders>
              <w:top w:val="nil"/>
              <w:left w:val="nil"/>
              <w:bottom w:val="nil"/>
              <w:right w:val="nil"/>
            </w:tcBorders>
            <w:shd w:val="clear" w:color="auto" w:fill="auto"/>
            <w:noWrap/>
            <w:vAlign w:val="center"/>
            <w:hideMark/>
          </w:tcPr>
          <w:p w14:paraId="08C6DD0A" w14:textId="007C4542" w:rsidR="00050979" w:rsidRPr="00EA7053" w:rsidRDefault="00050979" w:rsidP="00050979">
            <w:pPr>
              <w:jc w:val="center"/>
              <w:rPr>
                <w:rFonts w:cs="Calibri"/>
                <w:color w:val="000000"/>
                <w:sz w:val="18"/>
                <w:szCs w:val="18"/>
              </w:rPr>
            </w:pPr>
            <w:r>
              <w:rPr>
                <w:rFonts w:cs="Calibri"/>
                <w:color w:val="000000"/>
                <w:sz w:val="18"/>
                <w:szCs w:val="18"/>
              </w:rPr>
              <w:t>1,4</w:t>
            </w:r>
          </w:p>
        </w:tc>
        <w:tc>
          <w:tcPr>
            <w:tcW w:w="595" w:type="dxa"/>
            <w:tcBorders>
              <w:top w:val="nil"/>
              <w:left w:val="nil"/>
              <w:bottom w:val="nil"/>
              <w:right w:val="nil"/>
            </w:tcBorders>
            <w:shd w:val="clear" w:color="auto" w:fill="auto"/>
            <w:noWrap/>
            <w:vAlign w:val="center"/>
            <w:hideMark/>
          </w:tcPr>
          <w:p w14:paraId="501A89D2" w14:textId="69CA0A18" w:rsidR="00050979" w:rsidRPr="00EA7053" w:rsidRDefault="00050979" w:rsidP="00050979">
            <w:pPr>
              <w:jc w:val="center"/>
              <w:rPr>
                <w:rFonts w:cs="Calibri"/>
                <w:color w:val="000000"/>
                <w:sz w:val="18"/>
                <w:szCs w:val="18"/>
              </w:rPr>
            </w:pPr>
            <w:r>
              <w:rPr>
                <w:rFonts w:cs="Calibri"/>
                <w:color w:val="000000"/>
                <w:sz w:val="18"/>
                <w:szCs w:val="18"/>
              </w:rPr>
              <w:t>2,0</w:t>
            </w:r>
          </w:p>
        </w:tc>
        <w:tc>
          <w:tcPr>
            <w:tcW w:w="595" w:type="dxa"/>
            <w:tcBorders>
              <w:top w:val="nil"/>
              <w:left w:val="nil"/>
              <w:bottom w:val="nil"/>
              <w:right w:val="nil"/>
            </w:tcBorders>
            <w:shd w:val="clear" w:color="auto" w:fill="auto"/>
            <w:noWrap/>
            <w:vAlign w:val="center"/>
            <w:hideMark/>
          </w:tcPr>
          <w:p w14:paraId="2526182E" w14:textId="1352DDDC" w:rsidR="00050979" w:rsidRPr="00EA7053" w:rsidRDefault="00050979" w:rsidP="00050979">
            <w:pPr>
              <w:jc w:val="center"/>
              <w:rPr>
                <w:rFonts w:cs="Calibri"/>
                <w:color w:val="000000"/>
                <w:sz w:val="18"/>
                <w:szCs w:val="18"/>
              </w:rPr>
            </w:pPr>
            <w:r>
              <w:rPr>
                <w:rFonts w:cs="Calibri"/>
                <w:color w:val="000000"/>
                <w:sz w:val="18"/>
                <w:szCs w:val="18"/>
              </w:rPr>
              <w:t>1,7</w:t>
            </w:r>
          </w:p>
        </w:tc>
        <w:tc>
          <w:tcPr>
            <w:tcW w:w="595" w:type="dxa"/>
            <w:tcBorders>
              <w:top w:val="nil"/>
              <w:left w:val="nil"/>
              <w:bottom w:val="nil"/>
              <w:right w:val="nil"/>
            </w:tcBorders>
            <w:shd w:val="clear" w:color="auto" w:fill="auto"/>
            <w:noWrap/>
            <w:vAlign w:val="center"/>
            <w:hideMark/>
          </w:tcPr>
          <w:p w14:paraId="417A5CDA" w14:textId="01DFD59B" w:rsidR="00050979" w:rsidRPr="00EA7053" w:rsidRDefault="00050979" w:rsidP="00050979">
            <w:pPr>
              <w:jc w:val="center"/>
              <w:rPr>
                <w:rFonts w:cs="Calibri"/>
                <w:color w:val="000000"/>
                <w:sz w:val="18"/>
                <w:szCs w:val="18"/>
              </w:rPr>
            </w:pPr>
            <w:r>
              <w:rPr>
                <w:rFonts w:cs="Calibri"/>
                <w:color w:val="000000"/>
                <w:sz w:val="18"/>
                <w:szCs w:val="18"/>
              </w:rPr>
              <w:t>2,2</w:t>
            </w:r>
          </w:p>
        </w:tc>
      </w:tr>
      <w:tr w:rsidR="00050979" w:rsidRPr="00EA7053" w14:paraId="549CE8E4" w14:textId="77777777" w:rsidTr="00CC1F9E">
        <w:trPr>
          <w:trHeight w:val="270"/>
        </w:trPr>
        <w:tc>
          <w:tcPr>
            <w:tcW w:w="423" w:type="dxa"/>
            <w:tcBorders>
              <w:top w:val="nil"/>
              <w:left w:val="nil"/>
              <w:bottom w:val="nil"/>
              <w:right w:val="nil"/>
            </w:tcBorders>
            <w:shd w:val="clear" w:color="auto" w:fill="auto"/>
            <w:noWrap/>
            <w:vAlign w:val="center"/>
            <w:hideMark/>
          </w:tcPr>
          <w:p w14:paraId="1C5CDA16" w14:textId="6F685212" w:rsidR="00050979" w:rsidRPr="00EA7053" w:rsidRDefault="00050979" w:rsidP="00050979">
            <w:pPr>
              <w:jc w:val="center"/>
              <w:rPr>
                <w:rFonts w:cs="Calibri"/>
                <w:color w:val="000000"/>
                <w:sz w:val="18"/>
                <w:szCs w:val="18"/>
              </w:rPr>
            </w:pPr>
            <w:r>
              <w:rPr>
                <w:rFonts w:cs="Calibri"/>
                <w:color w:val="000000"/>
                <w:sz w:val="18"/>
                <w:szCs w:val="18"/>
              </w:rPr>
              <w:t>12</w:t>
            </w:r>
          </w:p>
        </w:tc>
        <w:tc>
          <w:tcPr>
            <w:tcW w:w="3688" w:type="dxa"/>
            <w:tcBorders>
              <w:top w:val="nil"/>
              <w:left w:val="nil"/>
              <w:bottom w:val="nil"/>
              <w:right w:val="nil"/>
            </w:tcBorders>
            <w:shd w:val="clear" w:color="auto" w:fill="auto"/>
            <w:vAlign w:val="center"/>
            <w:hideMark/>
          </w:tcPr>
          <w:p w14:paraId="31273ECE" w14:textId="6FF7861F" w:rsidR="00050979" w:rsidRPr="00EA7053" w:rsidRDefault="00050979" w:rsidP="00050979">
            <w:pPr>
              <w:rPr>
                <w:rFonts w:cs="Calibri"/>
                <w:color w:val="000000"/>
                <w:sz w:val="18"/>
                <w:szCs w:val="18"/>
              </w:rPr>
            </w:pPr>
            <w:r>
              <w:rPr>
                <w:rFonts w:cs="Calibri"/>
                <w:color w:val="000000"/>
                <w:sz w:val="18"/>
                <w:szCs w:val="18"/>
              </w:rPr>
              <w:t>Rast zamestnanosti, podľa ESA</w:t>
            </w:r>
          </w:p>
        </w:tc>
        <w:tc>
          <w:tcPr>
            <w:tcW w:w="858" w:type="dxa"/>
            <w:tcBorders>
              <w:top w:val="nil"/>
              <w:left w:val="nil"/>
              <w:bottom w:val="nil"/>
              <w:right w:val="nil"/>
            </w:tcBorders>
            <w:shd w:val="clear" w:color="auto" w:fill="auto"/>
            <w:noWrap/>
            <w:vAlign w:val="center"/>
            <w:hideMark/>
          </w:tcPr>
          <w:p w14:paraId="49A1433F" w14:textId="2DD08AA2"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4A9D9CA1" w14:textId="5F896BE5" w:rsidR="00050979" w:rsidRPr="00EA7053" w:rsidRDefault="00050979" w:rsidP="00050979">
            <w:pPr>
              <w:jc w:val="center"/>
              <w:rPr>
                <w:rFonts w:cs="Calibri"/>
                <w:color w:val="000000"/>
                <w:sz w:val="18"/>
                <w:szCs w:val="18"/>
              </w:rPr>
            </w:pPr>
            <w:r>
              <w:rPr>
                <w:rFonts w:cs="Calibri"/>
                <w:color w:val="000000"/>
                <w:sz w:val="18"/>
                <w:szCs w:val="18"/>
              </w:rPr>
              <w:t>1,8</w:t>
            </w:r>
          </w:p>
        </w:tc>
        <w:tc>
          <w:tcPr>
            <w:tcW w:w="595" w:type="dxa"/>
            <w:tcBorders>
              <w:top w:val="nil"/>
              <w:left w:val="nil"/>
              <w:bottom w:val="nil"/>
              <w:right w:val="nil"/>
            </w:tcBorders>
            <w:shd w:val="clear" w:color="auto" w:fill="auto"/>
            <w:noWrap/>
            <w:vAlign w:val="center"/>
            <w:hideMark/>
          </w:tcPr>
          <w:p w14:paraId="1B8EB70A" w14:textId="471D8A96" w:rsidR="00050979" w:rsidRPr="00EA7053" w:rsidRDefault="00050979" w:rsidP="00050979">
            <w:pPr>
              <w:jc w:val="center"/>
              <w:rPr>
                <w:rFonts w:cs="Calibri"/>
                <w:color w:val="000000"/>
                <w:sz w:val="18"/>
                <w:szCs w:val="18"/>
              </w:rPr>
            </w:pPr>
            <w:r>
              <w:rPr>
                <w:rFonts w:cs="Calibri"/>
                <w:color w:val="000000"/>
                <w:sz w:val="18"/>
                <w:szCs w:val="18"/>
              </w:rPr>
              <w:t>0,3</w:t>
            </w:r>
          </w:p>
        </w:tc>
        <w:tc>
          <w:tcPr>
            <w:tcW w:w="595" w:type="dxa"/>
            <w:tcBorders>
              <w:top w:val="nil"/>
              <w:left w:val="nil"/>
              <w:bottom w:val="nil"/>
              <w:right w:val="nil"/>
            </w:tcBorders>
            <w:shd w:val="clear" w:color="auto" w:fill="auto"/>
            <w:noWrap/>
            <w:vAlign w:val="center"/>
            <w:hideMark/>
          </w:tcPr>
          <w:p w14:paraId="4D10B959" w14:textId="524EF778" w:rsidR="00050979" w:rsidRPr="00EA7053" w:rsidRDefault="00050979" w:rsidP="00050979">
            <w:pPr>
              <w:jc w:val="center"/>
              <w:rPr>
                <w:rFonts w:cs="Calibri"/>
                <w:color w:val="000000"/>
                <w:sz w:val="18"/>
                <w:szCs w:val="18"/>
              </w:rPr>
            </w:pPr>
            <w:r>
              <w:rPr>
                <w:rFonts w:cs="Calibri"/>
                <w:color w:val="000000"/>
                <w:sz w:val="18"/>
                <w:szCs w:val="18"/>
              </w:rPr>
              <w:t>0,2</w:t>
            </w:r>
          </w:p>
        </w:tc>
        <w:tc>
          <w:tcPr>
            <w:tcW w:w="595" w:type="dxa"/>
            <w:tcBorders>
              <w:top w:val="nil"/>
              <w:left w:val="nil"/>
              <w:bottom w:val="nil"/>
              <w:right w:val="nil"/>
            </w:tcBorders>
            <w:shd w:val="clear" w:color="auto" w:fill="auto"/>
            <w:noWrap/>
            <w:vAlign w:val="center"/>
            <w:hideMark/>
          </w:tcPr>
          <w:p w14:paraId="15A36673" w14:textId="410A0450" w:rsidR="00050979" w:rsidRPr="00EA7053" w:rsidRDefault="00050979" w:rsidP="00050979">
            <w:pPr>
              <w:jc w:val="center"/>
              <w:rPr>
                <w:rFonts w:cs="Calibri"/>
                <w:color w:val="000000"/>
                <w:sz w:val="18"/>
                <w:szCs w:val="18"/>
              </w:rPr>
            </w:pPr>
            <w:r>
              <w:rPr>
                <w:rFonts w:cs="Calibri"/>
                <w:color w:val="000000"/>
                <w:sz w:val="18"/>
                <w:szCs w:val="18"/>
              </w:rPr>
              <w:t>0,7</w:t>
            </w:r>
          </w:p>
        </w:tc>
        <w:tc>
          <w:tcPr>
            <w:tcW w:w="595" w:type="dxa"/>
            <w:tcBorders>
              <w:top w:val="nil"/>
              <w:left w:val="nil"/>
              <w:bottom w:val="nil"/>
              <w:right w:val="nil"/>
            </w:tcBorders>
            <w:shd w:val="clear" w:color="auto" w:fill="auto"/>
            <w:noWrap/>
            <w:vAlign w:val="center"/>
            <w:hideMark/>
          </w:tcPr>
          <w:p w14:paraId="389DF875" w14:textId="12E48773" w:rsidR="00050979" w:rsidRPr="00EA7053" w:rsidRDefault="00050979" w:rsidP="00050979">
            <w:pPr>
              <w:jc w:val="center"/>
              <w:rPr>
                <w:rFonts w:cs="Calibri"/>
                <w:color w:val="000000"/>
                <w:sz w:val="18"/>
                <w:szCs w:val="18"/>
              </w:rPr>
            </w:pPr>
            <w:r>
              <w:rPr>
                <w:rFonts w:cs="Calibri"/>
                <w:color w:val="000000"/>
                <w:sz w:val="18"/>
                <w:szCs w:val="18"/>
              </w:rPr>
              <w:t>0,5</w:t>
            </w:r>
          </w:p>
        </w:tc>
        <w:tc>
          <w:tcPr>
            <w:tcW w:w="595" w:type="dxa"/>
            <w:tcBorders>
              <w:top w:val="nil"/>
              <w:left w:val="nil"/>
              <w:bottom w:val="nil"/>
              <w:right w:val="nil"/>
            </w:tcBorders>
            <w:shd w:val="clear" w:color="auto" w:fill="auto"/>
            <w:noWrap/>
            <w:vAlign w:val="center"/>
            <w:hideMark/>
          </w:tcPr>
          <w:p w14:paraId="1F518090" w14:textId="2D5B37D9" w:rsidR="00050979" w:rsidRPr="00EA7053" w:rsidRDefault="00050979" w:rsidP="00050979">
            <w:pPr>
              <w:jc w:val="center"/>
              <w:rPr>
                <w:rFonts w:cs="Calibri"/>
                <w:color w:val="000000"/>
                <w:sz w:val="18"/>
                <w:szCs w:val="18"/>
              </w:rPr>
            </w:pPr>
            <w:r>
              <w:rPr>
                <w:rFonts w:cs="Calibri"/>
                <w:color w:val="000000"/>
                <w:sz w:val="18"/>
                <w:szCs w:val="18"/>
              </w:rPr>
              <w:t>0,1</w:t>
            </w:r>
          </w:p>
        </w:tc>
        <w:tc>
          <w:tcPr>
            <w:tcW w:w="595" w:type="dxa"/>
            <w:tcBorders>
              <w:top w:val="nil"/>
              <w:left w:val="nil"/>
              <w:bottom w:val="nil"/>
              <w:right w:val="nil"/>
            </w:tcBorders>
            <w:shd w:val="clear" w:color="auto" w:fill="auto"/>
            <w:noWrap/>
            <w:vAlign w:val="center"/>
            <w:hideMark/>
          </w:tcPr>
          <w:p w14:paraId="14BDE8E9" w14:textId="2EE6C5AC" w:rsidR="00050979" w:rsidRPr="00EA7053" w:rsidRDefault="00050979" w:rsidP="00050979">
            <w:pPr>
              <w:jc w:val="center"/>
              <w:rPr>
                <w:rFonts w:cs="Calibri"/>
                <w:color w:val="000000"/>
                <w:sz w:val="18"/>
                <w:szCs w:val="18"/>
              </w:rPr>
            </w:pPr>
            <w:r>
              <w:rPr>
                <w:rFonts w:cs="Calibri"/>
                <w:color w:val="000000"/>
                <w:sz w:val="18"/>
                <w:szCs w:val="18"/>
              </w:rPr>
              <w:t>-0,2</w:t>
            </w:r>
          </w:p>
        </w:tc>
      </w:tr>
      <w:tr w:rsidR="00050979" w:rsidRPr="00EA7053" w14:paraId="5BBAC3C6" w14:textId="77777777" w:rsidTr="00CC1F9E">
        <w:trPr>
          <w:trHeight w:val="270"/>
        </w:trPr>
        <w:tc>
          <w:tcPr>
            <w:tcW w:w="423" w:type="dxa"/>
            <w:tcBorders>
              <w:top w:val="nil"/>
              <w:left w:val="nil"/>
              <w:bottom w:val="nil"/>
              <w:right w:val="nil"/>
            </w:tcBorders>
            <w:shd w:val="clear" w:color="auto" w:fill="auto"/>
            <w:noWrap/>
            <w:vAlign w:val="center"/>
            <w:hideMark/>
          </w:tcPr>
          <w:p w14:paraId="229F6027" w14:textId="611E7359" w:rsidR="00050979" w:rsidRPr="00EA7053" w:rsidRDefault="00050979" w:rsidP="00050979">
            <w:pPr>
              <w:jc w:val="center"/>
              <w:rPr>
                <w:rFonts w:cs="Calibri"/>
                <w:color w:val="000000"/>
                <w:sz w:val="18"/>
                <w:szCs w:val="18"/>
              </w:rPr>
            </w:pPr>
            <w:r>
              <w:rPr>
                <w:rFonts w:cs="Calibri"/>
                <w:color w:val="000000"/>
                <w:sz w:val="18"/>
                <w:szCs w:val="18"/>
              </w:rPr>
              <w:t>13</w:t>
            </w:r>
          </w:p>
        </w:tc>
        <w:tc>
          <w:tcPr>
            <w:tcW w:w="3688" w:type="dxa"/>
            <w:tcBorders>
              <w:top w:val="nil"/>
              <w:left w:val="nil"/>
              <w:bottom w:val="nil"/>
              <w:right w:val="nil"/>
            </w:tcBorders>
            <w:shd w:val="clear" w:color="auto" w:fill="auto"/>
            <w:vAlign w:val="center"/>
            <w:hideMark/>
          </w:tcPr>
          <w:p w14:paraId="57386C2B" w14:textId="63D3131F" w:rsidR="00050979" w:rsidRPr="00EA7053" w:rsidRDefault="00050979" w:rsidP="00050979">
            <w:pPr>
              <w:rPr>
                <w:rFonts w:cs="Calibri"/>
                <w:color w:val="000000"/>
                <w:sz w:val="18"/>
                <w:szCs w:val="18"/>
              </w:rPr>
            </w:pPr>
            <w:r>
              <w:rPr>
                <w:rFonts w:cs="Calibri"/>
                <w:color w:val="000000"/>
                <w:sz w:val="18"/>
                <w:szCs w:val="18"/>
              </w:rPr>
              <w:t>Miera nezamestnanosti, disponibilná (UPSVaR)</w:t>
            </w:r>
          </w:p>
        </w:tc>
        <w:tc>
          <w:tcPr>
            <w:tcW w:w="858" w:type="dxa"/>
            <w:tcBorders>
              <w:top w:val="nil"/>
              <w:left w:val="nil"/>
              <w:bottom w:val="nil"/>
              <w:right w:val="nil"/>
            </w:tcBorders>
            <w:shd w:val="clear" w:color="auto" w:fill="auto"/>
            <w:noWrap/>
            <w:vAlign w:val="center"/>
            <w:hideMark/>
          </w:tcPr>
          <w:p w14:paraId="2A9A89B6" w14:textId="70E36D1E"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nil"/>
              <w:right w:val="nil"/>
            </w:tcBorders>
            <w:shd w:val="clear" w:color="auto" w:fill="auto"/>
            <w:noWrap/>
            <w:vAlign w:val="center"/>
            <w:hideMark/>
          </w:tcPr>
          <w:p w14:paraId="05A1C7AA" w14:textId="634A320E" w:rsidR="00050979" w:rsidRPr="00EA7053" w:rsidRDefault="00050979" w:rsidP="00050979">
            <w:pPr>
              <w:jc w:val="center"/>
              <w:rPr>
                <w:rFonts w:cs="Calibri"/>
                <w:color w:val="000000"/>
                <w:sz w:val="18"/>
                <w:szCs w:val="18"/>
              </w:rPr>
            </w:pPr>
            <w:r>
              <w:rPr>
                <w:rFonts w:cs="Calibri"/>
                <w:color w:val="000000"/>
                <w:sz w:val="18"/>
                <w:szCs w:val="18"/>
              </w:rPr>
              <w:t>6,3</w:t>
            </w:r>
          </w:p>
        </w:tc>
        <w:tc>
          <w:tcPr>
            <w:tcW w:w="595" w:type="dxa"/>
            <w:tcBorders>
              <w:top w:val="nil"/>
              <w:left w:val="nil"/>
              <w:bottom w:val="nil"/>
              <w:right w:val="nil"/>
            </w:tcBorders>
            <w:shd w:val="clear" w:color="auto" w:fill="auto"/>
            <w:noWrap/>
            <w:vAlign w:val="center"/>
            <w:hideMark/>
          </w:tcPr>
          <w:p w14:paraId="2A756F3E" w14:textId="33229159" w:rsidR="00050979" w:rsidRPr="00EA7053" w:rsidRDefault="00050979" w:rsidP="00050979">
            <w:pPr>
              <w:jc w:val="center"/>
              <w:rPr>
                <w:rFonts w:cs="Calibri"/>
                <w:color w:val="000000"/>
                <w:sz w:val="18"/>
                <w:szCs w:val="18"/>
              </w:rPr>
            </w:pPr>
            <w:r>
              <w:rPr>
                <w:rFonts w:cs="Calibri"/>
                <w:color w:val="000000"/>
                <w:sz w:val="18"/>
                <w:szCs w:val="18"/>
              </w:rPr>
              <w:t>5,3</w:t>
            </w:r>
          </w:p>
        </w:tc>
        <w:tc>
          <w:tcPr>
            <w:tcW w:w="595" w:type="dxa"/>
            <w:tcBorders>
              <w:top w:val="nil"/>
              <w:left w:val="nil"/>
              <w:bottom w:val="nil"/>
              <w:right w:val="nil"/>
            </w:tcBorders>
            <w:shd w:val="clear" w:color="auto" w:fill="auto"/>
            <w:noWrap/>
            <w:vAlign w:val="center"/>
            <w:hideMark/>
          </w:tcPr>
          <w:p w14:paraId="763976FC" w14:textId="2D24BDFB" w:rsidR="00050979" w:rsidRPr="00EA7053" w:rsidRDefault="00050979" w:rsidP="00050979">
            <w:pPr>
              <w:jc w:val="center"/>
              <w:rPr>
                <w:rFonts w:cs="Calibri"/>
                <w:color w:val="000000"/>
                <w:sz w:val="18"/>
                <w:szCs w:val="18"/>
              </w:rPr>
            </w:pPr>
            <w:r>
              <w:rPr>
                <w:rFonts w:cs="Calibri"/>
                <w:color w:val="000000"/>
                <w:sz w:val="18"/>
                <w:szCs w:val="18"/>
              </w:rPr>
              <w:t>5,0</w:t>
            </w:r>
          </w:p>
        </w:tc>
        <w:tc>
          <w:tcPr>
            <w:tcW w:w="595" w:type="dxa"/>
            <w:tcBorders>
              <w:top w:val="nil"/>
              <w:left w:val="nil"/>
              <w:bottom w:val="nil"/>
              <w:right w:val="nil"/>
            </w:tcBorders>
            <w:shd w:val="clear" w:color="auto" w:fill="auto"/>
            <w:noWrap/>
            <w:vAlign w:val="center"/>
            <w:hideMark/>
          </w:tcPr>
          <w:p w14:paraId="15969D1B" w14:textId="0E48F989" w:rsidR="00050979" w:rsidRPr="00EA7053" w:rsidRDefault="00050979" w:rsidP="00050979">
            <w:pPr>
              <w:jc w:val="center"/>
              <w:rPr>
                <w:rFonts w:cs="Calibri"/>
                <w:color w:val="000000"/>
                <w:sz w:val="18"/>
                <w:szCs w:val="18"/>
              </w:rPr>
            </w:pPr>
            <w:r>
              <w:rPr>
                <w:rFonts w:cs="Calibri"/>
                <w:color w:val="000000"/>
                <w:sz w:val="18"/>
                <w:szCs w:val="18"/>
              </w:rPr>
              <w:t>4,7</w:t>
            </w:r>
          </w:p>
        </w:tc>
        <w:tc>
          <w:tcPr>
            <w:tcW w:w="595" w:type="dxa"/>
            <w:tcBorders>
              <w:top w:val="nil"/>
              <w:left w:val="nil"/>
              <w:bottom w:val="nil"/>
              <w:right w:val="nil"/>
            </w:tcBorders>
            <w:shd w:val="clear" w:color="auto" w:fill="auto"/>
            <w:noWrap/>
            <w:vAlign w:val="center"/>
            <w:hideMark/>
          </w:tcPr>
          <w:p w14:paraId="4E15DC84" w14:textId="454458F4" w:rsidR="00050979" w:rsidRPr="00EA7053" w:rsidRDefault="00050979" w:rsidP="00050979">
            <w:pPr>
              <w:jc w:val="center"/>
              <w:rPr>
                <w:rFonts w:cs="Calibri"/>
                <w:color w:val="000000"/>
                <w:sz w:val="18"/>
                <w:szCs w:val="18"/>
              </w:rPr>
            </w:pPr>
            <w:r>
              <w:rPr>
                <w:rFonts w:cs="Calibri"/>
                <w:color w:val="000000"/>
                <w:sz w:val="18"/>
                <w:szCs w:val="18"/>
              </w:rPr>
              <w:t>4,5</w:t>
            </w:r>
          </w:p>
        </w:tc>
        <w:tc>
          <w:tcPr>
            <w:tcW w:w="595" w:type="dxa"/>
            <w:tcBorders>
              <w:top w:val="nil"/>
              <w:left w:val="nil"/>
              <w:bottom w:val="nil"/>
              <w:right w:val="nil"/>
            </w:tcBorders>
            <w:shd w:val="clear" w:color="auto" w:fill="auto"/>
            <w:noWrap/>
            <w:vAlign w:val="center"/>
            <w:hideMark/>
          </w:tcPr>
          <w:p w14:paraId="37B98746" w14:textId="4FD1ECFA" w:rsidR="00050979" w:rsidRPr="00EA7053" w:rsidRDefault="00050979" w:rsidP="00050979">
            <w:pPr>
              <w:jc w:val="center"/>
              <w:rPr>
                <w:rFonts w:cs="Calibri"/>
                <w:color w:val="000000"/>
                <w:sz w:val="18"/>
                <w:szCs w:val="18"/>
              </w:rPr>
            </w:pPr>
            <w:r>
              <w:rPr>
                <w:rFonts w:cs="Calibri"/>
                <w:color w:val="000000"/>
                <w:sz w:val="18"/>
                <w:szCs w:val="18"/>
              </w:rPr>
              <w:t>4,5</w:t>
            </w:r>
          </w:p>
        </w:tc>
        <w:tc>
          <w:tcPr>
            <w:tcW w:w="595" w:type="dxa"/>
            <w:tcBorders>
              <w:top w:val="nil"/>
              <w:left w:val="nil"/>
              <w:bottom w:val="nil"/>
              <w:right w:val="nil"/>
            </w:tcBorders>
            <w:shd w:val="clear" w:color="auto" w:fill="auto"/>
            <w:noWrap/>
            <w:vAlign w:val="center"/>
            <w:hideMark/>
          </w:tcPr>
          <w:p w14:paraId="638761AB" w14:textId="31FC22CE" w:rsidR="00050979" w:rsidRPr="00EA7053" w:rsidRDefault="00050979" w:rsidP="00050979">
            <w:pPr>
              <w:jc w:val="center"/>
              <w:rPr>
                <w:rFonts w:cs="Calibri"/>
                <w:color w:val="000000"/>
                <w:sz w:val="18"/>
                <w:szCs w:val="18"/>
              </w:rPr>
            </w:pPr>
            <w:r>
              <w:rPr>
                <w:rFonts w:cs="Calibri"/>
                <w:color w:val="000000"/>
                <w:sz w:val="18"/>
                <w:szCs w:val="18"/>
              </w:rPr>
              <w:t>4,5</w:t>
            </w:r>
          </w:p>
        </w:tc>
      </w:tr>
      <w:tr w:rsidR="00050979" w:rsidRPr="00EA7053" w14:paraId="2D0510D1" w14:textId="77777777" w:rsidTr="00CC1F9E">
        <w:trPr>
          <w:trHeight w:val="285"/>
        </w:trPr>
        <w:tc>
          <w:tcPr>
            <w:tcW w:w="423" w:type="dxa"/>
            <w:tcBorders>
              <w:top w:val="nil"/>
              <w:left w:val="nil"/>
              <w:bottom w:val="single" w:sz="8" w:space="0" w:color="auto"/>
              <w:right w:val="nil"/>
            </w:tcBorders>
            <w:shd w:val="clear" w:color="auto" w:fill="auto"/>
            <w:noWrap/>
            <w:vAlign w:val="center"/>
            <w:hideMark/>
          </w:tcPr>
          <w:p w14:paraId="6E0500A9" w14:textId="388ED259" w:rsidR="00050979" w:rsidRPr="00EA7053" w:rsidRDefault="00050979" w:rsidP="00050979">
            <w:pPr>
              <w:jc w:val="center"/>
              <w:rPr>
                <w:rFonts w:cs="Calibri"/>
                <w:color w:val="000000"/>
                <w:sz w:val="18"/>
                <w:szCs w:val="18"/>
              </w:rPr>
            </w:pPr>
            <w:r>
              <w:rPr>
                <w:rFonts w:cs="Calibri"/>
                <w:color w:val="000000"/>
                <w:sz w:val="18"/>
                <w:szCs w:val="18"/>
              </w:rPr>
              <w:t>14</w:t>
            </w:r>
          </w:p>
        </w:tc>
        <w:tc>
          <w:tcPr>
            <w:tcW w:w="3688" w:type="dxa"/>
            <w:tcBorders>
              <w:top w:val="nil"/>
              <w:left w:val="nil"/>
              <w:bottom w:val="single" w:sz="8" w:space="0" w:color="auto"/>
              <w:right w:val="nil"/>
            </w:tcBorders>
            <w:shd w:val="clear" w:color="auto" w:fill="auto"/>
            <w:vAlign w:val="center"/>
            <w:hideMark/>
          </w:tcPr>
          <w:p w14:paraId="50F75758" w14:textId="5EC3F191" w:rsidR="00050979" w:rsidRPr="00EA7053" w:rsidRDefault="00050979" w:rsidP="00050979">
            <w:pPr>
              <w:rPr>
                <w:rFonts w:cs="Calibri"/>
                <w:color w:val="000000"/>
                <w:sz w:val="18"/>
                <w:szCs w:val="18"/>
              </w:rPr>
            </w:pPr>
            <w:r>
              <w:rPr>
                <w:rFonts w:cs="Calibri"/>
                <w:color w:val="000000"/>
                <w:sz w:val="18"/>
                <w:szCs w:val="18"/>
              </w:rPr>
              <w:t>Bilancia bežného účtu (podiel na HDP)</w:t>
            </w:r>
          </w:p>
        </w:tc>
        <w:tc>
          <w:tcPr>
            <w:tcW w:w="858" w:type="dxa"/>
            <w:tcBorders>
              <w:top w:val="nil"/>
              <w:left w:val="nil"/>
              <w:bottom w:val="single" w:sz="8" w:space="0" w:color="auto"/>
              <w:right w:val="nil"/>
            </w:tcBorders>
            <w:shd w:val="clear" w:color="auto" w:fill="auto"/>
            <w:noWrap/>
            <w:vAlign w:val="center"/>
            <w:hideMark/>
          </w:tcPr>
          <w:p w14:paraId="3BDEAB67" w14:textId="7BEE6E46" w:rsidR="00050979" w:rsidRPr="00EA7053" w:rsidRDefault="00050979" w:rsidP="00050979">
            <w:pPr>
              <w:jc w:val="center"/>
              <w:rPr>
                <w:rFonts w:cs="Calibri"/>
                <w:color w:val="000000"/>
                <w:sz w:val="18"/>
                <w:szCs w:val="18"/>
              </w:rPr>
            </w:pPr>
            <w:r>
              <w:rPr>
                <w:rFonts w:cs="Calibri"/>
                <w:color w:val="000000"/>
                <w:sz w:val="18"/>
                <w:szCs w:val="18"/>
              </w:rPr>
              <w:t>%</w:t>
            </w:r>
          </w:p>
        </w:tc>
        <w:tc>
          <w:tcPr>
            <w:tcW w:w="595" w:type="dxa"/>
            <w:tcBorders>
              <w:top w:val="nil"/>
              <w:left w:val="nil"/>
              <w:bottom w:val="single" w:sz="8" w:space="0" w:color="auto"/>
              <w:right w:val="nil"/>
            </w:tcBorders>
            <w:shd w:val="clear" w:color="auto" w:fill="auto"/>
            <w:noWrap/>
            <w:vAlign w:val="center"/>
            <w:hideMark/>
          </w:tcPr>
          <w:p w14:paraId="68625F7D" w14:textId="539DC284" w:rsidR="00050979" w:rsidRPr="00EA7053" w:rsidRDefault="00050979" w:rsidP="00050979">
            <w:pPr>
              <w:jc w:val="center"/>
              <w:rPr>
                <w:rFonts w:cs="Calibri"/>
                <w:color w:val="000000"/>
                <w:sz w:val="18"/>
                <w:szCs w:val="18"/>
              </w:rPr>
            </w:pPr>
            <w:r>
              <w:rPr>
                <w:rFonts w:cs="Calibri"/>
                <w:color w:val="000000"/>
                <w:sz w:val="18"/>
                <w:szCs w:val="18"/>
              </w:rPr>
              <w:t>-7,3</w:t>
            </w:r>
          </w:p>
        </w:tc>
        <w:tc>
          <w:tcPr>
            <w:tcW w:w="595" w:type="dxa"/>
            <w:tcBorders>
              <w:top w:val="nil"/>
              <w:left w:val="nil"/>
              <w:bottom w:val="single" w:sz="8" w:space="0" w:color="auto"/>
              <w:right w:val="nil"/>
            </w:tcBorders>
            <w:shd w:val="clear" w:color="auto" w:fill="auto"/>
            <w:noWrap/>
            <w:vAlign w:val="center"/>
            <w:hideMark/>
          </w:tcPr>
          <w:p w14:paraId="20F62CC8" w14:textId="2C02E0E9" w:rsidR="00050979" w:rsidRPr="00EA7053" w:rsidRDefault="00050979" w:rsidP="00050979">
            <w:pPr>
              <w:jc w:val="center"/>
              <w:rPr>
                <w:rFonts w:cs="Calibri"/>
                <w:color w:val="000000"/>
                <w:sz w:val="18"/>
                <w:szCs w:val="18"/>
              </w:rPr>
            </w:pPr>
            <w:r>
              <w:rPr>
                <w:rFonts w:cs="Calibri"/>
                <w:color w:val="000000"/>
                <w:sz w:val="18"/>
                <w:szCs w:val="18"/>
              </w:rPr>
              <w:t>-2,0</w:t>
            </w:r>
          </w:p>
        </w:tc>
        <w:tc>
          <w:tcPr>
            <w:tcW w:w="595" w:type="dxa"/>
            <w:tcBorders>
              <w:top w:val="nil"/>
              <w:left w:val="nil"/>
              <w:bottom w:val="single" w:sz="8" w:space="0" w:color="auto"/>
              <w:right w:val="nil"/>
            </w:tcBorders>
            <w:shd w:val="clear" w:color="auto" w:fill="auto"/>
            <w:noWrap/>
            <w:vAlign w:val="center"/>
            <w:hideMark/>
          </w:tcPr>
          <w:p w14:paraId="1F20BD7D" w14:textId="5CE9409C" w:rsidR="00050979" w:rsidRPr="00EA7053" w:rsidRDefault="00050979" w:rsidP="00050979">
            <w:pPr>
              <w:jc w:val="center"/>
              <w:rPr>
                <w:rFonts w:cs="Calibri"/>
                <w:color w:val="000000"/>
                <w:sz w:val="18"/>
                <w:szCs w:val="18"/>
              </w:rPr>
            </w:pPr>
            <w:r>
              <w:rPr>
                <w:rFonts w:cs="Calibri"/>
                <w:color w:val="000000"/>
                <w:sz w:val="18"/>
                <w:szCs w:val="18"/>
              </w:rPr>
              <w:t>-3,2</w:t>
            </w:r>
          </w:p>
        </w:tc>
        <w:tc>
          <w:tcPr>
            <w:tcW w:w="595" w:type="dxa"/>
            <w:tcBorders>
              <w:top w:val="nil"/>
              <w:left w:val="nil"/>
              <w:bottom w:val="single" w:sz="8" w:space="0" w:color="auto"/>
              <w:right w:val="nil"/>
            </w:tcBorders>
            <w:shd w:val="clear" w:color="auto" w:fill="auto"/>
            <w:noWrap/>
            <w:vAlign w:val="center"/>
            <w:hideMark/>
          </w:tcPr>
          <w:p w14:paraId="46122D2A" w14:textId="41F2069D" w:rsidR="00050979" w:rsidRPr="00EA7053" w:rsidRDefault="00050979" w:rsidP="00050979">
            <w:pPr>
              <w:jc w:val="center"/>
              <w:rPr>
                <w:rFonts w:cs="Calibri"/>
                <w:color w:val="000000"/>
                <w:sz w:val="18"/>
                <w:szCs w:val="18"/>
              </w:rPr>
            </w:pPr>
            <w:r>
              <w:rPr>
                <w:rFonts w:cs="Calibri"/>
                <w:color w:val="000000"/>
                <w:sz w:val="18"/>
                <w:szCs w:val="18"/>
              </w:rPr>
              <w:t>-3,9</w:t>
            </w:r>
          </w:p>
        </w:tc>
        <w:tc>
          <w:tcPr>
            <w:tcW w:w="595" w:type="dxa"/>
            <w:tcBorders>
              <w:top w:val="nil"/>
              <w:left w:val="nil"/>
              <w:bottom w:val="single" w:sz="8" w:space="0" w:color="auto"/>
              <w:right w:val="nil"/>
            </w:tcBorders>
            <w:shd w:val="clear" w:color="auto" w:fill="auto"/>
            <w:noWrap/>
            <w:vAlign w:val="center"/>
            <w:hideMark/>
          </w:tcPr>
          <w:p w14:paraId="425B8C69" w14:textId="4A681816" w:rsidR="00050979" w:rsidRPr="00EA7053" w:rsidRDefault="00050979" w:rsidP="00050979">
            <w:pPr>
              <w:jc w:val="center"/>
              <w:rPr>
                <w:rFonts w:cs="Calibri"/>
                <w:color w:val="000000"/>
                <w:sz w:val="18"/>
                <w:szCs w:val="18"/>
              </w:rPr>
            </w:pPr>
            <w:r>
              <w:rPr>
                <w:rFonts w:cs="Calibri"/>
                <w:color w:val="000000"/>
                <w:sz w:val="18"/>
                <w:szCs w:val="18"/>
              </w:rPr>
              <w:t>-3,2</w:t>
            </w:r>
          </w:p>
        </w:tc>
        <w:tc>
          <w:tcPr>
            <w:tcW w:w="595" w:type="dxa"/>
            <w:tcBorders>
              <w:top w:val="nil"/>
              <w:left w:val="nil"/>
              <w:bottom w:val="single" w:sz="8" w:space="0" w:color="auto"/>
              <w:right w:val="nil"/>
            </w:tcBorders>
            <w:shd w:val="clear" w:color="auto" w:fill="auto"/>
            <w:noWrap/>
            <w:vAlign w:val="center"/>
            <w:hideMark/>
          </w:tcPr>
          <w:p w14:paraId="4D265E0D" w14:textId="01AD950F" w:rsidR="00050979" w:rsidRPr="00EA7053" w:rsidRDefault="00050979" w:rsidP="00050979">
            <w:pPr>
              <w:jc w:val="center"/>
              <w:rPr>
                <w:rFonts w:cs="Calibri"/>
                <w:color w:val="000000"/>
                <w:sz w:val="18"/>
                <w:szCs w:val="18"/>
              </w:rPr>
            </w:pPr>
            <w:r>
              <w:rPr>
                <w:rFonts w:cs="Calibri"/>
                <w:color w:val="000000"/>
                <w:sz w:val="18"/>
                <w:szCs w:val="18"/>
              </w:rPr>
              <w:t>-2,5</w:t>
            </w:r>
          </w:p>
        </w:tc>
        <w:tc>
          <w:tcPr>
            <w:tcW w:w="595" w:type="dxa"/>
            <w:tcBorders>
              <w:top w:val="nil"/>
              <w:left w:val="nil"/>
              <w:bottom w:val="single" w:sz="8" w:space="0" w:color="auto"/>
              <w:right w:val="nil"/>
            </w:tcBorders>
            <w:shd w:val="clear" w:color="auto" w:fill="auto"/>
            <w:noWrap/>
            <w:vAlign w:val="center"/>
            <w:hideMark/>
          </w:tcPr>
          <w:p w14:paraId="53F3049E" w14:textId="47AAA13E" w:rsidR="00050979" w:rsidRPr="00EA7053" w:rsidRDefault="00050979" w:rsidP="00050979">
            <w:pPr>
              <w:jc w:val="center"/>
              <w:rPr>
                <w:rFonts w:cs="Calibri"/>
                <w:color w:val="000000"/>
                <w:sz w:val="18"/>
                <w:szCs w:val="18"/>
              </w:rPr>
            </w:pPr>
            <w:r>
              <w:rPr>
                <w:rFonts w:cs="Calibri"/>
                <w:color w:val="000000"/>
                <w:sz w:val="18"/>
                <w:szCs w:val="18"/>
              </w:rPr>
              <w:t>-2,2</w:t>
            </w:r>
          </w:p>
        </w:tc>
      </w:tr>
      <w:tr w:rsidR="00330ADF" w:rsidRPr="00EA7053" w14:paraId="0EF3F948" w14:textId="77777777" w:rsidTr="00DD6FE8">
        <w:trPr>
          <w:trHeight w:val="270"/>
        </w:trPr>
        <w:tc>
          <w:tcPr>
            <w:tcW w:w="9134" w:type="dxa"/>
            <w:gridSpan w:val="10"/>
            <w:tcBorders>
              <w:top w:val="single" w:sz="8" w:space="0" w:color="auto"/>
              <w:left w:val="nil"/>
              <w:bottom w:val="nil"/>
              <w:right w:val="nil"/>
            </w:tcBorders>
            <w:shd w:val="clear" w:color="auto" w:fill="auto"/>
            <w:vAlign w:val="center"/>
            <w:hideMark/>
          </w:tcPr>
          <w:p w14:paraId="3662FF96" w14:textId="77777777" w:rsidR="00330ADF" w:rsidRPr="00EA7053" w:rsidRDefault="00330ADF" w:rsidP="00CC1F9E">
            <w:pPr>
              <w:jc w:val="right"/>
              <w:rPr>
                <w:rFonts w:cs="Calibri"/>
                <w:i/>
                <w:iCs/>
                <w:color w:val="000000"/>
                <w:sz w:val="18"/>
                <w:szCs w:val="18"/>
              </w:rPr>
            </w:pPr>
            <w:r w:rsidRPr="00664E8C">
              <w:rPr>
                <w:rFonts w:cs="Calibri"/>
                <w:i/>
                <w:iCs/>
                <w:color w:val="000000"/>
                <w:sz w:val="16"/>
                <w:szCs w:val="16"/>
              </w:rPr>
              <w:t xml:space="preserve">Zdroj: MF SR                                                                                                       </w:t>
            </w:r>
          </w:p>
        </w:tc>
      </w:tr>
    </w:tbl>
    <w:p w14:paraId="158D40C6" w14:textId="32BA9E1B" w:rsidR="00330ADF" w:rsidRPr="00131CE9" w:rsidRDefault="00330ADF" w:rsidP="00131CE9">
      <w:pPr>
        <w:jc w:val="both"/>
        <w:rPr>
          <w:iCs/>
        </w:rPr>
      </w:pPr>
      <w:r w:rsidRPr="00131CE9">
        <w:rPr>
          <w:b/>
          <w:bCs/>
          <w:iCs/>
        </w:rPr>
        <w:t>V roku 2025 zamestnanosť zrýchli spolu s</w:t>
      </w:r>
      <w:r w:rsidR="001F22FC">
        <w:rPr>
          <w:b/>
          <w:bCs/>
          <w:iCs/>
        </w:rPr>
        <w:t> </w:t>
      </w:r>
      <w:r w:rsidRPr="00131CE9">
        <w:rPr>
          <w:b/>
          <w:bCs/>
          <w:iCs/>
        </w:rPr>
        <w:t>ekonomikou na 0,7 %.</w:t>
      </w:r>
      <w:r w:rsidRPr="00131CE9">
        <w:rPr>
          <w:iCs/>
        </w:rPr>
        <w:t xml:space="preserve"> Vďaka kulminácii čerpania prostriedkov Plánu obnovy vznikne až 14 tisíc nových pracovných miest.  V</w:t>
      </w:r>
      <w:r w:rsidR="001F22FC">
        <w:rPr>
          <w:iCs/>
        </w:rPr>
        <w:t> </w:t>
      </w:r>
      <w:r w:rsidRPr="00131CE9">
        <w:rPr>
          <w:iCs/>
        </w:rPr>
        <w:t>nasledujúcom období sa rast na trhu práce bude zmierňovať spolu s</w:t>
      </w:r>
      <w:r w:rsidR="001F22FC">
        <w:rPr>
          <w:iCs/>
        </w:rPr>
        <w:t> </w:t>
      </w:r>
      <w:r w:rsidRPr="00131CE9">
        <w:rPr>
          <w:iCs/>
        </w:rPr>
        <w:t>poklesom ekonomicky aktívneho obyvateľstva. Miera nezamestnanosti klesne na konci prognózovaného horizontu k</w:t>
      </w:r>
      <w:r w:rsidR="001F22FC">
        <w:rPr>
          <w:iCs/>
        </w:rPr>
        <w:t> </w:t>
      </w:r>
      <w:r w:rsidRPr="00131CE9">
        <w:rPr>
          <w:iCs/>
        </w:rPr>
        <w:t>5 %.</w:t>
      </w:r>
    </w:p>
    <w:p w14:paraId="31AC344D" w14:textId="77777777" w:rsidR="00131CE9" w:rsidRDefault="00131CE9" w:rsidP="00131CE9">
      <w:pPr>
        <w:jc w:val="both"/>
        <w:rPr>
          <w:iCs/>
        </w:rPr>
      </w:pPr>
    </w:p>
    <w:p w14:paraId="66FA9D88" w14:textId="4F838C82" w:rsidR="00330ADF" w:rsidRPr="00131CE9" w:rsidRDefault="00330ADF" w:rsidP="00131CE9">
      <w:pPr>
        <w:jc w:val="both"/>
        <w:rPr>
          <w:iCs/>
        </w:rPr>
      </w:pPr>
      <w:r w:rsidRPr="00131CE9">
        <w:rPr>
          <w:b/>
          <w:bCs/>
          <w:iCs/>
        </w:rPr>
        <w:t>Reálna mzda sa po dvoch rokoch poklesov zvýši.</w:t>
      </w:r>
      <w:r w:rsidRPr="00131CE9">
        <w:rPr>
          <w:iCs/>
        </w:rPr>
        <w:t xml:space="preserve"> Nominálny rast miezd medziročne spomalí spolu s</w:t>
      </w:r>
      <w:r w:rsidR="001F22FC">
        <w:rPr>
          <w:iCs/>
        </w:rPr>
        <w:t> </w:t>
      </w:r>
      <w:r w:rsidRPr="00131CE9">
        <w:rPr>
          <w:iCs/>
        </w:rPr>
        <w:t xml:space="preserve">nižším rastom produktivity, inflácie aj spätnej indexácie. Vyjednávania vo verejnom sektore </w:t>
      </w:r>
      <w:r w:rsidR="003A4571">
        <w:rPr>
          <w:iCs/>
        </w:rPr>
        <w:t xml:space="preserve">by mali </w:t>
      </w:r>
      <w:r w:rsidRPr="00131CE9">
        <w:rPr>
          <w:iCs/>
        </w:rPr>
        <w:t>reflekt</w:t>
      </w:r>
      <w:r w:rsidR="003A4571">
        <w:rPr>
          <w:iCs/>
        </w:rPr>
        <w:t>ovať</w:t>
      </w:r>
      <w:r w:rsidRPr="00131CE9">
        <w:rPr>
          <w:iCs/>
        </w:rPr>
        <w:t xml:space="preserve"> na potrebu konsolidácie. Súkromný sektor </w:t>
      </w:r>
      <w:r w:rsidR="003A4571">
        <w:rPr>
          <w:iCs/>
        </w:rPr>
        <w:t xml:space="preserve">by </w:t>
      </w:r>
      <w:r w:rsidRPr="00131CE9">
        <w:rPr>
          <w:iCs/>
        </w:rPr>
        <w:t>tak v</w:t>
      </w:r>
      <w:r w:rsidR="001F22FC">
        <w:rPr>
          <w:iCs/>
        </w:rPr>
        <w:t> </w:t>
      </w:r>
      <w:r w:rsidRPr="00131CE9">
        <w:rPr>
          <w:iCs/>
        </w:rPr>
        <w:t xml:space="preserve">roku 2024 </w:t>
      </w:r>
      <w:r w:rsidR="003A4571">
        <w:rPr>
          <w:iCs/>
        </w:rPr>
        <w:t xml:space="preserve">mal </w:t>
      </w:r>
      <w:r w:rsidRPr="00131CE9">
        <w:rPr>
          <w:iCs/>
        </w:rPr>
        <w:t>predbehn</w:t>
      </w:r>
      <w:r w:rsidR="003A4571">
        <w:rPr>
          <w:iCs/>
        </w:rPr>
        <w:t>úť</w:t>
      </w:r>
      <w:r w:rsidRPr="00131CE9">
        <w:rPr>
          <w:iCs/>
        </w:rPr>
        <w:t xml:space="preserve"> vo zvyšovaní platov verejnú správu. V</w:t>
      </w:r>
      <w:r w:rsidR="001F22FC">
        <w:rPr>
          <w:iCs/>
        </w:rPr>
        <w:t> </w:t>
      </w:r>
      <w:r w:rsidRPr="00131CE9">
        <w:rPr>
          <w:iCs/>
        </w:rPr>
        <w:t>nasledovných rokoch sa nožnice medzi rastom priemernej mzdy v</w:t>
      </w:r>
      <w:r w:rsidR="001F22FC">
        <w:rPr>
          <w:iCs/>
        </w:rPr>
        <w:t> </w:t>
      </w:r>
      <w:r w:rsidRPr="00131CE9">
        <w:rPr>
          <w:iCs/>
        </w:rPr>
        <w:t>ekonomike a</w:t>
      </w:r>
      <w:r w:rsidR="001F22FC">
        <w:rPr>
          <w:iCs/>
        </w:rPr>
        <w:t> </w:t>
      </w:r>
      <w:r w:rsidRPr="00131CE9">
        <w:rPr>
          <w:iCs/>
        </w:rPr>
        <w:t>produktivity práce postupne uzavrú. Reálna mzda by sa od 2025 mala zvyšovať priemerným tempom 2 % ročne.</w:t>
      </w:r>
    </w:p>
    <w:p w14:paraId="7F3BF4C7" w14:textId="77777777" w:rsidR="00131CE9" w:rsidRDefault="00131CE9" w:rsidP="00131CE9">
      <w:pPr>
        <w:jc w:val="both"/>
        <w:rPr>
          <w:iCs/>
        </w:rPr>
      </w:pPr>
    </w:p>
    <w:p w14:paraId="377A4DB0" w14:textId="3290DC63" w:rsidR="00330ADF" w:rsidRPr="00131CE9" w:rsidRDefault="00330ADF" w:rsidP="00131CE9">
      <w:pPr>
        <w:jc w:val="both"/>
        <w:rPr>
          <w:iCs/>
        </w:rPr>
      </w:pPr>
      <w:r w:rsidRPr="00131CE9">
        <w:rPr>
          <w:b/>
          <w:bCs/>
          <w:iCs/>
        </w:rPr>
        <w:t>Inflácia v</w:t>
      </w:r>
      <w:r w:rsidR="001F22FC">
        <w:rPr>
          <w:b/>
          <w:bCs/>
          <w:iCs/>
        </w:rPr>
        <w:t> </w:t>
      </w:r>
      <w:r w:rsidRPr="00131CE9">
        <w:rPr>
          <w:b/>
          <w:bCs/>
          <w:iCs/>
        </w:rPr>
        <w:t>roku 2024 klesne na 3 %, cenový šok bude odznievať v</w:t>
      </w:r>
      <w:r w:rsidR="001F22FC">
        <w:rPr>
          <w:b/>
          <w:bCs/>
          <w:iCs/>
        </w:rPr>
        <w:t> </w:t>
      </w:r>
      <w:r w:rsidRPr="00131CE9">
        <w:rPr>
          <w:b/>
          <w:bCs/>
          <w:iCs/>
        </w:rPr>
        <w:t>celej EÚ.</w:t>
      </w:r>
      <w:r w:rsidRPr="00131CE9">
        <w:rPr>
          <w:iCs/>
        </w:rPr>
        <w:t xml:space="preserve"> Pomalý rast cien od apríla minulého roka viedol k</w:t>
      </w:r>
      <w:r w:rsidR="001F22FC">
        <w:rPr>
          <w:iCs/>
        </w:rPr>
        <w:t> </w:t>
      </w:r>
      <w:r w:rsidRPr="00131CE9">
        <w:rPr>
          <w:iCs/>
        </w:rPr>
        <w:t>postupnému znižovaniu medziročnej inflácie, ktoré pokračovalo aj v</w:t>
      </w:r>
      <w:r w:rsidR="001F22FC">
        <w:rPr>
          <w:iCs/>
        </w:rPr>
        <w:t> </w:t>
      </w:r>
      <w:r w:rsidRPr="00131CE9">
        <w:rPr>
          <w:iCs/>
        </w:rPr>
        <w:t>roku 2024. Nízkemu rastu cien pomohlo aj pokračovanie dotovania cien energií pre domácnosti, ktoré tak v</w:t>
      </w:r>
      <w:r w:rsidR="001F22FC">
        <w:rPr>
          <w:iCs/>
        </w:rPr>
        <w:t> </w:t>
      </w:r>
      <w:r w:rsidRPr="00131CE9">
        <w:rPr>
          <w:iCs/>
        </w:rPr>
        <w:t>tomto roku nerástli. Ceny potravín, ktoré boli jednou z</w:t>
      </w:r>
      <w:r w:rsidR="001F22FC">
        <w:rPr>
          <w:iCs/>
        </w:rPr>
        <w:t> </w:t>
      </w:r>
      <w:r w:rsidRPr="00131CE9">
        <w:rPr>
          <w:iCs/>
        </w:rPr>
        <w:t>hlavných príčin vysokého rastu cien v</w:t>
      </w:r>
      <w:r w:rsidR="001F22FC">
        <w:rPr>
          <w:iCs/>
        </w:rPr>
        <w:t> </w:t>
      </w:r>
      <w:r w:rsidRPr="00131CE9">
        <w:rPr>
          <w:iCs/>
        </w:rPr>
        <w:t>nedávnej minulosti, sa stabilizovali, rovnako ako aj ceny obchodovateľných tovarov a</w:t>
      </w:r>
      <w:r w:rsidR="001F22FC">
        <w:rPr>
          <w:iCs/>
        </w:rPr>
        <w:t> </w:t>
      </w:r>
      <w:r w:rsidRPr="00131CE9">
        <w:rPr>
          <w:iCs/>
        </w:rPr>
        <w:t>služieb.</w:t>
      </w:r>
    </w:p>
    <w:p w14:paraId="06A9BF00" w14:textId="77777777" w:rsidR="00131CE9" w:rsidRDefault="00131CE9" w:rsidP="00131CE9">
      <w:pPr>
        <w:jc w:val="both"/>
        <w:rPr>
          <w:b/>
          <w:bCs/>
          <w:iCs/>
        </w:rPr>
      </w:pPr>
    </w:p>
    <w:p w14:paraId="04684356" w14:textId="50393056" w:rsidR="00F31009" w:rsidRDefault="00330ADF" w:rsidP="00131CE9">
      <w:pPr>
        <w:jc w:val="both"/>
        <w:rPr>
          <w:iCs/>
        </w:rPr>
      </w:pPr>
      <w:r w:rsidRPr="00131CE9">
        <w:rPr>
          <w:b/>
          <w:bCs/>
          <w:iCs/>
        </w:rPr>
        <w:t>Rast cien v</w:t>
      </w:r>
      <w:r w:rsidR="001F22FC">
        <w:rPr>
          <w:b/>
          <w:bCs/>
          <w:iCs/>
        </w:rPr>
        <w:t> </w:t>
      </w:r>
      <w:r w:rsidRPr="00131CE9">
        <w:rPr>
          <w:b/>
          <w:bCs/>
          <w:iCs/>
        </w:rPr>
        <w:t>roku 2025 môže mierne zrýchliť, ak by ceny energií prešli na trhové úrovne.</w:t>
      </w:r>
      <w:r w:rsidRPr="00131CE9">
        <w:rPr>
          <w:iCs/>
        </w:rPr>
        <w:t xml:space="preserve"> Od jesene minulého roka pozorujeme pomerne silný pokles cien futurít elektriny a</w:t>
      </w:r>
      <w:r w:rsidR="001F22FC">
        <w:rPr>
          <w:iCs/>
        </w:rPr>
        <w:t> </w:t>
      </w:r>
      <w:r w:rsidRPr="00131CE9">
        <w:rPr>
          <w:iCs/>
        </w:rPr>
        <w:t xml:space="preserve">plynu, ktoré </w:t>
      </w:r>
      <w:r w:rsidR="00737246">
        <w:rPr>
          <w:iCs/>
        </w:rPr>
        <w:t>o</w:t>
      </w:r>
      <w:r w:rsidRPr="00131CE9">
        <w:rPr>
          <w:iCs/>
        </w:rPr>
        <w:t>proti októbru 2023 postupne klesli o</w:t>
      </w:r>
      <w:r w:rsidR="001F22FC">
        <w:rPr>
          <w:iCs/>
        </w:rPr>
        <w:t> </w:t>
      </w:r>
      <w:r w:rsidRPr="00131CE9">
        <w:rPr>
          <w:iCs/>
        </w:rPr>
        <w:t>zhruba tretinu. Predpoklad ukončenia dotácií na ceny energií tak môže viesť k</w:t>
      </w:r>
      <w:r w:rsidR="001F22FC">
        <w:rPr>
          <w:iCs/>
        </w:rPr>
        <w:t> </w:t>
      </w:r>
      <w:r w:rsidRPr="00131CE9">
        <w:rPr>
          <w:iCs/>
        </w:rPr>
        <w:t>miernejšiemu nárastu cien plynu a</w:t>
      </w:r>
      <w:r w:rsidR="001F22FC">
        <w:rPr>
          <w:iCs/>
        </w:rPr>
        <w:t> </w:t>
      </w:r>
      <w:r w:rsidRPr="00131CE9">
        <w:rPr>
          <w:iCs/>
        </w:rPr>
        <w:t>tepla. Ceny elektriny budú v</w:t>
      </w:r>
      <w:r w:rsidR="001F22FC">
        <w:rPr>
          <w:iCs/>
        </w:rPr>
        <w:t> </w:t>
      </w:r>
      <w:r w:rsidRPr="00131CE9">
        <w:rPr>
          <w:iCs/>
        </w:rPr>
        <w:t>budúcom roku stále podliehať memorandu so SE. Návrat na trhové ceny energií povedie k</w:t>
      </w:r>
      <w:r w:rsidR="001F22FC">
        <w:rPr>
          <w:iCs/>
        </w:rPr>
        <w:t> </w:t>
      </w:r>
      <w:r w:rsidRPr="00131CE9">
        <w:rPr>
          <w:iCs/>
        </w:rPr>
        <w:t>dočasnému zrýchleniu inflácie v</w:t>
      </w:r>
      <w:r w:rsidR="001F22FC">
        <w:rPr>
          <w:iCs/>
        </w:rPr>
        <w:t> </w:t>
      </w:r>
      <w:r w:rsidRPr="00131CE9">
        <w:rPr>
          <w:iCs/>
        </w:rPr>
        <w:t>budúcom roku nad štyri percentá. Trhy však očakávajú pokles cien energetických komodít v</w:t>
      </w:r>
      <w:r w:rsidR="001F22FC">
        <w:rPr>
          <w:iCs/>
        </w:rPr>
        <w:t> </w:t>
      </w:r>
      <w:r w:rsidRPr="00131CE9">
        <w:rPr>
          <w:iCs/>
        </w:rPr>
        <w:t>nasledujúcich rokoch, a</w:t>
      </w:r>
      <w:r w:rsidR="001F22FC">
        <w:rPr>
          <w:iCs/>
        </w:rPr>
        <w:t> </w:t>
      </w:r>
      <w:r w:rsidRPr="00131CE9">
        <w:rPr>
          <w:iCs/>
        </w:rPr>
        <w:t>tak na strednom horizonte môžeme očakávať, že energie budú tempo inflácie brzdiť. Po odznení inflačných šokov a</w:t>
      </w:r>
      <w:r w:rsidR="001F22FC">
        <w:rPr>
          <w:iCs/>
        </w:rPr>
        <w:t> </w:t>
      </w:r>
      <w:r w:rsidRPr="00131CE9">
        <w:rPr>
          <w:iCs/>
        </w:rPr>
        <w:t>vyprchaní bázického efektu sa očakáva, že ceny potravín a</w:t>
      </w:r>
      <w:r w:rsidR="001F22FC">
        <w:rPr>
          <w:iCs/>
        </w:rPr>
        <w:t> </w:t>
      </w:r>
      <w:r w:rsidRPr="00131CE9">
        <w:rPr>
          <w:iCs/>
        </w:rPr>
        <w:t>obchodovateľných tovarov sa vrátia k</w:t>
      </w:r>
      <w:r w:rsidR="001F22FC">
        <w:rPr>
          <w:iCs/>
        </w:rPr>
        <w:t> </w:t>
      </w:r>
      <w:r w:rsidRPr="00131CE9">
        <w:rPr>
          <w:iCs/>
        </w:rPr>
        <w:t>tempám rastu, ktoré boli pozorované v</w:t>
      </w:r>
      <w:r w:rsidR="001F22FC">
        <w:rPr>
          <w:iCs/>
        </w:rPr>
        <w:t> </w:t>
      </w:r>
      <w:r w:rsidRPr="00131CE9">
        <w:rPr>
          <w:iCs/>
        </w:rPr>
        <w:t>rokoch 2017 až 2020. Rýchlejšie porastú ceny služieb, celkový rast cien na strednodobom horizonte však bude tlmený konsolidáciou.</w:t>
      </w:r>
    </w:p>
    <w:p w14:paraId="0919D552" w14:textId="03002D55" w:rsidR="00F31009" w:rsidRDefault="00F31009" w:rsidP="00131CE9">
      <w:pPr>
        <w:jc w:val="both"/>
        <w:rPr>
          <w:iCs/>
        </w:rPr>
      </w:pPr>
    </w:p>
    <w:p w14:paraId="38D7C935" w14:textId="663EAA4A" w:rsidR="00F31009" w:rsidRDefault="00F31009" w:rsidP="00131CE9">
      <w:pPr>
        <w:jc w:val="both"/>
        <w:rPr>
          <w:iCs/>
        </w:rPr>
      </w:pPr>
    </w:p>
    <w:p w14:paraId="0D17BDF7" w14:textId="77777777" w:rsidR="00A50921" w:rsidRDefault="00A50921" w:rsidP="00131CE9">
      <w:pPr>
        <w:jc w:val="both"/>
        <w:rPr>
          <w:iCs/>
        </w:rPr>
      </w:pPr>
    </w:p>
    <w:p w14:paraId="63C6B8B5" w14:textId="4F5DB196" w:rsidR="00F31009" w:rsidRDefault="00F31009" w:rsidP="00131CE9">
      <w:pPr>
        <w:jc w:val="both"/>
        <w:rPr>
          <w:iCs/>
        </w:rPr>
      </w:pPr>
    </w:p>
    <w:p w14:paraId="5872A9DF" w14:textId="77777777" w:rsidR="00F31009" w:rsidRPr="00131CE9" w:rsidRDefault="00F31009" w:rsidP="00131CE9">
      <w:pPr>
        <w:jc w:val="both"/>
        <w:rPr>
          <w:iCs/>
        </w:rPr>
      </w:pPr>
    </w:p>
    <w:p w14:paraId="18F8BD52" w14:textId="77777777" w:rsidR="001A7E2D" w:rsidRPr="009B64E6" w:rsidRDefault="001A7E2D" w:rsidP="00664E8C">
      <w:pPr>
        <w:jc w:val="both"/>
        <w:rPr>
          <w:highlight w:val="yellow"/>
        </w:rPr>
      </w:pPr>
    </w:p>
    <w:tbl>
      <w:tblPr>
        <w:tblW w:w="9123" w:type="dxa"/>
        <w:tblInd w:w="-68" w:type="dxa"/>
        <w:tblLayout w:type="fixed"/>
        <w:tblCellMar>
          <w:left w:w="70" w:type="dxa"/>
          <w:right w:w="70" w:type="dxa"/>
        </w:tblCellMar>
        <w:tblLook w:val="0000" w:firstRow="0" w:lastRow="0" w:firstColumn="0" w:lastColumn="0" w:noHBand="0" w:noVBand="0"/>
      </w:tblPr>
      <w:tblGrid>
        <w:gridCol w:w="4604"/>
        <w:gridCol w:w="170"/>
        <w:gridCol w:w="4349"/>
      </w:tblGrid>
      <w:tr w:rsidR="00330ADF" w:rsidRPr="009B64E6" w14:paraId="2B2875DC" w14:textId="77777777" w:rsidTr="00CC1F9E">
        <w:trPr>
          <w:trHeight w:val="284"/>
        </w:trPr>
        <w:tc>
          <w:tcPr>
            <w:tcW w:w="4604" w:type="dxa"/>
            <w:tcBorders>
              <w:top w:val="nil"/>
              <w:left w:val="nil"/>
              <w:bottom w:val="single" w:sz="4" w:space="0" w:color="auto"/>
              <w:right w:val="nil"/>
            </w:tcBorders>
            <w:shd w:val="clear" w:color="auto" w:fill="auto"/>
            <w:vAlign w:val="bottom"/>
          </w:tcPr>
          <w:p w14:paraId="445E4261" w14:textId="37A39B6B" w:rsidR="00330ADF" w:rsidRPr="00877711" w:rsidRDefault="00330ADF" w:rsidP="00664E8C">
            <w:pPr>
              <w:pStyle w:val="Graf"/>
              <w:spacing w:before="120" w:after="0"/>
            </w:pPr>
            <w:bookmarkStart w:id="73" w:name="_Toc432503738"/>
            <w:bookmarkStart w:id="74" w:name="_Toc432509077"/>
            <w:bookmarkStart w:id="75" w:name="_Toc432573321"/>
            <w:bookmarkStart w:id="76" w:name="_Toc432573770"/>
            <w:bookmarkStart w:id="77" w:name="_Toc461094002"/>
            <w:bookmarkStart w:id="78" w:name="_Toc463861235"/>
            <w:bookmarkStart w:id="79" w:name="_Toc495423397"/>
            <w:bookmarkStart w:id="80" w:name="_Toc117765247"/>
            <w:bookmarkStart w:id="81" w:name="_Toc152932867"/>
            <w:bookmarkStart w:id="82" w:name="_Toc164684568"/>
            <w:r w:rsidRPr="00877711">
              <w:rPr>
                <w:szCs w:val="20"/>
              </w:rPr>
              <w:lastRenderedPageBreak/>
              <w:t xml:space="preserve">GRAF </w:t>
            </w:r>
            <w:r w:rsidR="008D6A85" w:rsidRPr="00877711">
              <w:rPr>
                <w:color w:val="2C9ADC"/>
              </w:rPr>
              <w:fldChar w:fldCharType="begin"/>
            </w:r>
            <w:r w:rsidR="008D6A85" w:rsidRPr="00877711">
              <w:rPr>
                <w:color w:val="2C9ADC"/>
              </w:rPr>
              <w:instrText xml:space="preserve"> SEQ GRAF \* ARABIC </w:instrText>
            </w:r>
            <w:r w:rsidR="008D6A85" w:rsidRPr="00877711">
              <w:rPr>
                <w:color w:val="2C9ADC"/>
              </w:rPr>
              <w:fldChar w:fldCharType="separate"/>
            </w:r>
            <w:r w:rsidR="007435E9">
              <w:rPr>
                <w:noProof/>
                <w:color w:val="2C9ADC"/>
              </w:rPr>
              <w:t>3</w:t>
            </w:r>
            <w:r w:rsidR="008D6A85" w:rsidRPr="00877711">
              <w:rPr>
                <w:color w:val="2C9ADC"/>
              </w:rPr>
              <w:fldChar w:fldCharType="end"/>
            </w:r>
            <w:r w:rsidRPr="00877711">
              <w:t xml:space="preserve"> – </w:t>
            </w:r>
            <w:bookmarkEnd w:id="73"/>
            <w:bookmarkEnd w:id="74"/>
            <w:bookmarkEnd w:id="75"/>
            <w:bookmarkEnd w:id="76"/>
            <w:bookmarkEnd w:id="77"/>
            <w:bookmarkEnd w:id="78"/>
            <w:bookmarkEnd w:id="79"/>
            <w:bookmarkEnd w:id="80"/>
            <w:r w:rsidRPr="00877711">
              <w:t>Príspevky k</w:t>
            </w:r>
            <w:r w:rsidR="001F22FC">
              <w:t> </w:t>
            </w:r>
            <w:r w:rsidRPr="00877711">
              <w:t>rastu zamestnanosti (p. b.)</w:t>
            </w:r>
            <w:bookmarkEnd w:id="81"/>
            <w:bookmarkEnd w:id="82"/>
          </w:p>
        </w:tc>
        <w:tc>
          <w:tcPr>
            <w:tcW w:w="170" w:type="dxa"/>
            <w:tcBorders>
              <w:top w:val="nil"/>
              <w:left w:val="nil"/>
              <w:bottom w:val="nil"/>
              <w:right w:val="nil"/>
            </w:tcBorders>
            <w:shd w:val="clear" w:color="auto" w:fill="auto"/>
            <w:vAlign w:val="bottom"/>
          </w:tcPr>
          <w:p w14:paraId="6F255F9F" w14:textId="77777777" w:rsidR="00330ADF" w:rsidRPr="00877711" w:rsidRDefault="00330ADF" w:rsidP="00CC1F9E">
            <w:pPr>
              <w:pStyle w:val="Graf"/>
            </w:pPr>
          </w:p>
        </w:tc>
        <w:tc>
          <w:tcPr>
            <w:tcW w:w="4349" w:type="dxa"/>
            <w:tcBorders>
              <w:top w:val="nil"/>
              <w:left w:val="nil"/>
              <w:bottom w:val="single" w:sz="4" w:space="0" w:color="auto"/>
              <w:right w:val="nil"/>
            </w:tcBorders>
            <w:shd w:val="clear" w:color="auto" w:fill="auto"/>
          </w:tcPr>
          <w:p w14:paraId="07D2558B" w14:textId="6538FCE7" w:rsidR="00330ADF" w:rsidRPr="00877711" w:rsidRDefault="00330ADF" w:rsidP="00B47EC2">
            <w:pPr>
              <w:pStyle w:val="Graf"/>
              <w:spacing w:before="120" w:after="0" w:line="240" w:lineRule="auto"/>
            </w:pPr>
            <w:bookmarkStart w:id="83" w:name="_Toc432503739"/>
            <w:bookmarkStart w:id="84" w:name="_Toc432509078"/>
            <w:bookmarkStart w:id="85" w:name="_Toc432573322"/>
            <w:bookmarkStart w:id="86" w:name="_Toc432573771"/>
            <w:bookmarkStart w:id="87" w:name="_Toc461094003"/>
            <w:bookmarkStart w:id="88" w:name="_Toc463861236"/>
            <w:bookmarkStart w:id="89" w:name="_Toc495423398"/>
            <w:bookmarkStart w:id="90" w:name="_Toc117765248"/>
            <w:bookmarkStart w:id="91" w:name="_Toc152932868"/>
            <w:bookmarkStart w:id="92" w:name="_Toc164684569"/>
            <w:r w:rsidRPr="00877711">
              <w:rPr>
                <w:szCs w:val="20"/>
              </w:rPr>
              <w:t>GRAF</w:t>
            </w:r>
            <w:r w:rsidRPr="00877711">
              <w:rPr>
                <w:color w:val="2C9ADC"/>
              </w:rPr>
              <w:t xml:space="preserve"> </w:t>
            </w:r>
            <w:r w:rsidR="008D6A85" w:rsidRPr="00877711">
              <w:rPr>
                <w:color w:val="2C9ADC"/>
              </w:rPr>
              <w:fldChar w:fldCharType="begin"/>
            </w:r>
            <w:r w:rsidR="008D6A85" w:rsidRPr="00877711">
              <w:rPr>
                <w:color w:val="2C9ADC"/>
              </w:rPr>
              <w:instrText xml:space="preserve"> SEQ GRAF \* ARABIC </w:instrText>
            </w:r>
            <w:r w:rsidR="008D6A85" w:rsidRPr="00877711">
              <w:rPr>
                <w:color w:val="2C9ADC"/>
              </w:rPr>
              <w:fldChar w:fldCharType="separate"/>
            </w:r>
            <w:r w:rsidR="007435E9">
              <w:rPr>
                <w:noProof/>
                <w:color w:val="2C9ADC"/>
              </w:rPr>
              <w:t>4</w:t>
            </w:r>
            <w:r w:rsidR="008D6A85" w:rsidRPr="00877711">
              <w:rPr>
                <w:color w:val="2C9ADC"/>
              </w:rPr>
              <w:fldChar w:fldCharType="end"/>
            </w:r>
            <w:r w:rsidRPr="00877711">
              <w:t xml:space="preserve"> – Príspevky k</w:t>
            </w:r>
            <w:r w:rsidR="001F22FC">
              <w:t> </w:t>
            </w:r>
            <w:r w:rsidRPr="00877711">
              <w:t>inflácii (p. b.)</w:t>
            </w:r>
            <w:bookmarkEnd w:id="83"/>
            <w:bookmarkEnd w:id="84"/>
            <w:bookmarkEnd w:id="85"/>
            <w:bookmarkEnd w:id="86"/>
            <w:bookmarkEnd w:id="87"/>
            <w:bookmarkEnd w:id="88"/>
            <w:bookmarkEnd w:id="89"/>
            <w:bookmarkEnd w:id="90"/>
            <w:bookmarkEnd w:id="91"/>
            <w:bookmarkEnd w:id="92"/>
          </w:p>
        </w:tc>
      </w:tr>
      <w:tr w:rsidR="00330ADF" w:rsidRPr="009B64E6" w14:paraId="063EE474" w14:textId="77777777" w:rsidTr="00CC1F9E">
        <w:trPr>
          <w:trHeight w:val="3254"/>
        </w:trPr>
        <w:tc>
          <w:tcPr>
            <w:tcW w:w="4604" w:type="dxa"/>
            <w:tcBorders>
              <w:top w:val="single" w:sz="4" w:space="0" w:color="auto"/>
              <w:left w:val="nil"/>
              <w:bottom w:val="single" w:sz="4" w:space="0" w:color="auto"/>
              <w:right w:val="nil"/>
            </w:tcBorders>
            <w:shd w:val="clear" w:color="auto" w:fill="auto"/>
            <w:vAlign w:val="center"/>
          </w:tcPr>
          <w:p w14:paraId="4A3E53E2" w14:textId="77777777" w:rsidR="00330ADF" w:rsidRPr="009B64E6" w:rsidRDefault="00330ADF" w:rsidP="00CC1F9E">
            <w:pPr>
              <w:contextualSpacing/>
              <w:rPr>
                <w:rFonts w:cs="Garamond"/>
                <w:b/>
                <w:bCs/>
                <w:highlight w:val="yellow"/>
              </w:rPr>
            </w:pPr>
            <w:r>
              <w:rPr>
                <w:noProof/>
              </w:rPr>
              <w:drawing>
                <wp:inline distT="0" distB="0" distL="0" distR="0" wp14:anchorId="08D5E2EC" wp14:editId="0189229A">
                  <wp:extent cx="2762250" cy="1831340"/>
                  <wp:effectExtent l="0" t="0" r="0" b="0"/>
                  <wp:docPr id="45" name="Graf 45">
                    <a:extLst xmlns:a="http://schemas.openxmlformats.org/drawingml/2006/main">
                      <a:ext uri="{FF2B5EF4-FFF2-40B4-BE49-F238E27FC236}">
                        <a16:creationId xmlns:a16="http://schemas.microsoft.com/office/drawing/2014/main" id="{C7230B26-C81A-4A02-BCCE-F2DAAEB8F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170" w:type="dxa"/>
            <w:tcBorders>
              <w:top w:val="nil"/>
              <w:left w:val="nil"/>
              <w:bottom w:val="nil"/>
              <w:right w:val="nil"/>
            </w:tcBorders>
            <w:shd w:val="clear" w:color="auto" w:fill="auto"/>
          </w:tcPr>
          <w:p w14:paraId="5424F292" w14:textId="77777777" w:rsidR="00330ADF" w:rsidRPr="009B64E6" w:rsidRDefault="00330ADF" w:rsidP="00CC1F9E">
            <w:pPr>
              <w:contextualSpacing/>
              <w:rPr>
                <w:rFonts w:cs="Garamond"/>
                <w:b/>
                <w:bCs/>
                <w:highlight w:val="yellow"/>
              </w:rPr>
            </w:pPr>
          </w:p>
        </w:tc>
        <w:tc>
          <w:tcPr>
            <w:tcW w:w="4349" w:type="dxa"/>
            <w:tcBorders>
              <w:top w:val="single" w:sz="4" w:space="0" w:color="auto"/>
              <w:left w:val="nil"/>
              <w:bottom w:val="single" w:sz="4" w:space="0" w:color="auto"/>
              <w:right w:val="nil"/>
            </w:tcBorders>
            <w:shd w:val="clear" w:color="auto" w:fill="auto"/>
          </w:tcPr>
          <w:p w14:paraId="287AB357" w14:textId="77777777" w:rsidR="00330ADF" w:rsidRPr="009B64E6" w:rsidRDefault="00330ADF" w:rsidP="00CC1F9E">
            <w:pPr>
              <w:contextualSpacing/>
              <w:rPr>
                <w:rFonts w:cs="Garamond"/>
                <w:b/>
                <w:bCs/>
                <w:highlight w:val="yellow"/>
              </w:rPr>
            </w:pPr>
            <w:r>
              <w:rPr>
                <w:noProof/>
              </w:rPr>
              <w:drawing>
                <wp:inline distT="0" distB="0" distL="0" distR="0" wp14:anchorId="1557D717" wp14:editId="021DB16E">
                  <wp:extent cx="2672715" cy="1974215"/>
                  <wp:effectExtent l="0" t="0" r="0" b="6985"/>
                  <wp:docPr id="47" name="Graf 47">
                    <a:extLst xmlns:a="http://schemas.openxmlformats.org/drawingml/2006/main">
                      <a:ext uri="{FF2B5EF4-FFF2-40B4-BE49-F238E27FC236}">
                        <a16:creationId xmlns:a16="http://schemas.microsoft.com/office/drawing/2014/main"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30ADF" w:rsidRPr="009B64E6" w14:paraId="2F024640" w14:textId="77777777" w:rsidTr="00CC1F9E">
        <w:trPr>
          <w:trHeight w:val="280"/>
        </w:trPr>
        <w:tc>
          <w:tcPr>
            <w:tcW w:w="4604" w:type="dxa"/>
            <w:tcBorders>
              <w:top w:val="single" w:sz="4" w:space="0" w:color="auto"/>
              <w:left w:val="nil"/>
              <w:bottom w:val="nil"/>
              <w:right w:val="nil"/>
            </w:tcBorders>
            <w:shd w:val="clear" w:color="auto" w:fill="auto"/>
            <w:vAlign w:val="center"/>
          </w:tcPr>
          <w:p w14:paraId="35CEF36F" w14:textId="77777777" w:rsidR="00330ADF" w:rsidRPr="00B656C9" w:rsidRDefault="00330ADF" w:rsidP="00CC1F9E">
            <w:pPr>
              <w:spacing w:before="40"/>
              <w:contextualSpacing/>
              <w:jc w:val="right"/>
              <w:rPr>
                <w:rFonts w:cs="Arial"/>
                <w:b/>
                <w:bCs/>
                <w:i/>
                <w:sz w:val="16"/>
                <w:szCs w:val="16"/>
              </w:rPr>
            </w:pPr>
            <w:r w:rsidRPr="00B656C9">
              <w:rPr>
                <w:rFonts w:cs="Arial"/>
                <w:i/>
                <w:sz w:val="16"/>
                <w:szCs w:val="16"/>
              </w:rPr>
              <w:t>Zdroj: MF SR</w:t>
            </w:r>
          </w:p>
        </w:tc>
        <w:tc>
          <w:tcPr>
            <w:tcW w:w="170" w:type="dxa"/>
            <w:tcBorders>
              <w:top w:val="nil"/>
              <w:left w:val="nil"/>
              <w:bottom w:val="nil"/>
              <w:right w:val="nil"/>
            </w:tcBorders>
            <w:shd w:val="clear" w:color="auto" w:fill="auto"/>
            <w:vAlign w:val="center"/>
          </w:tcPr>
          <w:p w14:paraId="5F5DB321" w14:textId="77777777" w:rsidR="00330ADF" w:rsidRPr="00B656C9" w:rsidRDefault="00330ADF" w:rsidP="00CC1F9E">
            <w:pPr>
              <w:contextualSpacing/>
              <w:jc w:val="center"/>
              <w:rPr>
                <w:rFonts w:cs="Arial"/>
                <w:i/>
                <w:sz w:val="16"/>
                <w:szCs w:val="16"/>
              </w:rPr>
            </w:pPr>
          </w:p>
        </w:tc>
        <w:tc>
          <w:tcPr>
            <w:tcW w:w="4349" w:type="dxa"/>
            <w:tcBorders>
              <w:top w:val="single" w:sz="4" w:space="0" w:color="auto"/>
              <w:left w:val="nil"/>
              <w:bottom w:val="nil"/>
              <w:right w:val="nil"/>
            </w:tcBorders>
            <w:shd w:val="clear" w:color="auto" w:fill="auto"/>
            <w:vAlign w:val="center"/>
          </w:tcPr>
          <w:p w14:paraId="28ADCF9B" w14:textId="77777777" w:rsidR="00330ADF" w:rsidRPr="00B656C9" w:rsidRDefault="00330ADF" w:rsidP="00CC1F9E">
            <w:pPr>
              <w:spacing w:before="40"/>
              <w:contextualSpacing/>
              <w:jc w:val="right"/>
              <w:rPr>
                <w:rFonts w:cs="Arial"/>
                <w:i/>
                <w:sz w:val="16"/>
                <w:szCs w:val="16"/>
              </w:rPr>
            </w:pPr>
            <w:r w:rsidRPr="00B656C9">
              <w:rPr>
                <w:rFonts w:cs="Arial"/>
                <w:i/>
                <w:sz w:val="16"/>
                <w:szCs w:val="16"/>
              </w:rPr>
              <w:t xml:space="preserve">Zdroj: MF SR </w:t>
            </w:r>
          </w:p>
        </w:tc>
      </w:tr>
    </w:tbl>
    <w:p w14:paraId="15328106" w14:textId="77777777" w:rsidR="00330ADF" w:rsidRPr="00BF39FD" w:rsidRDefault="00330ADF" w:rsidP="00330ADF">
      <w:pPr>
        <w:pStyle w:val="NormalList"/>
        <w:spacing w:line="276" w:lineRule="auto"/>
        <w:rPr>
          <w:rFonts w:eastAsia="NeueHaasGroteskText W02" w:cs="Arial"/>
          <w:sz w:val="2"/>
          <w:szCs w:val="2"/>
          <w:highlight w:val="yellow"/>
        </w:rPr>
      </w:pPr>
    </w:p>
    <w:tbl>
      <w:tblPr>
        <w:tblpPr w:leftFromText="142" w:rightFromText="142" w:vertAnchor="text" w:horzAnchor="margin" w:tblpXSpec="center" w:tblpY="1"/>
        <w:tblOverlap w:val="never"/>
        <w:tblW w:w="8972" w:type="dxa"/>
        <w:shd w:val="clear" w:color="auto" w:fill="AAD3F2"/>
        <w:tblLayout w:type="fixed"/>
        <w:tblCellMar>
          <w:left w:w="70" w:type="dxa"/>
          <w:right w:w="70" w:type="dxa"/>
        </w:tblCellMar>
        <w:tblLook w:val="01E0" w:firstRow="1" w:lastRow="1" w:firstColumn="1" w:lastColumn="1" w:noHBand="0" w:noVBand="0"/>
      </w:tblPr>
      <w:tblGrid>
        <w:gridCol w:w="8972"/>
      </w:tblGrid>
      <w:tr w:rsidR="00330ADF" w:rsidRPr="009B64E6" w14:paraId="5F2CCE9E" w14:textId="77777777" w:rsidTr="00CC1F9E">
        <w:trPr>
          <w:trHeight w:val="2851"/>
        </w:trPr>
        <w:tc>
          <w:tcPr>
            <w:tcW w:w="8972" w:type="dxa"/>
            <w:shd w:val="clear" w:color="auto" w:fill="AAD3F2"/>
            <w:vAlign w:val="center"/>
          </w:tcPr>
          <w:p w14:paraId="4D8C8CE9" w14:textId="67274AE9" w:rsidR="00330ADF" w:rsidRPr="00833E7C" w:rsidRDefault="00330ADF" w:rsidP="00CC1F9E">
            <w:pPr>
              <w:pStyle w:val="Box"/>
              <w:spacing w:after="120" w:line="276" w:lineRule="auto"/>
              <w:rPr>
                <w:color w:val="2C9ADC"/>
                <w:sz w:val="22"/>
                <w:szCs w:val="20"/>
              </w:rPr>
            </w:pPr>
            <w:bookmarkStart w:id="93" w:name="_Toc117765208"/>
            <w:bookmarkStart w:id="94" w:name="_Toc152932680"/>
            <w:bookmarkStart w:id="95" w:name="_Toc164684545"/>
            <w:r w:rsidRPr="00833E7C">
              <w:rPr>
                <w:color w:val="2C9ADC"/>
                <w:sz w:val="22"/>
                <w:szCs w:val="20"/>
              </w:rPr>
              <w:t xml:space="preserve">BOX </w:t>
            </w:r>
            <w:r w:rsidRPr="00833E7C">
              <w:rPr>
                <w:b w:val="0"/>
                <w:color w:val="2C9ADC"/>
                <w:sz w:val="22"/>
                <w:szCs w:val="20"/>
              </w:rPr>
              <w:fldChar w:fldCharType="begin"/>
            </w:r>
            <w:r w:rsidRPr="00833E7C">
              <w:rPr>
                <w:color w:val="2C9ADC"/>
                <w:sz w:val="22"/>
                <w:szCs w:val="20"/>
              </w:rPr>
              <w:instrText xml:space="preserve"> SEQ BOX \* ARABIC </w:instrText>
            </w:r>
            <w:r w:rsidRPr="00833E7C">
              <w:rPr>
                <w:b w:val="0"/>
                <w:color w:val="2C9ADC"/>
                <w:sz w:val="22"/>
                <w:szCs w:val="20"/>
              </w:rPr>
              <w:fldChar w:fldCharType="separate"/>
            </w:r>
            <w:r w:rsidR="007435E9">
              <w:rPr>
                <w:noProof/>
                <w:color w:val="2C9ADC"/>
                <w:sz w:val="22"/>
                <w:szCs w:val="20"/>
              </w:rPr>
              <w:t>1</w:t>
            </w:r>
            <w:r w:rsidRPr="00833E7C">
              <w:rPr>
                <w:b w:val="0"/>
                <w:color w:val="2C9ADC"/>
                <w:sz w:val="22"/>
                <w:szCs w:val="20"/>
              </w:rPr>
              <w:fldChar w:fldCharType="end"/>
            </w:r>
            <w:r w:rsidRPr="00833E7C">
              <w:rPr>
                <w:color w:val="2C9ADC"/>
                <w:sz w:val="22"/>
                <w:szCs w:val="20"/>
              </w:rPr>
              <w:t xml:space="preserve"> </w:t>
            </w:r>
            <w:r w:rsidRPr="00833E7C">
              <w:rPr>
                <w:color w:val="2C9ADC"/>
                <w:sz w:val="22"/>
                <w:szCs w:val="22"/>
              </w:rPr>
              <w:t>–</w:t>
            </w:r>
            <w:r w:rsidRPr="00833E7C">
              <w:rPr>
                <w:color w:val="2C9ADC"/>
                <w:sz w:val="22"/>
                <w:szCs w:val="20"/>
              </w:rPr>
              <w:t xml:space="preserve"> Predpoklady externého prostredia</w:t>
            </w:r>
            <w:bookmarkEnd w:id="93"/>
            <w:bookmarkEnd w:id="94"/>
            <w:bookmarkEnd w:id="95"/>
          </w:p>
          <w:p w14:paraId="2BC0984F" w14:textId="4A3D7C44" w:rsidR="00330ADF" w:rsidRPr="00BF39FD" w:rsidRDefault="00330ADF" w:rsidP="00CC1F9E">
            <w:pPr>
              <w:widowControl w:val="0"/>
              <w:tabs>
                <w:tab w:val="right" w:pos="9531"/>
              </w:tabs>
              <w:ind w:right="34"/>
              <w:jc w:val="both"/>
              <w:rPr>
                <w:bCs/>
              </w:rPr>
            </w:pPr>
            <w:r w:rsidRPr="00833E7C">
              <w:rPr>
                <w:b/>
              </w:rPr>
              <w:t>Globálna ekonomika v</w:t>
            </w:r>
            <w:r w:rsidR="001F22FC">
              <w:rPr>
                <w:b/>
              </w:rPr>
              <w:t> </w:t>
            </w:r>
            <w:r w:rsidRPr="00833E7C">
              <w:rPr>
                <w:b/>
              </w:rPr>
              <w:t xml:space="preserve">roku 2023 javila známky spomalenia. </w:t>
            </w:r>
            <w:r w:rsidRPr="00833E7C">
              <w:rPr>
                <w:bCs/>
              </w:rPr>
              <w:t>Vysoké úrokové sadzby a</w:t>
            </w:r>
            <w:r w:rsidR="001F22FC">
              <w:rPr>
                <w:bCs/>
              </w:rPr>
              <w:t> </w:t>
            </w:r>
            <w:r w:rsidRPr="00833E7C">
              <w:rPr>
                <w:bCs/>
              </w:rPr>
              <w:t>doznievajúci inflačný a</w:t>
            </w:r>
            <w:r w:rsidR="001F22FC">
              <w:rPr>
                <w:bCs/>
              </w:rPr>
              <w:t> </w:t>
            </w:r>
            <w:r w:rsidRPr="00833E7C">
              <w:rPr>
                <w:bCs/>
              </w:rPr>
              <w:t>energetický šok sa negatívne podpísali pod výkonnosťou hlavných svetových ekonomík. Obzvlášť nepriaznivá situácia bola v</w:t>
            </w:r>
            <w:r w:rsidR="001F22FC">
              <w:rPr>
                <w:bCs/>
              </w:rPr>
              <w:t> </w:t>
            </w:r>
            <w:r w:rsidRPr="00833E7C">
              <w:rPr>
                <w:bCs/>
              </w:rPr>
              <w:t>Nemecku, ktoré ako jediná z</w:t>
            </w:r>
            <w:r w:rsidR="001F22FC">
              <w:rPr>
                <w:bCs/>
              </w:rPr>
              <w:t> </w:t>
            </w:r>
            <w:r w:rsidRPr="00833E7C">
              <w:rPr>
                <w:bCs/>
              </w:rPr>
              <w:t>bohatých rozvinutých krajín zaznamenalo zmenšenie svojho hospodárstva. K</w:t>
            </w:r>
            <w:r w:rsidR="001F22FC">
              <w:rPr>
                <w:bCs/>
              </w:rPr>
              <w:t> </w:t>
            </w:r>
            <w:r w:rsidRPr="00833E7C">
              <w:rPr>
                <w:bCs/>
              </w:rPr>
              <w:t>výraznému spomaleniu došlo aj v</w:t>
            </w:r>
            <w:r w:rsidR="001F22FC">
              <w:rPr>
                <w:bCs/>
              </w:rPr>
              <w:t> </w:t>
            </w:r>
            <w:r w:rsidRPr="00833E7C">
              <w:rPr>
                <w:bCs/>
              </w:rPr>
              <w:t>Číne, zatiaľ čo hospodárstvo USA prekvapilo svojou odolnosťou. Negatívny vývoj zaznamenali aj naši najbližší obchodní partneri z</w:t>
            </w:r>
            <w:r w:rsidR="001F22FC">
              <w:rPr>
                <w:bCs/>
              </w:rPr>
              <w:t> </w:t>
            </w:r>
            <w:r w:rsidRPr="00833E7C">
              <w:rPr>
                <w:bCs/>
              </w:rPr>
              <w:t>V4, kde sa výkon v</w:t>
            </w:r>
            <w:r w:rsidR="001F22FC">
              <w:rPr>
                <w:bCs/>
              </w:rPr>
              <w:t> </w:t>
            </w:r>
            <w:r w:rsidRPr="00833E7C">
              <w:rPr>
                <w:bCs/>
              </w:rPr>
              <w:t>Česku a</w:t>
            </w:r>
            <w:r w:rsidR="001F22FC">
              <w:rPr>
                <w:bCs/>
              </w:rPr>
              <w:t> </w:t>
            </w:r>
            <w:r w:rsidRPr="00833E7C">
              <w:rPr>
                <w:bCs/>
              </w:rPr>
              <w:t>Maďarsku mierne znížil a</w:t>
            </w:r>
            <w:r w:rsidR="001F22FC">
              <w:rPr>
                <w:bCs/>
              </w:rPr>
              <w:t> </w:t>
            </w:r>
            <w:r w:rsidRPr="00833E7C">
              <w:rPr>
                <w:bCs/>
              </w:rPr>
              <w:t>poľská ekonomika len sta</w:t>
            </w:r>
            <w:r>
              <w:rPr>
                <w:bCs/>
              </w:rPr>
              <w:t>g</w:t>
            </w:r>
            <w:r w:rsidRPr="00833E7C">
              <w:rPr>
                <w:bCs/>
              </w:rPr>
              <w:t>novala.</w:t>
            </w:r>
          </w:p>
          <w:p w14:paraId="169FD91B" w14:textId="67EDF146" w:rsidR="00330ADF" w:rsidRDefault="00330ADF" w:rsidP="00BF39FD">
            <w:pPr>
              <w:spacing w:before="120"/>
              <w:jc w:val="both"/>
              <w:rPr>
                <w:bCs/>
                <w:szCs w:val="20"/>
              </w:rPr>
            </w:pPr>
            <w:r w:rsidRPr="00833E7C">
              <w:rPr>
                <w:b/>
                <w:szCs w:val="20"/>
              </w:rPr>
              <w:t xml:space="preserve">Problematickým zostáva odvetvie priemyslu, kým služby oživenie podporujú. </w:t>
            </w:r>
            <w:r w:rsidRPr="00833E7C">
              <w:rPr>
                <w:bCs/>
                <w:szCs w:val="20"/>
              </w:rPr>
              <w:t>Európsky priemysel sa vplyvom nízkeho zahraničného dopytu a</w:t>
            </w:r>
            <w:r w:rsidR="001F22FC">
              <w:rPr>
                <w:bCs/>
                <w:szCs w:val="20"/>
              </w:rPr>
              <w:t> </w:t>
            </w:r>
            <w:r w:rsidRPr="00833E7C">
              <w:rPr>
                <w:bCs/>
                <w:szCs w:val="20"/>
              </w:rPr>
              <w:t>vysokých úrokových sadzieb nedokázal dostať na cestu oživenia počas celého roka. Pod tlakom je najmä ťažký a</w:t>
            </w:r>
            <w:r w:rsidR="001F22FC">
              <w:rPr>
                <w:bCs/>
                <w:szCs w:val="20"/>
              </w:rPr>
              <w:t> </w:t>
            </w:r>
            <w:r w:rsidRPr="00833E7C">
              <w:rPr>
                <w:bCs/>
                <w:szCs w:val="20"/>
              </w:rPr>
              <w:t>energeticky náročný priemysel, na čo dopláca Nemecko, ale aj iné silne priemyselne orientované krajiny ako Česko či Maďarsko. Napriek tomu, že predstihové indikátory naznačujú nástup mierneho oživenia globálneho priemyslu, nepriaznivý vývoj v</w:t>
            </w:r>
            <w:r w:rsidR="001F22FC">
              <w:rPr>
                <w:bCs/>
                <w:szCs w:val="20"/>
              </w:rPr>
              <w:t> </w:t>
            </w:r>
            <w:r w:rsidRPr="00833E7C">
              <w:rPr>
                <w:bCs/>
                <w:szCs w:val="20"/>
              </w:rPr>
              <w:t>Nemecku a</w:t>
            </w:r>
            <w:r w:rsidR="001F22FC">
              <w:rPr>
                <w:bCs/>
                <w:szCs w:val="20"/>
              </w:rPr>
              <w:t> </w:t>
            </w:r>
            <w:r w:rsidRPr="00833E7C">
              <w:rPr>
                <w:bCs/>
                <w:szCs w:val="20"/>
              </w:rPr>
              <w:t>celej eurozóne pretrval aj v</w:t>
            </w:r>
            <w:r w:rsidR="001F22FC">
              <w:rPr>
                <w:bCs/>
                <w:szCs w:val="20"/>
              </w:rPr>
              <w:t> </w:t>
            </w:r>
            <w:r w:rsidRPr="00833E7C">
              <w:rPr>
                <w:bCs/>
                <w:szCs w:val="20"/>
              </w:rPr>
              <w:t>prvom kvartáli tohto roka. Naopak, sektor služieb vstúpil do nového roka s</w:t>
            </w:r>
            <w:r w:rsidR="001F22FC">
              <w:rPr>
                <w:bCs/>
                <w:szCs w:val="20"/>
              </w:rPr>
              <w:t> </w:t>
            </w:r>
            <w:r w:rsidRPr="00833E7C">
              <w:rPr>
                <w:bCs/>
                <w:szCs w:val="20"/>
              </w:rPr>
              <w:t>pozitívnou dynamikou a</w:t>
            </w:r>
            <w:r w:rsidR="001F22FC">
              <w:rPr>
                <w:bCs/>
                <w:szCs w:val="20"/>
              </w:rPr>
              <w:t> </w:t>
            </w:r>
            <w:r w:rsidRPr="00833E7C">
              <w:rPr>
                <w:bCs/>
                <w:szCs w:val="20"/>
              </w:rPr>
              <w:t>zaznamenal prvé mesiace rastu, čo naznačuje, že tohtoročný ekonomický rast by mohol prekonať výkonnosť z</w:t>
            </w:r>
            <w:r w:rsidR="001F22FC">
              <w:rPr>
                <w:bCs/>
                <w:szCs w:val="20"/>
              </w:rPr>
              <w:t> </w:t>
            </w:r>
            <w:r w:rsidRPr="00833E7C">
              <w:rPr>
                <w:bCs/>
                <w:szCs w:val="20"/>
              </w:rPr>
              <w:t>minulého roka.</w:t>
            </w:r>
          </w:p>
          <w:p w14:paraId="1C5CCDC0" w14:textId="722C7A4B" w:rsidR="00330ADF" w:rsidRPr="00BF39FD" w:rsidRDefault="00330ADF" w:rsidP="00BF39FD">
            <w:pPr>
              <w:spacing w:before="120"/>
              <w:jc w:val="both"/>
              <w:rPr>
                <w:bCs/>
                <w:szCs w:val="20"/>
              </w:rPr>
            </w:pPr>
            <w:r w:rsidRPr="00833E7C">
              <w:rPr>
                <w:b/>
                <w:szCs w:val="20"/>
              </w:rPr>
              <w:t>Zahraničný dopyt v</w:t>
            </w:r>
            <w:r w:rsidR="001F22FC">
              <w:rPr>
                <w:b/>
                <w:szCs w:val="20"/>
              </w:rPr>
              <w:t> </w:t>
            </w:r>
            <w:r w:rsidRPr="00833E7C">
              <w:rPr>
                <w:b/>
                <w:szCs w:val="20"/>
              </w:rPr>
              <w:t>tomto roku porastie pomalšie</w:t>
            </w:r>
            <w:r>
              <w:rPr>
                <w:b/>
                <w:szCs w:val="20"/>
              </w:rPr>
              <w:t>.</w:t>
            </w:r>
            <w:r w:rsidRPr="00833E7C">
              <w:rPr>
                <w:bCs/>
                <w:szCs w:val="20"/>
              </w:rPr>
              <w:t xml:space="preserve"> Vzhľadom na negatívne momentum zo začiatku roka a</w:t>
            </w:r>
            <w:r w:rsidR="001F22FC">
              <w:rPr>
                <w:bCs/>
                <w:szCs w:val="20"/>
              </w:rPr>
              <w:t> </w:t>
            </w:r>
            <w:r w:rsidRPr="00833E7C">
              <w:rPr>
                <w:bCs/>
                <w:szCs w:val="20"/>
              </w:rPr>
              <w:t>slabší carry-over efekt z</w:t>
            </w:r>
            <w:r w:rsidR="001F22FC">
              <w:rPr>
                <w:bCs/>
                <w:szCs w:val="20"/>
              </w:rPr>
              <w:t> </w:t>
            </w:r>
            <w:r w:rsidRPr="00833E7C">
              <w:rPr>
                <w:bCs/>
                <w:szCs w:val="20"/>
              </w:rPr>
              <w:t>minulého roka bude tohtoročný zahraničný dopyt nižší. Akcelerácia oživenia by sa mala dostaviť v</w:t>
            </w:r>
            <w:r w:rsidR="001F22FC">
              <w:rPr>
                <w:bCs/>
                <w:szCs w:val="20"/>
              </w:rPr>
              <w:t> </w:t>
            </w:r>
            <w:r w:rsidRPr="00833E7C">
              <w:rPr>
                <w:bCs/>
                <w:szCs w:val="20"/>
              </w:rPr>
              <w:t>druhej polovici roka, keď ECB zníži svoje úrokové sadzby. Nižšie náklady financovania a</w:t>
            </w:r>
            <w:r w:rsidR="001F22FC">
              <w:rPr>
                <w:bCs/>
                <w:szCs w:val="20"/>
              </w:rPr>
              <w:t> </w:t>
            </w:r>
            <w:r w:rsidRPr="00833E7C">
              <w:rPr>
                <w:bCs/>
                <w:szCs w:val="20"/>
              </w:rPr>
              <w:t>pokračujúce globálne oživenie podporia rast najmä v</w:t>
            </w:r>
            <w:r w:rsidR="001F22FC">
              <w:rPr>
                <w:bCs/>
                <w:szCs w:val="20"/>
              </w:rPr>
              <w:t> </w:t>
            </w:r>
            <w:r w:rsidRPr="00833E7C">
              <w:rPr>
                <w:bCs/>
                <w:szCs w:val="20"/>
              </w:rPr>
              <w:t>trpiacom priemyselnom sektore. Náš zahraničný dopyt v</w:t>
            </w:r>
            <w:r w:rsidR="001F22FC">
              <w:rPr>
                <w:bCs/>
                <w:szCs w:val="20"/>
              </w:rPr>
              <w:t> </w:t>
            </w:r>
            <w:r w:rsidRPr="00833E7C">
              <w:rPr>
                <w:bCs/>
                <w:szCs w:val="20"/>
              </w:rPr>
              <w:t>tomto roku porastie hlavne vďaka solídnemu rastu regiónu V3 podporenému rýchlym tempom uvoľňovania menovej politiky. Na dlhšom horizonte očakávame postupnú akomodáciu šokov v</w:t>
            </w:r>
            <w:r w:rsidR="001F22FC">
              <w:rPr>
                <w:bCs/>
                <w:szCs w:val="20"/>
              </w:rPr>
              <w:t> </w:t>
            </w:r>
            <w:r w:rsidRPr="00833E7C">
              <w:rPr>
                <w:bCs/>
                <w:szCs w:val="20"/>
              </w:rPr>
              <w:t>eurozóne a</w:t>
            </w:r>
            <w:r w:rsidR="001F22FC">
              <w:rPr>
                <w:bCs/>
                <w:szCs w:val="20"/>
              </w:rPr>
              <w:t> </w:t>
            </w:r>
            <w:r w:rsidRPr="00833E7C">
              <w:rPr>
                <w:bCs/>
                <w:szCs w:val="20"/>
              </w:rPr>
              <w:t>Nemecku, čo zabezpečí stabilizáciu zahraničného dopytu v</w:t>
            </w:r>
            <w:r w:rsidR="001F22FC">
              <w:rPr>
                <w:bCs/>
                <w:szCs w:val="20"/>
              </w:rPr>
              <w:t> </w:t>
            </w:r>
            <w:r w:rsidRPr="00833E7C">
              <w:rPr>
                <w:bCs/>
                <w:szCs w:val="20"/>
              </w:rPr>
              <w:t>nasledujúcich rokoch.</w:t>
            </w:r>
          </w:p>
          <w:tbl>
            <w:tblPr>
              <w:tblpPr w:leftFromText="141" w:rightFromText="141" w:vertAnchor="text" w:horzAnchor="margin" w:tblpY="61"/>
              <w:tblOverlap w:val="never"/>
              <w:tblW w:w="4895"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126"/>
              <w:gridCol w:w="175"/>
              <w:gridCol w:w="4346"/>
            </w:tblGrid>
            <w:tr w:rsidR="00330ADF" w:rsidRPr="009B64E6" w14:paraId="0B603DE8" w14:textId="77777777" w:rsidTr="00CC1F9E">
              <w:trPr>
                <w:trHeight w:val="356"/>
              </w:trPr>
              <w:tc>
                <w:tcPr>
                  <w:tcW w:w="2386" w:type="pct"/>
                  <w:tcBorders>
                    <w:top w:val="nil"/>
                    <w:left w:val="nil"/>
                    <w:bottom w:val="single" w:sz="4" w:space="0" w:color="auto"/>
                    <w:right w:val="nil"/>
                  </w:tcBorders>
                  <w:shd w:val="clear" w:color="auto" w:fill="auto"/>
                  <w:vAlign w:val="center"/>
                </w:tcPr>
                <w:p w14:paraId="2F4E0C87" w14:textId="7BC7DC9F" w:rsidR="00330ADF" w:rsidRPr="00364A1B" w:rsidRDefault="00330ADF" w:rsidP="00664E8C">
                  <w:pPr>
                    <w:spacing w:before="120"/>
                    <w:rPr>
                      <w:rFonts w:cs="Arial"/>
                      <w:b/>
                      <w:bCs/>
                      <w:color w:val="2C9ADC"/>
                      <w:sz w:val="20"/>
                      <w:szCs w:val="20"/>
                    </w:rPr>
                  </w:pPr>
                  <w:bookmarkStart w:id="96" w:name="_Toc117765249"/>
                  <w:bookmarkStart w:id="97" w:name="_Toc152932869"/>
                  <w:bookmarkStart w:id="98" w:name="_Toc164684570"/>
                  <w:r w:rsidRPr="00364A1B">
                    <w:rPr>
                      <w:rFonts w:eastAsia="NeueHaasGroteskText W02" w:cs="Arial"/>
                      <w:b/>
                      <w:bCs/>
                      <w:color w:val="2C9ADC"/>
                      <w:sz w:val="20"/>
                      <w:szCs w:val="20"/>
                      <w:u w:color="2C9ADC"/>
                    </w:rPr>
                    <w:t xml:space="preserve">GRAF </w:t>
                  </w:r>
                  <w:r w:rsidR="008D6A85" w:rsidRPr="00364A1B">
                    <w:rPr>
                      <w:b/>
                      <w:bCs/>
                      <w:color w:val="2C9ADC"/>
                      <w:sz w:val="20"/>
                      <w:szCs w:val="20"/>
                    </w:rPr>
                    <w:fldChar w:fldCharType="begin"/>
                  </w:r>
                  <w:r w:rsidR="008D6A85" w:rsidRPr="00364A1B">
                    <w:rPr>
                      <w:b/>
                      <w:bCs/>
                      <w:color w:val="2C9ADC"/>
                      <w:sz w:val="20"/>
                      <w:szCs w:val="20"/>
                    </w:rPr>
                    <w:instrText xml:space="preserve"> SEQ GRAF \* ARABIC </w:instrText>
                  </w:r>
                  <w:r w:rsidR="008D6A85" w:rsidRPr="00364A1B">
                    <w:rPr>
                      <w:b/>
                      <w:bCs/>
                      <w:color w:val="2C9ADC"/>
                      <w:sz w:val="20"/>
                      <w:szCs w:val="20"/>
                    </w:rPr>
                    <w:fldChar w:fldCharType="separate"/>
                  </w:r>
                  <w:r w:rsidR="007435E9">
                    <w:rPr>
                      <w:b/>
                      <w:bCs/>
                      <w:noProof/>
                      <w:color w:val="2C9ADC"/>
                      <w:sz w:val="20"/>
                      <w:szCs w:val="20"/>
                    </w:rPr>
                    <w:t>5</w:t>
                  </w:r>
                  <w:r w:rsidR="008D6A85" w:rsidRPr="00364A1B">
                    <w:rPr>
                      <w:b/>
                      <w:bCs/>
                      <w:color w:val="2C9ADC"/>
                      <w:sz w:val="20"/>
                      <w:szCs w:val="20"/>
                    </w:rPr>
                    <w:fldChar w:fldCharType="end"/>
                  </w:r>
                  <w:r w:rsidRPr="00364A1B">
                    <w:rPr>
                      <w:rFonts w:eastAsia="NeueHaasGroteskText W02" w:cs="Arial"/>
                      <w:b/>
                      <w:bCs/>
                      <w:color w:val="2C9ADC"/>
                      <w:sz w:val="20"/>
                      <w:szCs w:val="20"/>
                      <w:u w:color="2C9ADC"/>
                    </w:rPr>
                    <w:t xml:space="preserve"> – Medziročná zmena váž. </w:t>
                  </w:r>
                  <w:r w:rsidR="001F22FC" w:rsidRPr="00364A1B">
                    <w:rPr>
                      <w:rFonts w:eastAsia="NeueHaasGroteskText W02" w:cs="Arial"/>
                      <w:b/>
                      <w:bCs/>
                      <w:color w:val="2C9ADC"/>
                      <w:sz w:val="20"/>
                      <w:szCs w:val="20"/>
                      <w:u w:color="2C9ADC"/>
                    </w:rPr>
                    <w:t>I</w:t>
                  </w:r>
                  <w:r w:rsidRPr="00364A1B">
                    <w:rPr>
                      <w:rFonts w:eastAsia="NeueHaasGroteskText W02" w:cs="Arial"/>
                      <w:b/>
                      <w:bCs/>
                      <w:color w:val="2C9ADC"/>
                      <w:sz w:val="20"/>
                      <w:szCs w:val="20"/>
                      <w:u w:color="2C9ADC"/>
                    </w:rPr>
                    <w:t>ndexu zahraničného dopytu (%)</w:t>
                  </w:r>
                  <w:bookmarkEnd w:id="96"/>
                  <w:bookmarkEnd w:id="97"/>
                  <w:bookmarkEnd w:id="98"/>
                </w:p>
              </w:tc>
              <w:tc>
                <w:tcPr>
                  <w:tcW w:w="101" w:type="pct"/>
                  <w:tcBorders>
                    <w:top w:val="nil"/>
                    <w:left w:val="nil"/>
                    <w:bottom w:val="nil"/>
                    <w:right w:val="nil"/>
                  </w:tcBorders>
                  <w:shd w:val="clear" w:color="auto" w:fill="auto"/>
                  <w:vAlign w:val="center"/>
                </w:tcPr>
                <w:p w14:paraId="60435F59" w14:textId="77777777" w:rsidR="00330ADF" w:rsidRPr="0054152B" w:rsidRDefault="00330ADF" w:rsidP="00CC1F9E">
                  <w:pPr>
                    <w:spacing w:before="60" w:after="60"/>
                    <w:rPr>
                      <w:rFonts w:cs="Arial"/>
                      <w:b/>
                      <w:color w:val="2C9ADC"/>
                      <w:sz w:val="20"/>
                      <w:szCs w:val="20"/>
                    </w:rPr>
                  </w:pPr>
                </w:p>
              </w:tc>
              <w:tc>
                <w:tcPr>
                  <w:tcW w:w="2513" w:type="pct"/>
                  <w:tcBorders>
                    <w:top w:val="nil"/>
                    <w:left w:val="nil"/>
                    <w:bottom w:val="single" w:sz="4" w:space="0" w:color="auto"/>
                    <w:right w:val="nil"/>
                  </w:tcBorders>
                  <w:shd w:val="clear" w:color="auto" w:fill="auto"/>
                  <w:vAlign w:val="center"/>
                </w:tcPr>
                <w:p w14:paraId="13ADBE0A" w14:textId="26B89345" w:rsidR="00330ADF" w:rsidRPr="00364A1B" w:rsidRDefault="00330ADF" w:rsidP="00664E8C">
                  <w:pPr>
                    <w:spacing w:before="120"/>
                    <w:rPr>
                      <w:rFonts w:eastAsia="NeueHaasGroteskText W02" w:cs="Arial"/>
                      <w:b/>
                      <w:bCs/>
                      <w:color w:val="2C9ADC"/>
                      <w:sz w:val="20"/>
                      <w:szCs w:val="20"/>
                      <w:u w:color="2C9ADC"/>
                    </w:rPr>
                  </w:pPr>
                  <w:bookmarkStart w:id="99" w:name="_Toc117765250"/>
                  <w:bookmarkStart w:id="100" w:name="_Toc152932870"/>
                  <w:bookmarkStart w:id="101" w:name="_Toc164684571"/>
                  <w:r w:rsidRPr="00364A1B">
                    <w:rPr>
                      <w:rFonts w:eastAsia="NeueHaasGroteskText W02" w:cs="Arial"/>
                      <w:b/>
                      <w:bCs/>
                      <w:color w:val="2C9ADC"/>
                      <w:sz w:val="20"/>
                      <w:szCs w:val="20"/>
                      <w:u w:color="2C9ADC"/>
                    </w:rPr>
                    <w:t xml:space="preserve">GRAF </w:t>
                  </w:r>
                  <w:r w:rsidR="009F6FB1" w:rsidRPr="00364A1B">
                    <w:rPr>
                      <w:b/>
                      <w:bCs/>
                      <w:color w:val="2C9ADC"/>
                      <w:sz w:val="20"/>
                      <w:szCs w:val="20"/>
                    </w:rPr>
                    <w:fldChar w:fldCharType="begin"/>
                  </w:r>
                  <w:r w:rsidR="009F6FB1" w:rsidRPr="00364A1B">
                    <w:rPr>
                      <w:b/>
                      <w:bCs/>
                      <w:color w:val="2C9ADC"/>
                      <w:sz w:val="20"/>
                      <w:szCs w:val="20"/>
                    </w:rPr>
                    <w:instrText xml:space="preserve"> SEQ GRAF \* ARABIC </w:instrText>
                  </w:r>
                  <w:r w:rsidR="009F6FB1" w:rsidRPr="00364A1B">
                    <w:rPr>
                      <w:b/>
                      <w:bCs/>
                      <w:color w:val="2C9ADC"/>
                      <w:sz w:val="20"/>
                      <w:szCs w:val="20"/>
                    </w:rPr>
                    <w:fldChar w:fldCharType="separate"/>
                  </w:r>
                  <w:r w:rsidR="007435E9">
                    <w:rPr>
                      <w:b/>
                      <w:bCs/>
                      <w:noProof/>
                      <w:color w:val="2C9ADC"/>
                      <w:sz w:val="20"/>
                      <w:szCs w:val="20"/>
                    </w:rPr>
                    <w:t>6</w:t>
                  </w:r>
                  <w:r w:rsidR="009F6FB1" w:rsidRPr="00364A1B">
                    <w:rPr>
                      <w:b/>
                      <w:bCs/>
                      <w:color w:val="2C9ADC"/>
                      <w:sz w:val="20"/>
                      <w:szCs w:val="20"/>
                    </w:rPr>
                    <w:fldChar w:fldCharType="end"/>
                  </w:r>
                  <w:r w:rsidRPr="00364A1B">
                    <w:rPr>
                      <w:rFonts w:eastAsia="NeueHaasGroteskText W02" w:cs="Arial"/>
                      <w:b/>
                      <w:bCs/>
                      <w:color w:val="2C9ADC"/>
                      <w:sz w:val="20"/>
                      <w:szCs w:val="20"/>
                      <w:u w:color="2C9ADC"/>
                    </w:rPr>
                    <w:t xml:space="preserve"> – </w:t>
                  </w:r>
                  <w:bookmarkEnd w:id="99"/>
                  <w:bookmarkEnd w:id="100"/>
                  <w:r w:rsidRPr="00364A1B">
                    <w:rPr>
                      <w:rFonts w:eastAsia="NeueHaasGroteskText W02" w:cs="Arial"/>
                      <w:b/>
                      <w:bCs/>
                      <w:color w:val="2C9ADC"/>
                      <w:sz w:val="20"/>
                      <w:szCs w:val="20"/>
                      <w:u w:color="2C9ADC"/>
                    </w:rPr>
                    <w:t xml:space="preserve">Odhad vývoja </w:t>
                  </w:r>
                  <w:r w:rsidR="00BF4991">
                    <w:rPr>
                      <w:rFonts w:eastAsia="NeueHaasGroteskText W02" w:cs="Arial"/>
                      <w:b/>
                      <w:bCs/>
                      <w:color w:val="2C9ADC"/>
                      <w:sz w:val="20"/>
                      <w:szCs w:val="20"/>
                      <w:u w:color="2C9ADC"/>
                    </w:rPr>
                    <w:t xml:space="preserve">krátkodobej </w:t>
                  </w:r>
                  <w:r w:rsidRPr="00364A1B">
                    <w:rPr>
                      <w:rFonts w:eastAsia="NeueHaasGroteskText W02" w:cs="Arial"/>
                      <w:b/>
                      <w:bCs/>
                      <w:color w:val="2C9ADC"/>
                      <w:sz w:val="20"/>
                      <w:szCs w:val="20"/>
                      <w:u w:color="2C9ADC"/>
                    </w:rPr>
                    <w:t xml:space="preserve">úr. </w:t>
                  </w:r>
                  <w:r w:rsidR="00BF4991">
                    <w:rPr>
                      <w:rFonts w:eastAsia="NeueHaasGroteskText W02" w:cs="Arial"/>
                      <w:b/>
                      <w:bCs/>
                      <w:color w:val="2C9ADC"/>
                      <w:sz w:val="20"/>
                      <w:szCs w:val="20"/>
                      <w:u w:color="2C9ADC"/>
                    </w:rPr>
                    <w:t>s</w:t>
                  </w:r>
                  <w:r w:rsidRPr="00364A1B">
                    <w:rPr>
                      <w:rFonts w:eastAsia="NeueHaasGroteskText W02" w:cs="Arial"/>
                      <w:b/>
                      <w:bCs/>
                      <w:color w:val="2C9ADC"/>
                      <w:sz w:val="20"/>
                      <w:szCs w:val="20"/>
                      <w:u w:color="2C9ADC"/>
                    </w:rPr>
                    <w:t xml:space="preserve">adzby </w:t>
                  </w:r>
                  <w:r w:rsidR="00BF4991">
                    <w:rPr>
                      <w:rFonts w:eastAsia="NeueHaasGroteskText W02" w:cs="Arial"/>
                      <w:b/>
                      <w:bCs/>
                      <w:color w:val="2C9ADC"/>
                      <w:sz w:val="20"/>
                      <w:szCs w:val="20"/>
                      <w:u w:color="2C9ADC"/>
                    </w:rPr>
                    <w:t>(</w:t>
                  </w:r>
                  <w:r w:rsidRPr="00364A1B">
                    <w:rPr>
                      <w:rFonts w:eastAsia="NeueHaasGroteskText W02" w:cs="Arial"/>
                      <w:b/>
                      <w:bCs/>
                      <w:color w:val="2C9ADC"/>
                      <w:sz w:val="20"/>
                      <w:szCs w:val="20"/>
                      <w:u w:color="2C9ADC"/>
                    </w:rPr>
                    <w:t>€str</w:t>
                  </w:r>
                  <w:r w:rsidR="00BF4991">
                    <w:rPr>
                      <w:rFonts w:eastAsia="NeueHaasGroteskText W02" w:cs="Arial"/>
                      <w:b/>
                      <w:bCs/>
                      <w:color w:val="2C9ADC"/>
                      <w:sz w:val="20"/>
                      <w:szCs w:val="20"/>
                      <w:u w:color="2C9ADC"/>
                    </w:rPr>
                    <w:t>)</w:t>
                  </w:r>
                  <w:r w:rsidRPr="00364A1B">
                    <w:rPr>
                      <w:rFonts w:eastAsia="NeueHaasGroteskText W02" w:cs="Arial"/>
                      <w:b/>
                      <w:bCs/>
                      <w:color w:val="2C9ADC"/>
                      <w:sz w:val="20"/>
                      <w:szCs w:val="20"/>
                      <w:u w:color="2C9ADC"/>
                    </w:rPr>
                    <w:t xml:space="preserve"> podľa úr. </w:t>
                  </w:r>
                  <w:r w:rsidR="00BF4991">
                    <w:rPr>
                      <w:rFonts w:eastAsia="NeueHaasGroteskText W02" w:cs="Arial"/>
                      <w:b/>
                      <w:bCs/>
                      <w:color w:val="2C9ADC"/>
                      <w:sz w:val="20"/>
                      <w:szCs w:val="20"/>
                      <w:u w:color="2C9ADC"/>
                    </w:rPr>
                    <w:t>s</w:t>
                  </w:r>
                  <w:r w:rsidRPr="00364A1B">
                    <w:rPr>
                      <w:rFonts w:eastAsia="NeueHaasGroteskText W02" w:cs="Arial"/>
                      <w:b/>
                      <w:bCs/>
                      <w:color w:val="2C9ADC"/>
                      <w:sz w:val="20"/>
                      <w:szCs w:val="20"/>
                      <w:u w:color="2C9ADC"/>
                    </w:rPr>
                    <w:t>wapov</w:t>
                  </w:r>
                  <w:bookmarkEnd w:id="101"/>
                </w:p>
              </w:tc>
            </w:tr>
            <w:tr w:rsidR="00330ADF" w:rsidRPr="009B64E6" w14:paraId="1A930A2D" w14:textId="77777777" w:rsidTr="00CC1F9E">
              <w:trPr>
                <w:trHeight w:val="908"/>
              </w:trPr>
              <w:tc>
                <w:tcPr>
                  <w:tcW w:w="2386" w:type="pct"/>
                  <w:tcBorders>
                    <w:top w:val="single" w:sz="4" w:space="0" w:color="auto"/>
                    <w:left w:val="nil"/>
                    <w:bottom w:val="single" w:sz="4" w:space="0" w:color="auto"/>
                    <w:right w:val="nil"/>
                  </w:tcBorders>
                  <w:vAlign w:val="center"/>
                </w:tcPr>
                <w:p w14:paraId="0633B092" w14:textId="77777777" w:rsidR="00330ADF" w:rsidRPr="009B64E6" w:rsidRDefault="00330ADF" w:rsidP="00CC1F9E">
                  <w:pPr>
                    <w:spacing w:before="40" w:after="40"/>
                    <w:jc w:val="center"/>
                    <w:rPr>
                      <w:rFonts w:cs="Arial"/>
                      <w:b/>
                      <w:highlight w:val="yellow"/>
                    </w:rPr>
                  </w:pPr>
                  <w:r>
                    <w:rPr>
                      <w:noProof/>
                    </w:rPr>
                    <w:drawing>
                      <wp:inline distT="0" distB="0" distL="0" distR="0" wp14:anchorId="5E42EE9F" wp14:editId="01973771">
                        <wp:extent cx="2447925" cy="1908000"/>
                        <wp:effectExtent l="0" t="0" r="0" b="0"/>
                        <wp:docPr id="48" name="Graf 48">
                          <a:extLst xmlns:a="http://schemas.openxmlformats.org/drawingml/2006/main">
                            <a:ext uri="{FF2B5EF4-FFF2-40B4-BE49-F238E27FC236}">
                              <a16:creationId xmlns:a16="http://schemas.microsoft.com/office/drawing/2014/main" id="{EB06B4DA-8E7D-4B06-856C-EF89C9632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101" w:type="pct"/>
                  <w:tcBorders>
                    <w:top w:val="nil"/>
                    <w:left w:val="nil"/>
                    <w:bottom w:val="nil"/>
                    <w:right w:val="nil"/>
                  </w:tcBorders>
                  <w:vAlign w:val="center"/>
                </w:tcPr>
                <w:p w14:paraId="080988DD" w14:textId="77777777" w:rsidR="00330ADF" w:rsidRPr="009B64E6" w:rsidRDefault="00330ADF" w:rsidP="00CC1F9E">
                  <w:pPr>
                    <w:spacing w:before="40" w:after="40"/>
                    <w:jc w:val="center"/>
                    <w:rPr>
                      <w:rFonts w:cs="Arial"/>
                      <w:b/>
                      <w:highlight w:val="yellow"/>
                    </w:rPr>
                  </w:pPr>
                </w:p>
              </w:tc>
              <w:tc>
                <w:tcPr>
                  <w:tcW w:w="2513" w:type="pct"/>
                  <w:tcBorders>
                    <w:top w:val="single" w:sz="4" w:space="0" w:color="auto"/>
                    <w:left w:val="nil"/>
                    <w:bottom w:val="single" w:sz="4" w:space="0" w:color="auto"/>
                    <w:right w:val="nil"/>
                  </w:tcBorders>
                  <w:vAlign w:val="center"/>
                </w:tcPr>
                <w:p w14:paraId="70D4461F" w14:textId="77777777" w:rsidR="00330ADF" w:rsidRPr="009B64E6" w:rsidRDefault="00330ADF" w:rsidP="00CC1F9E">
                  <w:pPr>
                    <w:spacing w:before="40" w:after="40"/>
                    <w:jc w:val="center"/>
                    <w:rPr>
                      <w:rFonts w:cs="Arial"/>
                      <w:b/>
                      <w:highlight w:val="yellow"/>
                    </w:rPr>
                  </w:pPr>
                  <w:r>
                    <w:rPr>
                      <w:noProof/>
                    </w:rPr>
                    <w:drawing>
                      <wp:inline distT="0" distB="0" distL="0" distR="0" wp14:anchorId="69D7608D" wp14:editId="615A99CB">
                        <wp:extent cx="2447925" cy="1886040"/>
                        <wp:effectExtent l="0" t="0" r="0" b="0"/>
                        <wp:docPr id="49" name="Graf 49">
                          <a:extLst xmlns:a="http://schemas.openxmlformats.org/drawingml/2006/main">
                            <a:ext uri="{FF2B5EF4-FFF2-40B4-BE49-F238E27FC236}">
                              <a16:creationId xmlns:a16="http://schemas.microsoft.com/office/drawing/2014/main" id="{FBE219B3-8C47-4DC4-BD89-B3055BC87D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330ADF" w:rsidRPr="009B64E6" w14:paraId="1F00124D" w14:textId="77777777" w:rsidTr="00CC1F9E">
              <w:trPr>
                <w:trHeight w:val="114"/>
              </w:trPr>
              <w:tc>
                <w:tcPr>
                  <w:tcW w:w="2386" w:type="pct"/>
                  <w:tcBorders>
                    <w:top w:val="single" w:sz="4" w:space="0" w:color="auto"/>
                    <w:left w:val="nil"/>
                    <w:bottom w:val="nil"/>
                    <w:right w:val="nil"/>
                  </w:tcBorders>
                  <w:vAlign w:val="center"/>
                </w:tcPr>
                <w:p w14:paraId="15FA1E04" w14:textId="25D838E0" w:rsidR="00330ADF" w:rsidRPr="0054152B" w:rsidRDefault="00330ADF" w:rsidP="00CC1F9E">
                  <w:pPr>
                    <w:jc w:val="right"/>
                    <w:rPr>
                      <w:rFonts w:cs="Arial"/>
                      <w:color w:val="2C9ADC"/>
                      <w:sz w:val="16"/>
                    </w:rPr>
                  </w:pPr>
                  <w:r w:rsidRPr="0054152B">
                    <w:rPr>
                      <w:rFonts w:cs="Arial"/>
                      <w:i/>
                      <w:sz w:val="16"/>
                    </w:rPr>
                    <w:t xml:space="preserve">Zdroj: </w:t>
                  </w:r>
                  <w:r w:rsidR="00BF39FD">
                    <w:rPr>
                      <w:rFonts w:cs="Arial"/>
                      <w:i/>
                      <w:sz w:val="16"/>
                    </w:rPr>
                    <w:t>MF SR</w:t>
                  </w:r>
                </w:p>
              </w:tc>
              <w:tc>
                <w:tcPr>
                  <w:tcW w:w="101" w:type="pct"/>
                  <w:tcBorders>
                    <w:top w:val="nil"/>
                    <w:left w:val="nil"/>
                    <w:bottom w:val="nil"/>
                    <w:right w:val="nil"/>
                  </w:tcBorders>
                </w:tcPr>
                <w:p w14:paraId="375E45BD" w14:textId="77777777" w:rsidR="00330ADF" w:rsidRPr="0054152B" w:rsidRDefault="00330ADF" w:rsidP="00CC1F9E">
                  <w:pPr>
                    <w:jc w:val="right"/>
                    <w:rPr>
                      <w:rFonts w:cs="Arial"/>
                      <w:i/>
                      <w:sz w:val="16"/>
                    </w:rPr>
                  </w:pPr>
                </w:p>
              </w:tc>
              <w:tc>
                <w:tcPr>
                  <w:tcW w:w="2513" w:type="pct"/>
                  <w:tcBorders>
                    <w:top w:val="single" w:sz="4" w:space="0" w:color="auto"/>
                    <w:left w:val="nil"/>
                    <w:bottom w:val="nil"/>
                    <w:right w:val="nil"/>
                  </w:tcBorders>
                </w:tcPr>
                <w:p w14:paraId="36A625AC" w14:textId="37E28771" w:rsidR="00330ADF" w:rsidRPr="0054152B" w:rsidRDefault="00330ADF" w:rsidP="00CC1F9E">
                  <w:pPr>
                    <w:spacing w:before="40" w:after="40"/>
                    <w:jc w:val="right"/>
                    <w:rPr>
                      <w:rFonts w:cs="Arial"/>
                      <w:i/>
                      <w:sz w:val="16"/>
                    </w:rPr>
                  </w:pPr>
                  <w:r w:rsidRPr="0054152B">
                    <w:rPr>
                      <w:rFonts w:cs="Arial"/>
                      <w:i/>
                      <w:sz w:val="16"/>
                    </w:rPr>
                    <w:t xml:space="preserve">Zdroj: Bloomberg, </w:t>
                  </w:r>
                  <w:r w:rsidR="00BF39FD">
                    <w:rPr>
                      <w:rFonts w:cs="Arial"/>
                      <w:i/>
                      <w:sz w:val="16"/>
                    </w:rPr>
                    <w:t>MF SR</w:t>
                  </w:r>
                </w:p>
              </w:tc>
            </w:tr>
          </w:tbl>
          <w:p w14:paraId="60CACD24" w14:textId="77777777" w:rsidR="00330ADF" w:rsidRPr="009B64E6" w:rsidRDefault="00330ADF" w:rsidP="00CC1F9E">
            <w:pPr>
              <w:jc w:val="both"/>
              <w:rPr>
                <w:rFonts w:eastAsia="NeueHaasGroteskText W02" w:cs="NeueHaasGroteskText W02"/>
                <w:bCs/>
                <w:noProof/>
                <w:sz w:val="20"/>
                <w:szCs w:val="20"/>
                <w:highlight w:val="yellow"/>
              </w:rPr>
            </w:pPr>
          </w:p>
        </w:tc>
      </w:tr>
    </w:tbl>
    <w:p w14:paraId="54FF7CDB" w14:textId="77777777" w:rsidR="00330ADF" w:rsidRPr="009B64E6" w:rsidRDefault="00330ADF" w:rsidP="00330ADF">
      <w:pPr>
        <w:spacing w:line="276" w:lineRule="auto"/>
        <w:jc w:val="both"/>
        <w:rPr>
          <w:rFonts w:eastAsia="NeueHaasGroteskText W02" w:cs="Arial"/>
          <w:bCs/>
          <w:noProof/>
          <w:szCs w:val="20"/>
          <w:highlight w:val="yellow"/>
        </w:rPr>
      </w:pPr>
    </w:p>
    <w:tbl>
      <w:tblPr>
        <w:tblpPr w:leftFromText="142" w:rightFromText="142" w:vertAnchor="text" w:horzAnchor="margin" w:tblpXSpec="center" w:tblpY="1"/>
        <w:tblOverlap w:val="never"/>
        <w:tblW w:w="8972" w:type="dxa"/>
        <w:shd w:val="clear" w:color="auto" w:fill="AAD3F2"/>
        <w:tblLayout w:type="fixed"/>
        <w:tblCellMar>
          <w:left w:w="70" w:type="dxa"/>
          <w:right w:w="70" w:type="dxa"/>
        </w:tblCellMar>
        <w:tblLook w:val="01E0" w:firstRow="1" w:lastRow="1" w:firstColumn="1" w:lastColumn="1" w:noHBand="0" w:noVBand="0"/>
      </w:tblPr>
      <w:tblGrid>
        <w:gridCol w:w="8972"/>
      </w:tblGrid>
      <w:tr w:rsidR="00330ADF" w:rsidRPr="00F07269" w14:paraId="034BF706" w14:textId="77777777" w:rsidTr="00CC1F9E">
        <w:trPr>
          <w:trHeight w:val="2851"/>
        </w:trPr>
        <w:tc>
          <w:tcPr>
            <w:tcW w:w="8972" w:type="dxa"/>
            <w:shd w:val="clear" w:color="auto" w:fill="AAD3F2"/>
            <w:vAlign w:val="center"/>
          </w:tcPr>
          <w:p w14:paraId="6865C841" w14:textId="2FD21FF2" w:rsidR="00330ADF" w:rsidRPr="00E33C61" w:rsidRDefault="00330ADF" w:rsidP="00CC1F9E">
            <w:pPr>
              <w:pStyle w:val="Box"/>
              <w:spacing w:after="120" w:line="276" w:lineRule="auto"/>
              <w:rPr>
                <w:color w:val="2C9ADC"/>
                <w:sz w:val="22"/>
                <w:szCs w:val="22"/>
              </w:rPr>
            </w:pPr>
            <w:bookmarkStart w:id="102" w:name="_Toc117765209"/>
            <w:bookmarkStart w:id="103" w:name="_Toc152932681"/>
            <w:bookmarkStart w:id="104" w:name="_Toc164684546"/>
            <w:r w:rsidRPr="00E33C61">
              <w:rPr>
                <w:color w:val="2C9ADC"/>
                <w:sz w:val="22"/>
                <w:szCs w:val="22"/>
              </w:rPr>
              <w:t xml:space="preserve">BOX </w:t>
            </w:r>
            <w:r w:rsidRPr="008D6A85">
              <w:rPr>
                <w:noProof/>
                <w:color w:val="2C9ADC"/>
                <w:sz w:val="22"/>
                <w:szCs w:val="20"/>
              </w:rPr>
              <w:fldChar w:fldCharType="begin"/>
            </w:r>
            <w:r w:rsidRPr="008D6A85">
              <w:rPr>
                <w:noProof/>
                <w:color w:val="2C9ADC"/>
                <w:sz w:val="22"/>
                <w:szCs w:val="20"/>
              </w:rPr>
              <w:instrText xml:space="preserve"> SEQ BOX \* ARABIC </w:instrText>
            </w:r>
            <w:r w:rsidRPr="008D6A85">
              <w:rPr>
                <w:noProof/>
                <w:color w:val="2C9ADC"/>
                <w:sz w:val="22"/>
                <w:szCs w:val="20"/>
              </w:rPr>
              <w:fldChar w:fldCharType="separate"/>
            </w:r>
            <w:r w:rsidR="007435E9">
              <w:rPr>
                <w:noProof/>
                <w:color w:val="2C9ADC"/>
                <w:sz w:val="22"/>
                <w:szCs w:val="20"/>
              </w:rPr>
              <w:t>2</w:t>
            </w:r>
            <w:r w:rsidRPr="008D6A85">
              <w:rPr>
                <w:noProof/>
                <w:color w:val="2C9ADC"/>
                <w:sz w:val="22"/>
                <w:szCs w:val="20"/>
              </w:rPr>
              <w:fldChar w:fldCharType="end"/>
            </w:r>
            <w:r w:rsidRPr="00E33C61">
              <w:rPr>
                <w:color w:val="2C9ADC"/>
                <w:sz w:val="22"/>
                <w:szCs w:val="22"/>
              </w:rPr>
              <w:t xml:space="preserve"> – Odhad produkčnej medzery</w:t>
            </w:r>
            <w:bookmarkEnd w:id="102"/>
            <w:bookmarkEnd w:id="103"/>
            <w:bookmarkEnd w:id="104"/>
          </w:p>
          <w:p w14:paraId="23C058A1" w14:textId="367B51B3" w:rsidR="00330ADF" w:rsidRPr="00F17E6B" w:rsidRDefault="00330ADF" w:rsidP="00CC1F9E">
            <w:pPr>
              <w:keepNext/>
              <w:spacing w:before="120" w:after="120" w:line="276" w:lineRule="auto"/>
              <w:jc w:val="both"/>
              <w:rPr>
                <w:rFonts w:eastAsiaTheme="majorEastAsia" w:cs="Times New Roman"/>
                <w:bCs/>
                <w:szCs w:val="20"/>
              </w:rPr>
            </w:pPr>
            <w:r w:rsidRPr="00E33C61">
              <w:rPr>
                <w:rFonts w:eastAsiaTheme="majorEastAsia" w:cs="Times New Roman"/>
                <w:b/>
                <w:szCs w:val="20"/>
              </w:rPr>
              <w:t xml:space="preserve">Od roku 2023 </w:t>
            </w:r>
            <w:r>
              <w:rPr>
                <w:rFonts w:eastAsiaTheme="majorEastAsia" w:cs="Times New Roman"/>
                <w:b/>
                <w:szCs w:val="20"/>
              </w:rPr>
              <w:t xml:space="preserve">tlačili </w:t>
            </w:r>
            <w:r w:rsidRPr="00E33C61">
              <w:rPr>
                <w:rFonts w:eastAsiaTheme="majorEastAsia" w:cs="Times New Roman"/>
                <w:b/>
                <w:szCs w:val="20"/>
              </w:rPr>
              <w:t xml:space="preserve">dynamiku potenciálneho HDP nahor </w:t>
            </w:r>
            <w:r>
              <w:rPr>
                <w:rFonts w:eastAsiaTheme="majorEastAsia" w:cs="Times New Roman"/>
                <w:b/>
                <w:szCs w:val="20"/>
              </w:rPr>
              <w:t>investičné impulzy z</w:t>
            </w:r>
            <w:r w:rsidR="001F22FC">
              <w:rPr>
                <w:rFonts w:eastAsiaTheme="majorEastAsia" w:cs="Times New Roman"/>
                <w:b/>
                <w:szCs w:val="20"/>
              </w:rPr>
              <w:t> </w:t>
            </w:r>
            <w:r>
              <w:rPr>
                <w:rFonts w:eastAsiaTheme="majorEastAsia" w:cs="Times New Roman"/>
                <w:b/>
                <w:szCs w:val="20"/>
              </w:rPr>
              <w:t xml:space="preserve">fondov EÚ. </w:t>
            </w:r>
            <w:r>
              <w:rPr>
                <w:rFonts w:eastAsiaTheme="majorEastAsia" w:cs="Times New Roman"/>
                <w:bCs/>
                <w:szCs w:val="20"/>
              </w:rPr>
              <w:t>Kým v</w:t>
            </w:r>
            <w:r w:rsidR="001F22FC">
              <w:rPr>
                <w:rFonts w:eastAsiaTheme="majorEastAsia" w:cs="Times New Roman"/>
                <w:bCs/>
                <w:szCs w:val="20"/>
              </w:rPr>
              <w:t> </w:t>
            </w:r>
            <w:r>
              <w:rPr>
                <w:rFonts w:eastAsiaTheme="majorEastAsia" w:cs="Times New Roman"/>
                <w:bCs/>
                <w:szCs w:val="20"/>
              </w:rPr>
              <w:t>roku 2023 to boli zdroje zo štrukturálnych</w:t>
            </w:r>
            <w:r w:rsidRPr="00C62B30">
              <w:rPr>
                <w:rFonts w:eastAsiaTheme="majorEastAsia" w:cs="Times New Roman"/>
                <w:bCs/>
                <w:szCs w:val="20"/>
              </w:rPr>
              <w:t xml:space="preserve"> fondov</w:t>
            </w:r>
            <w:r w:rsidR="000A22C5">
              <w:rPr>
                <w:rFonts w:eastAsiaTheme="majorEastAsia" w:cs="Times New Roman"/>
                <w:bCs/>
                <w:szCs w:val="20"/>
              </w:rPr>
              <w:t xml:space="preserve"> EÚ</w:t>
            </w:r>
            <w:r>
              <w:rPr>
                <w:rFonts w:eastAsiaTheme="majorEastAsia" w:cs="Times New Roman"/>
                <w:bCs/>
                <w:szCs w:val="20"/>
              </w:rPr>
              <w:t>, o</w:t>
            </w:r>
            <w:r w:rsidRPr="00C62B30">
              <w:rPr>
                <w:rFonts w:eastAsiaTheme="majorEastAsia" w:cs="Times New Roman"/>
                <w:bCs/>
                <w:szCs w:val="20"/>
              </w:rPr>
              <w:t xml:space="preserve">d roku 2024 pomáhajú udržať potenciálny rast pri 2,0 % </w:t>
            </w:r>
            <w:r>
              <w:rPr>
                <w:rFonts w:eastAsiaTheme="majorEastAsia" w:cs="Times New Roman"/>
                <w:bCs/>
                <w:szCs w:val="20"/>
              </w:rPr>
              <w:t xml:space="preserve">už </w:t>
            </w:r>
            <w:r w:rsidRPr="00C62B30">
              <w:rPr>
                <w:rFonts w:eastAsiaTheme="majorEastAsia" w:cs="Times New Roman"/>
                <w:bCs/>
                <w:szCs w:val="20"/>
              </w:rPr>
              <w:t>zdroje z</w:t>
            </w:r>
            <w:r w:rsidR="001F22FC">
              <w:rPr>
                <w:rFonts w:eastAsiaTheme="majorEastAsia" w:cs="Times New Roman"/>
                <w:bCs/>
                <w:szCs w:val="20"/>
              </w:rPr>
              <w:t> </w:t>
            </w:r>
            <w:r w:rsidRPr="00C62B30">
              <w:rPr>
                <w:rFonts w:eastAsiaTheme="majorEastAsia" w:cs="Times New Roman"/>
                <w:bCs/>
                <w:szCs w:val="20"/>
              </w:rPr>
              <w:t>Plánu obnovy a</w:t>
            </w:r>
            <w:r w:rsidR="001F22FC">
              <w:rPr>
                <w:rFonts w:eastAsiaTheme="majorEastAsia" w:cs="Times New Roman"/>
                <w:bCs/>
                <w:szCs w:val="20"/>
              </w:rPr>
              <w:t> </w:t>
            </w:r>
            <w:r w:rsidRPr="00C62B30">
              <w:rPr>
                <w:rFonts w:eastAsiaTheme="majorEastAsia" w:cs="Times New Roman"/>
                <w:bCs/>
                <w:szCs w:val="20"/>
              </w:rPr>
              <w:t xml:space="preserve">odolnosti. </w:t>
            </w:r>
            <w:r w:rsidRPr="007921D4">
              <w:rPr>
                <w:bCs/>
              </w:rPr>
              <w:t xml:space="preserve"> </w:t>
            </w:r>
            <w:r w:rsidRPr="007921D4">
              <w:rPr>
                <w:rFonts w:eastAsiaTheme="majorEastAsia" w:cs="Times New Roman"/>
                <w:bCs/>
                <w:szCs w:val="20"/>
              </w:rPr>
              <w:t>Tempo tvorby potenciálneho produktu bude</w:t>
            </w:r>
            <w:r>
              <w:rPr>
                <w:rFonts w:eastAsiaTheme="majorEastAsia" w:cs="Times New Roman"/>
                <w:bCs/>
                <w:szCs w:val="20"/>
              </w:rPr>
              <w:t xml:space="preserve"> naďalej</w:t>
            </w:r>
            <w:r w:rsidRPr="007921D4">
              <w:rPr>
                <w:rFonts w:eastAsiaTheme="majorEastAsia" w:cs="Times New Roman"/>
                <w:bCs/>
                <w:szCs w:val="20"/>
              </w:rPr>
              <w:t xml:space="preserve"> ťahané najmä celkovou </w:t>
            </w:r>
            <w:r w:rsidRPr="00F17E6B">
              <w:rPr>
                <w:rFonts w:eastAsiaTheme="majorEastAsia" w:cs="Times New Roman"/>
                <w:bCs/>
                <w:szCs w:val="20"/>
              </w:rPr>
              <w:t>produktivitou a</w:t>
            </w:r>
            <w:r w:rsidR="001F22FC">
              <w:rPr>
                <w:rFonts w:eastAsiaTheme="majorEastAsia" w:cs="Times New Roman"/>
                <w:bCs/>
                <w:szCs w:val="20"/>
              </w:rPr>
              <w:t> </w:t>
            </w:r>
            <w:r w:rsidRPr="00F17E6B">
              <w:rPr>
                <w:rFonts w:eastAsiaTheme="majorEastAsia" w:cs="Times New Roman"/>
                <w:bCs/>
                <w:szCs w:val="20"/>
              </w:rPr>
              <w:t>akumuláciou kapitálu z</w:t>
            </w:r>
            <w:r w:rsidR="001F22FC">
              <w:rPr>
                <w:rFonts w:eastAsiaTheme="majorEastAsia" w:cs="Times New Roman"/>
                <w:bCs/>
                <w:szCs w:val="20"/>
              </w:rPr>
              <w:t> </w:t>
            </w:r>
            <w:r w:rsidRPr="00F17E6B">
              <w:rPr>
                <w:rFonts w:eastAsiaTheme="majorEastAsia" w:cs="Times New Roman"/>
                <w:bCs/>
                <w:szCs w:val="20"/>
              </w:rPr>
              <w:t>investícií</w:t>
            </w:r>
            <w:r>
              <w:rPr>
                <w:rFonts w:eastAsiaTheme="majorEastAsia" w:cs="Times New Roman"/>
                <w:bCs/>
                <w:szCs w:val="20"/>
              </w:rPr>
              <w:t>.</w:t>
            </w:r>
            <w:r w:rsidRPr="00F17E6B">
              <w:rPr>
                <w:rFonts w:eastAsiaTheme="majorEastAsia" w:cs="Times New Roman"/>
                <w:b/>
                <w:szCs w:val="20"/>
              </w:rPr>
              <w:t xml:space="preserve"> </w:t>
            </w:r>
            <w:r w:rsidRPr="00E33C61">
              <w:rPr>
                <w:rFonts w:eastAsiaTheme="majorEastAsia" w:cs="Times New Roman"/>
                <w:bCs/>
                <w:szCs w:val="20"/>
              </w:rPr>
              <w:t xml:space="preserve">Na slovenskú ekonomiku začne negatívne vplývať starnutie obyvateľstva. Hlavné vekové kategórie pracovnej sily sa </w:t>
            </w:r>
            <w:r>
              <w:rPr>
                <w:rFonts w:eastAsiaTheme="majorEastAsia" w:cs="Times New Roman"/>
                <w:bCs/>
                <w:szCs w:val="20"/>
              </w:rPr>
              <w:t>budú</w:t>
            </w:r>
            <w:r w:rsidRPr="00E33C61">
              <w:rPr>
                <w:rFonts w:eastAsiaTheme="majorEastAsia" w:cs="Times New Roman"/>
                <w:bCs/>
                <w:szCs w:val="20"/>
              </w:rPr>
              <w:t xml:space="preserve"> zužovať a</w:t>
            </w:r>
            <w:r w:rsidR="001F22FC">
              <w:rPr>
                <w:rFonts w:eastAsiaTheme="majorEastAsia" w:cs="Times New Roman"/>
                <w:bCs/>
                <w:szCs w:val="20"/>
              </w:rPr>
              <w:t> </w:t>
            </w:r>
            <w:r w:rsidRPr="00E33C61">
              <w:rPr>
                <w:rFonts w:eastAsiaTheme="majorEastAsia" w:cs="Times New Roman"/>
                <w:bCs/>
                <w:szCs w:val="20"/>
              </w:rPr>
              <w:t>zamestnanosť bude spôsobovať zníženie dynamiky ekonomického potenciál</w:t>
            </w:r>
            <w:r>
              <w:rPr>
                <w:rFonts w:eastAsiaTheme="majorEastAsia" w:cs="Times New Roman"/>
                <w:bCs/>
                <w:szCs w:val="20"/>
              </w:rPr>
              <w:t>u späť k</w:t>
            </w:r>
            <w:r w:rsidR="001F22FC">
              <w:rPr>
                <w:rFonts w:eastAsiaTheme="majorEastAsia" w:cs="Times New Roman"/>
                <w:bCs/>
                <w:szCs w:val="20"/>
              </w:rPr>
              <w:t> </w:t>
            </w:r>
            <w:r>
              <w:rPr>
                <w:rFonts w:eastAsiaTheme="majorEastAsia" w:cs="Times New Roman"/>
                <w:bCs/>
                <w:szCs w:val="20"/>
              </w:rPr>
              <w:t xml:space="preserve">1,7 % </w:t>
            </w:r>
            <w:r w:rsidRPr="00F17E6B">
              <w:rPr>
                <w:rFonts w:eastAsiaTheme="majorEastAsia" w:cs="Times New Roman"/>
                <w:bCs/>
                <w:szCs w:val="20"/>
              </w:rPr>
              <w:t xml:space="preserve">ku koncu horizontu prognózy. </w:t>
            </w:r>
          </w:p>
          <w:p w14:paraId="2514EB5C" w14:textId="6B2ED305" w:rsidR="00330ADF" w:rsidRPr="009B64E6" w:rsidRDefault="00330ADF" w:rsidP="00CC1F9E">
            <w:pPr>
              <w:spacing w:before="120" w:after="120" w:line="276" w:lineRule="auto"/>
              <w:jc w:val="both"/>
              <w:rPr>
                <w:rFonts w:eastAsiaTheme="majorEastAsia" w:cs="Times New Roman"/>
                <w:bCs/>
                <w:szCs w:val="20"/>
                <w:highlight w:val="yellow"/>
              </w:rPr>
            </w:pPr>
            <w:r w:rsidRPr="00F17E6B">
              <w:rPr>
                <w:rFonts w:eastAsiaTheme="majorEastAsia" w:cs="Times New Roman"/>
                <w:b/>
                <w:bCs/>
                <w:szCs w:val="20"/>
              </w:rPr>
              <w:t>Podľa národnej metodiky MF SR bude v</w:t>
            </w:r>
            <w:r w:rsidR="001F22FC">
              <w:rPr>
                <w:rFonts w:eastAsiaTheme="majorEastAsia" w:cs="Times New Roman"/>
                <w:b/>
                <w:bCs/>
                <w:szCs w:val="20"/>
              </w:rPr>
              <w:t> </w:t>
            </w:r>
            <w:r w:rsidRPr="00F17E6B">
              <w:rPr>
                <w:rFonts w:eastAsiaTheme="majorEastAsia" w:cs="Times New Roman"/>
                <w:b/>
                <w:bCs/>
                <w:szCs w:val="20"/>
              </w:rPr>
              <w:t xml:space="preserve">roku 2024 slovenská ekonomika mierne podchladená, voči potenciálu bude jej výkon nižší o -0,3 %. </w:t>
            </w:r>
            <w:r w:rsidRPr="00F17E6B">
              <w:rPr>
                <w:rFonts w:eastAsiaTheme="majorEastAsia" w:cs="Times New Roman"/>
                <w:bCs/>
                <w:szCs w:val="20"/>
              </w:rPr>
              <w:t>Spolu s</w:t>
            </w:r>
            <w:r w:rsidR="001F22FC">
              <w:rPr>
                <w:rFonts w:eastAsiaTheme="majorEastAsia" w:cs="Times New Roman"/>
                <w:bCs/>
                <w:szCs w:val="20"/>
              </w:rPr>
              <w:t> </w:t>
            </w:r>
            <w:r w:rsidRPr="00F17E6B">
              <w:rPr>
                <w:rFonts w:eastAsiaTheme="majorEastAsia" w:cs="Times New Roman"/>
                <w:bCs/>
                <w:szCs w:val="20"/>
              </w:rPr>
              <w:t>oživením spotreby a</w:t>
            </w:r>
            <w:r w:rsidR="001F22FC">
              <w:rPr>
                <w:rFonts w:eastAsiaTheme="majorEastAsia" w:cs="Times New Roman"/>
                <w:bCs/>
                <w:szCs w:val="20"/>
              </w:rPr>
              <w:t> </w:t>
            </w:r>
            <w:r w:rsidRPr="00F17E6B">
              <w:rPr>
                <w:rFonts w:eastAsiaTheme="majorEastAsia" w:cs="Times New Roman"/>
                <w:bCs/>
                <w:szCs w:val="20"/>
              </w:rPr>
              <w:t>exportu sa ekonomika postupne dostane nad svoj potenciál. Dopytová sila bude podporená najmä investičnou činnosťou v</w:t>
            </w:r>
            <w:r w:rsidR="001F22FC">
              <w:rPr>
                <w:rFonts w:eastAsiaTheme="majorEastAsia" w:cs="Times New Roman"/>
                <w:bCs/>
                <w:szCs w:val="20"/>
              </w:rPr>
              <w:t> </w:t>
            </w:r>
            <w:r w:rsidRPr="00F17E6B">
              <w:rPr>
                <w:rFonts w:eastAsiaTheme="majorEastAsia" w:cs="Times New Roman"/>
                <w:bCs/>
                <w:szCs w:val="20"/>
              </w:rPr>
              <w:t>rokoch 2024 a</w:t>
            </w:r>
            <w:r w:rsidR="001F22FC">
              <w:rPr>
                <w:rFonts w:eastAsiaTheme="majorEastAsia" w:cs="Times New Roman"/>
                <w:bCs/>
                <w:szCs w:val="20"/>
              </w:rPr>
              <w:t> </w:t>
            </w:r>
            <w:r w:rsidRPr="00F17E6B">
              <w:rPr>
                <w:rFonts w:eastAsiaTheme="majorEastAsia" w:cs="Times New Roman"/>
                <w:bCs/>
                <w:szCs w:val="20"/>
              </w:rPr>
              <w:t>2025. Výpadok Plánu obnovy a</w:t>
            </w:r>
            <w:r w:rsidR="001F22FC">
              <w:rPr>
                <w:rFonts w:eastAsiaTheme="majorEastAsia" w:cs="Times New Roman"/>
                <w:bCs/>
                <w:szCs w:val="20"/>
              </w:rPr>
              <w:t> </w:t>
            </w:r>
            <w:r w:rsidRPr="00F17E6B">
              <w:rPr>
                <w:rFonts w:eastAsiaTheme="majorEastAsia" w:cs="Times New Roman"/>
                <w:bCs/>
                <w:szCs w:val="20"/>
              </w:rPr>
              <w:t>odolnosti v</w:t>
            </w:r>
            <w:r w:rsidR="001F22FC">
              <w:rPr>
                <w:rFonts w:eastAsiaTheme="majorEastAsia" w:cs="Times New Roman"/>
                <w:bCs/>
                <w:szCs w:val="20"/>
              </w:rPr>
              <w:t> </w:t>
            </w:r>
            <w:r w:rsidRPr="00F17E6B">
              <w:rPr>
                <w:rFonts w:eastAsiaTheme="majorEastAsia" w:cs="Times New Roman"/>
                <w:bCs/>
                <w:szCs w:val="20"/>
              </w:rPr>
              <w:t>roku 2026 a</w:t>
            </w:r>
            <w:r w:rsidR="001F22FC">
              <w:rPr>
                <w:rFonts w:eastAsiaTheme="majorEastAsia" w:cs="Times New Roman"/>
                <w:bCs/>
                <w:szCs w:val="20"/>
              </w:rPr>
              <w:t> </w:t>
            </w:r>
            <w:r w:rsidRPr="00F17E6B">
              <w:rPr>
                <w:rFonts w:eastAsiaTheme="majorEastAsia" w:cs="Times New Roman"/>
                <w:bCs/>
                <w:szCs w:val="20"/>
              </w:rPr>
              <w:t>konsolidácia verejných financií vytvára naopak tlak na uzatvorenie produkčnej medzery. Národná</w:t>
            </w:r>
            <w:r w:rsidRPr="00E33C61">
              <w:rPr>
                <w:rFonts w:eastAsiaTheme="majorEastAsia" w:cs="Times New Roman"/>
                <w:bCs/>
                <w:szCs w:val="20"/>
              </w:rPr>
              <w:t xml:space="preserve"> metodika MF SR je v</w:t>
            </w:r>
            <w:r w:rsidR="001F22FC">
              <w:rPr>
                <w:rFonts w:eastAsiaTheme="majorEastAsia" w:cs="Times New Roman"/>
                <w:bCs/>
                <w:szCs w:val="20"/>
              </w:rPr>
              <w:t> </w:t>
            </w:r>
            <w:r w:rsidRPr="00E33C61">
              <w:rPr>
                <w:rFonts w:eastAsiaTheme="majorEastAsia" w:cs="Times New Roman"/>
                <w:bCs/>
                <w:szCs w:val="20"/>
              </w:rPr>
              <w:t>tomto dokumente využitá pre odhad cyklickej zložky potrebnej k</w:t>
            </w:r>
            <w:r w:rsidR="001F22FC">
              <w:rPr>
                <w:rFonts w:eastAsiaTheme="majorEastAsia" w:cs="Times New Roman"/>
                <w:bCs/>
                <w:szCs w:val="20"/>
              </w:rPr>
              <w:t> </w:t>
            </w:r>
            <w:r w:rsidRPr="00E33C61">
              <w:rPr>
                <w:rFonts w:eastAsiaTheme="majorEastAsia" w:cs="Times New Roman"/>
                <w:bCs/>
                <w:szCs w:val="20"/>
              </w:rPr>
              <w:t>výpočtu štrukturálneho salda verejných financií.</w:t>
            </w:r>
          </w:p>
          <w:tbl>
            <w:tblPr>
              <w:tblW w:w="8698" w:type="dxa"/>
              <w:tblInd w:w="70" w:type="dxa"/>
              <w:tblLayout w:type="fixed"/>
              <w:tblCellMar>
                <w:left w:w="70" w:type="dxa"/>
                <w:right w:w="70" w:type="dxa"/>
              </w:tblCellMar>
              <w:tblLook w:val="0000" w:firstRow="0" w:lastRow="0" w:firstColumn="0" w:lastColumn="0" w:noHBand="0" w:noVBand="0"/>
            </w:tblPr>
            <w:tblGrid>
              <w:gridCol w:w="4032"/>
              <w:gridCol w:w="27"/>
              <w:gridCol w:w="160"/>
              <w:gridCol w:w="76"/>
              <w:gridCol w:w="4316"/>
              <w:gridCol w:w="87"/>
            </w:tblGrid>
            <w:tr w:rsidR="00330ADF" w:rsidRPr="009B64E6" w14:paraId="3FFFB3F6" w14:textId="77777777" w:rsidTr="00CC1F9E">
              <w:trPr>
                <w:gridAfter w:val="1"/>
                <w:wAfter w:w="87" w:type="dxa"/>
                <w:trHeight w:val="269"/>
              </w:trPr>
              <w:tc>
                <w:tcPr>
                  <w:tcW w:w="4032" w:type="dxa"/>
                  <w:tcBorders>
                    <w:bottom w:val="single" w:sz="4" w:space="0" w:color="auto"/>
                  </w:tcBorders>
                  <w:shd w:val="clear" w:color="auto" w:fill="auto"/>
                </w:tcPr>
                <w:p w14:paraId="2E95FE37" w14:textId="6FBB665E" w:rsidR="00330ADF" w:rsidRPr="00364A1B" w:rsidRDefault="00330ADF" w:rsidP="007435E9">
                  <w:pPr>
                    <w:framePr w:hSpace="142" w:wrap="around" w:vAnchor="text" w:hAnchor="margin" w:xAlign="center" w:y="1"/>
                    <w:spacing w:before="120" w:line="276" w:lineRule="auto"/>
                    <w:suppressOverlap/>
                    <w:rPr>
                      <w:rFonts w:eastAsia="Arial Narrow" w:cs="Arial Narrow"/>
                      <w:b/>
                      <w:bCs/>
                      <w:noProof/>
                      <w:color w:val="2C9ADC" w:themeColor="accent1"/>
                      <w:sz w:val="20"/>
                      <w:szCs w:val="20"/>
                    </w:rPr>
                  </w:pPr>
                  <w:bookmarkStart w:id="105" w:name="_Toc117765251"/>
                  <w:bookmarkStart w:id="106" w:name="_Toc152932871"/>
                  <w:bookmarkStart w:id="107" w:name="_Toc164684572"/>
                  <w:r w:rsidRPr="00364A1B">
                    <w:rPr>
                      <w:rFonts w:eastAsia="Arial Narrow" w:cs="Arial Narrow"/>
                      <w:b/>
                      <w:bCs/>
                      <w:noProof/>
                      <w:color w:val="2C9ADC" w:themeColor="accent1"/>
                      <w:sz w:val="20"/>
                      <w:szCs w:val="20"/>
                    </w:rPr>
                    <w:t xml:space="preserve">GRAF </w:t>
                  </w:r>
                  <w:r w:rsidR="009F6FB1" w:rsidRPr="00364A1B">
                    <w:rPr>
                      <w:b/>
                      <w:bCs/>
                      <w:color w:val="2C9ADC"/>
                      <w:sz w:val="20"/>
                      <w:szCs w:val="20"/>
                    </w:rPr>
                    <w:fldChar w:fldCharType="begin"/>
                  </w:r>
                  <w:r w:rsidR="009F6FB1" w:rsidRPr="00364A1B">
                    <w:rPr>
                      <w:b/>
                      <w:bCs/>
                      <w:color w:val="2C9ADC"/>
                      <w:sz w:val="20"/>
                      <w:szCs w:val="20"/>
                    </w:rPr>
                    <w:instrText xml:space="preserve"> SEQ GRAF \* ARABIC </w:instrText>
                  </w:r>
                  <w:r w:rsidR="009F6FB1" w:rsidRPr="00364A1B">
                    <w:rPr>
                      <w:b/>
                      <w:bCs/>
                      <w:color w:val="2C9ADC"/>
                      <w:sz w:val="20"/>
                      <w:szCs w:val="20"/>
                    </w:rPr>
                    <w:fldChar w:fldCharType="separate"/>
                  </w:r>
                  <w:r w:rsidR="007435E9">
                    <w:rPr>
                      <w:b/>
                      <w:bCs/>
                      <w:noProof/>
                      <w:color w:val="2C9ADC"/>
                      <w:sz w:val="20"/>
                      <w:szCs w:val="20"/>
                    </w:rPr>
                    <w:t>7</w:t>
                  </w:r>
                  <w:r w:rsidR="009F6FB1" w:rsidRPr="00364A1B">
                    <w:rPr>
                      <w:b/>
                      <w:bCs/>
                      <w:color w:val="2C9ADC"/>
                      <w:sz w:val="20"/>
                      <w:szCs w:val="20"/>
                    </w:rPr>
                    <w:fldChar w:fldCharType="end"/>
                  </w:r>
                  <w:r w:rsidRPr="00364A1B">
                    <w:rPr>
                      <w:b/>
                      <w:bCs/>
                      <w:color w:val="2C9ADC"/>
                      <w:sz w:val="20"/>
                      <w:szCs w:val="20"/>
                    </w:rPr>
                    <w:t xml:space="preserve"> </w:t>
                  </w:r>
                  <w:r w:rsidRPr="00364A1B">
                    <w:rPr>
                      <w:rFonts w:eastAsia="NeueHaasGroteskText W02" w:cs="Arial"/>
                      <w:b/>
                      <w:bCs/>
                      <w:color w:val="2C9ADC"/>
                      <w:sz w:val="20"/>
                      <w:szCs w:val="20"/>
                      <w:u w:color="2C9ADC"/>
                    </w:rPr>
                    <w:t>–</w:t>
                  </w:r>
                  <w:r w:rsidRPr="00364A1B">
                    <w:rPr>
                      <w:rFonts w:eastAsia="Arial Narrow" w:cs="Arial Narrow"/>
                      <w:b/>
                      <w:bCs/>
                      <w:noProof/>
                      <w:color w:val="2C9ADC" w:themeColor="accent1"/>
                      <w:sz w:val="20"/>
                      <w:szCs w:val="20"/>
                    </w:rPr>
                    <w:t xml:space="preserve"> </w:t>
                  </w:r>
                  <w:bookmarkEnd w:id="105"/>
                  <w:bookmarkEnd w:id="106"/>
                  <w:r w:rsidRPr="00364A1B">
                    <w:rPr>
                      <w:rFonts w:eastAsia="Arial Narrow" w:cs="Arial Narrow"/>
                      <w:b/>
                      <w:bCs/>
                      <w:noProof/>
                      <w:color w:val="2C9ADC" w:themeColor="accent1"/>
                      <w:sz w:val="20"/>
                      <w:szCs w:val="20"/>
                    </w:rPr>
                    <w:t>Príspevky výrobných faktorov k</w:t>
                  </w:r>
                  <w:r w:rsidR="001F22FC">
                    <w:rPr>
                      <w:rFonts w:eastAsia="Arial Narrow" w:cs="Arial Narrow"/>
                      <w:b/>
                      <w:bCs/>
                      <w:noProof/>
                      <w:color w:val="2C9ADC" w:themeColor="accent1"/>
                      <w:sz w:val="20"/>
                      <w:szCs w:val="20"/>
                    </w:rPr>
                    <w:t> </w:t>
                  </w:r>
                  <w:r w:rsidRPr="00364A1B">
                    <w:rPr>
                      <w:rFonts w:eastAsia="Arial Narrow" w:cs="Arial Narrow"/>
                      <w:b/>
                      <w:bCs/>
                      <w:noProof/>
                      <w:color w:val="2C9ADC" w:themeColor="accent1"/>
                      <w:sz w:val="20"/>
                      <w:szCs w:val="20"/>
                    </w:rPr>
                    <w:t xml:space="preserve">rastu potenciálneho produktu (p. b.) </w:t>
                  </w:r>
                  <w:r w:rsidR="001F22FC">
                    <w:rPr>
                      <w:rFonts w:eastAsia="Arial Narrow" w:cs="Arial Narrow"/>
                      <w:b/>
                      <w:bCs/>
                      <w:noProof/>
                      <w:color w:val="2C9ADC" w:themeColor="accent1"/>
                      <w:sz w:val="20"/>
                      <w:szCs w:val="20"/>
                    </w:rPr>
                    <w:t>–</w:t>
                  </w:r>
                  <w:r w:rsidRPr="00364A1B">
                    <w:rPr>
                      <w:rFonts w:eastAsia="Arial Narrow" w:cs="Arial Narrow"/>
                      <w:b/>
                      <w:bCs/>
                      <w:noProof/>
                      <w:color w:val="2C9ADC" w:themeColor="accent1"/>
                      <w:sz w:val="20"/>
                      <w:szCs w:val="20"/>
                    </w:rPr>
                    <w:t xml:space="preserve"> prístup MF SR</w:t>
                  </w:r>
                  <w:bookmarkEnd w:id="107"/>
                </w:p>
              </w:tc>
              <w:tc>
                <w:tcPr>
                  <w:tcW w:w="187" w:type="dxa"/>
                  <w:gridSpan w:val="2"/>
                  <w:shd w:val="clear" w:color="auto" w:fill="auto"/>
                  <w:vAlign w:val="center"/>
                </w:tcPr>
                <w:p w14:paraId="4B465CFF" w14:textId="77777777" w:rsidR="00330ADF" w:rsidRPr="00877711" w:rsidRDefault="00330ADF" w:rsidP="007435E9">
                  <w:pPr>
                    <w:framePr w:hSpace="142" w:wrap="around" w:vAnchor="text" w:hAnchor="margin" w:xAlign="center" w:y="1"/>
                    <w:spacing w:line="360" w:lineRule="auto"/>
                    <w:contextualSpacing/>
                    <w:suppressOverlap/>
                    <w:rPr>
                      <w:rFonts w:cs="Arial Narrow"/>
                      <w:b/>
                      <w:bCs/>
                      <w:sz w:val="20"/>
                      <w:szCs w:val="20"/>
                    </w:rPr>
                  </w:pPr>
                </w:p>
              </w:tc>
              <w:tc>
                <w:tcPr>
                  <w:tcW w:w="4392" w:type="dxa"/>
                  <w:gridSpan w:val="2"/>
                  <w:shd w:val="clear" w:color="auto" w:fill="auto"/>
                  <w:vAlign w:val="bottom"/>
                </w:tcPr>
                <w:p w14:paraId="656A7462" w14:textId="014A0254" w:rsidR="00330ADF" w:rsidRPr="00877711" w:rsidRDefault="00330ADF" w:rsidP="007435E9">
                  <w:pPr>
                    <w:framePr w:hSpace="142" w:wrap="around" w:vAnchor="text" w:hAnchor="margin" w:xAlign="center" w:y="1"/>
                    <w:pBdr>
                      <w:top w:val="nil"/>
                      <w:left w:val="nil"/>
                      <w:bottom w:val="nil"/>
                      <w:right w:val="nil"/>
                      <w:between w:val="nil"/>
                      <w:bar w:val="nil"/>
                    </w:pBdr>
                    <w:spacing w:before="120" w:line="276" w:lineRule="auto"/>
                    <w:suppressOverlap/>
                    <w:rPr>
                      <w:rFonts w:eastAsia="Arial Narrow" w:cs="Arial Narrow"/>
                      <w:b/>
                      <w:bCs/>
                      <w:noProof/>
                      <w:color w:val="2C9ADC" w:themeColor="accent1"/>
                      <w:sz w:val="20"/>
                      <w:szCs w:val="20"/>
                      <w:bdr w:val="nil"/>
                    </w:rPr>
                  </w:pPr>
                  <w:bookmarkStart w:id="108" w:name="_Toc117765219"/>
                  <w:bookmarkStart w:id="109" w:name="_Toc153185510"/>
                  <w:bookmarkStart w:id="110" w:name="_Toc164684551"/>
                  <w:r w:rsidRPr="00877711">
                    <w:rPr>
                      <w:rFonts w:eastAsia="Arial Narrow" w:cs="Arial Narrow"/>
                      <w:b/>
                      <w:bCs/>
                      <w:noProof/>
                      <w:color w:val="2C9ADC" w:themeColor="accent1"/>
                      <w:sz w:val="20"/>
                      <w:szCs w:val="20"/>
                      <w:bdr w:val="nil"/>
                    </w:rPr>
                    <w:t xml:space="preserve">TABUĽKA </w:t>
                  </w:r>
                  <w:r w:rsidR="008D6A85" w:rsidRPr="00800135">
                    <w:rPr>
                      <w:b/>
                      <w:color w:val="2C9ADC" w:themeColor="accent1"/>
                      <w:sz w:val="20"/>
                      <w:szCs w:val="20"/>
                    </w:rPr>
                    <w:fldChar w:fldCharType="begin"/>
                  </w:r>
                  <w:r w:rsidR="008D6A85" w:rsidRPr="00800135">
                    <w:rPr>
                      <w:b/>
                      <w:color w:val="2C9ADC" w:themeColor="accent1"/>
                      <w:sz w:val="20"/>
                      <w:szCs w:val="20"/>
                    </w:rPr>
                    <w:instrText xml:space="preserve"> SEQ TABUĽKA \* ARABIC </w:instrText>
                  </w:r>
                  <w:r w:rsidR="008D6A85" w:rsidRPr="00800135">
                    <w:rPr>
                      <w:b/>
                      <w:color w:val="2C9ADC" w:themeColor="accent1"/>
                      <w:sz w:val="20"/>
                      <w:szCs w:val="20"/>
                    </w:rPr>
                    <w:fldChar w:fldCharType="separate"/>
                  </w:r>
                  <w:r w:rsidR="007435E9">
                    <w:rPr>
                      <w:b/>
                      <w:noProof/>
                      <w:color w:val="2C9ADC" w:themeColor="accent1"/>
                      <w:sz w:val="20"/>
                      <w:szCs w:val="20"/>
                    </w:rPr>
                    <w:t>2</w:t>
                  </w:r>
                  <w:r w:rsidR="008D6A85" w:rsidRPr="00800135">
                    <w:rPr>
                      <w:b/>
                      <w:color w:val="2C9ADC" w:themeColor="accent1"/>
                      <w:sz w:val="20"/>
                      <w:szCs w:val="20"/>
                    </w:rPr>
                    <w:fldChar w:fldCharType="end"/>
                  </w:r>
                  <w:r w:rsidRPr="00877711">
                    <w:rPr>
                      <w:rFonts w:eastAsia="Arial Narrow" w:cs="Arial Narrow"/>
                      <w:b/>
                      <w:bCs/>
                      <w:noProof/>
                      <w:color w:val="2C9ADC" w:themeColor="accent1"/>
                      <w:sz w:val="20"/>
                      <w:szCs w:val="20"/>
                      <w:bdr w:val="nil"/>
                    </w:rPr>
                    <w:t xml:space="preserve"> – Príspevky výrobných faktorov k</w:t>
                  </w:r>
                  <w:r w:rsidR="001F22FC">
                    <w:rPr>
                      <w:rFonts w:eastAsia="Arial Narrow" w:cs="Arial Narrow"/>
                      <w:b/>
                      <w:bCs/>
                      <w:noProof/>
                      <w:color w:val="2C9ADC" w:themeColor="accent1"/>
                      <w:sz w:val="20"/>
                      <w:szCs w:val="20"/>
                      <w:bdr w:val="nil"/>
                    </w:rPr>
                    <w:t> </w:t>
                  </w:r>
                  <w:r w:rsidRPr="00877711">
                    <w:rPr>
                      <w:rFonts w:eastAsia="Arial Narrow" w:cs="Arial Narrow"/>
                      <w:b/>
                      <w:bCs/>
                      <w:noProof/>
                      <w:color w:val="2C9ADC" w:themeColor="accent1"/>
                      <w:sz w:val="20"/>
                      <w:szCs w:val="20"/>
                      <w:bdr w:val="nil"/>
                    </w:rPr>
                    <w:t xml:space="preserve">rastu potenciálneho produktu </w:t>
                  </w:r>
                  <w:r w:rsidR="001F22FC">
                    <w:rPr>
                      <w:rFonts w:eastAsia="Arial Narrow" w:cs="Arial Narrow"/>
                      <w:b/>
                      <w:bCs/>
                      <w:noProof/>
                      <w:color w:val="2C9ADC" w:themeColor="accent1"/>
                      <w:sz w:val="20"/>
                      <w:szCs w:val="20"/>
                      <w:bdr w:val="nil"/>
                    </w:rPr>
                    <w:t>–</w:t>
                  </w:r>
                  <w:r w:rsidRPr="00877711">
                    <w:rPr>
                      <w:rFonts w:eastAsia="Arial Narrow" w:cs="Arial Narrow"/>
                      <w:b/>
                      <w:bCs/>
                      <w:noProof/>
                      <w:color w:val="2C9ADC" w:themeColor="accent1"/>
                      <w:sz w:val="20"/>
                      <w:szCs w:val="20"/>
                      <w:bdr w:val="nil"/>
                    </w:rPr>
                    <w:t xml:space="preserve"> prístup MF SR</w:t>
                  </w:r>
                  <w:bookmarkEnd w:id="108"/>
                  <w:bookmarkEnd w:id="109"/>
                  <w:bookmarkEnd w:id="110"/>
                </w:p>
              </w:tc>
            </w:tr>
            <w:tr w:rsidR="00330ADF" w:rsidRPr="009B64E6" w14:paraId="2B239374" w14:textId="77777777" w:rsidTr="00DD6FE8">
              <w:trPr>
                <w:trHeight w:val="2324"/>
              </w:trPr>
              <w:tc>
                <w:tcPr>
                  <w:tcW w:w="4059" w:type="dxa"/>
                  <w:gridSpan w:val="2"/>
                  <w:tcBorders>
                    <w:bottom w:val="single" w:sz="4" w:space="0" w:color="auto"/>
                  </w:tcBorders>
                </w:tcPr>
                <w:p w14:paraId="4FA7AE78" w14:textId="4BF8DE1F" w:rsidR="00330ADF" w:rsidRPr="009B64E6" w:rsidRDefault="00DD6FE8" w:rsidP="007435E9">
                  <w:pPr>
                    <w:framePr w:hSpace="142" w:wrap="around" w:vAnchor="text" w:hAnchor="margin" w:xAlign="center" w:y="1"/>
                    <w:contextualSpacing/>
                    <w:suppressOverlap/>
                    <w:rPr>
                      <w:rFonts w:cs="Garamond"/>
                      <w:b/>
                      <w:bCs/>
                      <w:sz w:val="16"/>
                      <w:szCs w:val="16"/>
                      <w:highlight w:val="yellow"/>
                    </w:rPr>
                  </w:pPr>
                  <w:r>
                    <w:rPr>
                      <w:noProof/>
                    </w:rPr>
                    <w:drawing>
                      <wp:inline distT="0" distB="0" distL="0" distR="0" wp14:anchorId="256E17B1" wp14:editId="534F952F">
                        <wp:extent cx="2488565" cy="2019300"/>
                        <wp:effectExtent l="0" t="0" r="0" b="0"/>
                        <wp:docPr id="1" name="Graf 1">
                          <a:extLst xmlns:a="http://schemas.openxmlformats.org/drawingml/2006/main">
                            <a:ext uri="{FF2B5EF4-FFF2-40B4-BE49-F238E27FC236}">
                              <a16:creationId xmlns:a16="http://schemas.microsoft.com/office/drawing/2014/main" id="{17E07461-E1D4-4A08-97AF-89CB05F5AB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236" w:type="dxa"/>
                  <w:gridSpan w:val="2"/>
                  <w:shd w:val="clear" w:color="auto" w:fill="auto"/>
                </w:tcPr>
                <w:p w14:paraId="6EDD2415" w14:textId="77777777" w:rsidR="00330ADF" w:rsidRPr="00227A82" w:rsidRDefault="00330ADF" w:rsidP="007435E9">
                  <w:pPr>
                    <w:framePr w:hSpace="142" w:wrap="around" w:vAnchor="text" w:hAnchor="margin" w:xAlign="center" w:y="1"/>
                    <w:contextualSpacing/>
                    <w:suppressOverlap/>
                    <w:rPr>
                      <w:rFonts w:cs="Garamond"/>
                      <w:b/>
                      <w:bCs/>
                      <w:sz w:val="16"/>
                      <w:szCs w:val="16"/>
                    </w:rPr>
                  </w:pPr>
                </w:p>
              </w:tc>
              <w:tc>
                <w:tcPr>
                  <w:tcW w:w="4403" w:type="dxa"/>
                  <w:gridSpan w:val="2"/>
                  <w:shd w:val="clear" w:color="auto" w:fill="auto"/>
                </w:tcPr>
                <w:tbl>
                  <w:tblPr>
                    <w:tblW w:w="4287" w:type="dxa"/>
                    <w:shd w:val="clear" w:color="auto" w:fill="AAD3F2"/>
                    <w:tblLayout w:type="fixed"/>
                    <w:tblLook w:val="04A0" w:firstRow="1" w:lastRow="0" w:firstColumn="1" w:lastColumn="0" w:noHBand="0" w:noVBand="1"/>
                  </w:tblPr>
                  <w:tblGrid>
                    <w:gridCol w:w="602"/>
                    <w:gridCol w:w="737"/>
                    <w:gridCol w:w="737"/>
                    <w:gridCol w:w="737"/>
                    <w:gridCol w:w="737"/>
                    <w:gridCol w:w="737"/>
                  </w:tblGrid>
                  <w:tr w:rsidR="00330ADF" w:rsidRPr="00227A82" w14:paraId="6D3D7D86" w14:textId="77777777" w:rsidTr="00CC1F9E">
                    <w:trPr>
                      <w:trHeight w:val="227"/>
                    </w:trPr>
                    <w:tc>
                      <w:tcPr>
                        <w:tcW w:w="602" w:type="dxa"/>
                        <w:tcBorders>
                          <w:top w:val="nil"/>
                          <w:left w:val="nil"/>
                          <w:bottom w:val="single" w:sz="8" w:space="0" w:color="auto"/>
                          <w:right w:val="nil"/>
                        </w:tcBorders>
                        <w:shd w:val="clear" w:color="auto" w:fill="AAD3F2"/>
                        <w:noWrap/>
                        <w:vAlign w:val="center"/>
                      </w:tcPr>
                      <w:p w14:paraId="34BE2873" w14:textId="77777777" w:rsidR="00330ADF" w:rsidRPr="00227A82" w:rsidRDefault="00330ADF" w:rsidP="007435E9">
                        <w:pPr>
                          <w:framePr w:hSpace="142" w:wrap="around" w:vAnchor="text" w:hAnchor="margin" w:xAlign="center" w:y="1"/>
                          <w:suppressOverlap/>
                          <w:jc w:val="center"/>
                          <w:rPr>
                            <w:rFonts w:cs="Times New Roman"/>
                            <w:color w:val="000000"/>
                            <w:sz w:val="16"/>
                            <w:szCs w:val="16"/>
                          </w:rPr>
                        </w:pPr>
                        <w:r w:rsidRPr="00227A82">
                          <w:rPr>
                            <w:rFonts w:cs="Calibri"/>
                            <w:color w:val="000000"/>
                            <w:sz w:val="16"/>
                            <w:szCs w:val="16"/>
                          </w:rPr>
                          <w:t> </w:t>
                        </w:r>
                      </w:p>
                    </w:tc>
                    <w:tc>
                      <w:tcPr>
                        <w:tcW w:w="737" w:type="dxa"/>
                        <w:tcBorders>
                          <w:top w:val="nil"/>
                          <w:left w:val="nil"/>
                          <w:bottom w:val="single" w:sz="8" w:space="0" w:color="auto"/>
                          <w:right w:val="nil"/>
                        </w:tcBorders>
                        <w:shd w:val="clear" w:color="auto" w:fill="AAD3F2"/>
                        <w:vAlign w:val="center"/>
                      </w:tcPr>
                      <w:p w14:paraId="7E229020" w14:textId="65DF4BAC" w:rsidR="00330ADF" w:rsidRPr="00227A82" w:rsidRDefault="00330ADF" w:rsidP="007435E9">
                        <w:pPr>
                          <w:framePr w:hSpace="142" w:wrap="around" w:vAnchor="text" w:hAnchor="margin" w:xAlign="center" w:y="1"/>
                          <w:suppressOverlap/>
                          <w:jc w:val="center"/>
                          <w:rPr>
                            <w:rFonts w:cs="Times New Roman"/>
                            <w:b/>
                            <w:color w:val="000000"/>
                            <w:sz w:val="16"/>
                            <w:szCs w:val="16"/>
                          </w:rPr>
                        </w:pPr>
                        <w:r w:rsidRPr="00227A82">
                          <w:rPr>
                            <w:rFonts w:cs="Calibri"/>
                            <w:b/>
                            <w:bCs/>
                            <w:color w:val="000000"/>
                            <w:sz w:val="16"/>
                            <w:szCs w:val="16"/>
                          </w:rPr>
                          <w:t xml:space="preserve">Prod. </w:t>
                        </w:r>
                        <w:r w:rsidR="001F22FC" w:rsidRPr="00227A82">
                          <w:rPr>
                            <w:rFonts w:cs="Calibri"/>
                            <w:b/>
                            <w:bCs/>
                            <w:color w:val="000000"/>
                            <w:sz w:val="16"/>
                            <w:szCs w:val="16"/>
                          </w:rPr>
                          <w:t>M</w:t>
                        </w:r>
                        <w:r w:rsidRPr="00227A82">
                          <w:rPr>
                            <w:rFonts w:cs="Calibri"/>
                            <w:b/>
                            <w:bCs/>
                            <w:color w:val="000000"/>
                            <w:sz w:val="16"/>
                            <w:szCs w:val="16"/>
                          </w:rPr>
                          <w:t>edzera (% pot. HDP)</w:t>
                        </w:r>
                      </w:p>
                    </w:tc>
                    <w:tc>
                      <w:tcPr>
                        <w:tcW w:w="737" w:type="dxa"/>
                        <w:tcBorders>
                          <w:top w:val="nil"/>
                          <w:left w:val="nil"/>
                          <w:bottom w:val="single" w:sz="8" w:space="0" w:color="auto"/>
                          <w:right w:val="nil"/>
                        </w:tcBorders>
                        <w:shd w:val="clear" w:color="auto" w:fill="AAD3F2"/>
                        <w:noWrap/>
                        <w:vAlign w:val="center"/>
                      </w:tcPr>
                      <w:p w14:paraId="0F001F5A" w14:textId="77777777" w:rsidR="00330ADF" w:rsidRPr="00227A82" w:rsidRDefault="00330ADF" w:rsidP="007435E9">
                        <w:pPr>
                          <w:framePr w:hSpace="142" w:wrap="around" w:vAnchor="text" w:hAnchor="margin" w:xAlign="center" w:y="1"/>
                          <w:suppressOverlap/>
                          <w:jc w:val="center"/>
                          <w:rPr>
                            <w:rFonts w:cs="Times New Roman"/>
                            <w:b/>
                            <w:color w:val="000000"/>
                            <w:sz w:val="16"/>
                            <w:szCs w:val="16"/>
                          </w:rPr>
                        </w:pPr>
                        <w:r w:rsidRPr="00227A82">
                          <w:rPr>
                            <w:rFonts w:cs="Calibri"/>
                            <w:b/>
                            <w:bCs/>
                            <w:color w:val="000000"/>
                            <w:sz w:val="16"/>
                            <w:szCs w:val="16"/>
                          </w:rPr>
                          <w:t>Pot. HDP (rast, %)</w:t>
                        </w:r>
                      </w:p>
                    </w:tc>
                    <w:tc>
                      <w:tcPr>
                        <w:tcW w:w="737" w:type="dxa"/>
                        <w:tcBorders>
                          <w:top w:val="nil"/>
                          <w:left w:val="nil"/>
                          <w:bottom w:val="single" w:sz="8" w:space="0" w:color="auto"/>
                          <w:right w:val="nil"/>
                        </w:tcBorders>
                        <w:shd w:val="clear" w:color="auto" w:fill="AAD3F2"/>
                        <w:noWrap/>
                        <w:vAlign w:val="center"/>
                      </w:tcPr>
                      <w:p w14:paraId="12BF7FC3" w14:textId="77777777" w:rsidR="00330ADF" w:rsidRPr="00227A82" w:rsidRDefault="00330ADF" w:rsidP="007435E9">
                        <w:pPr>
                          <w:framePr w:hSpace="142" w:wrap="around" w:vAnchor="text" w:hAnchor="margin" w:xAlign="center" w:y="1"/>
                          <w:suppressOverlap/>
                          <w:jc w:val="center"/>
                          <w:rPr>
                            <w:rFonts w:cs="Times New Roman"/>
                            <w:b/>
                            <w:bCs/>
                            <w:color w:val="000000"/>
                            <w:sz w:val="16"/>
                            <w:szCs w:val="16"/>
                          </w:rPr>
                        </w:pPr>
                        <w:r w:rsidRPr="00227A82">
                          <w:rPr>
                            <w:rFonts w:cs="Calibri"/>
                            <w:b/>
                            <w:bCs/>
                            <w:color w:val="000000"/>
                            <w:sz w:val="16"/>
                            <w:szCs w:val="16"/>
                          </w:rPr>
                          <w:t>TFP</w:t>
                        </w:r>
                        <w:r w:rsidRPr="00227A82">
                          <w:rPr>
                            <w:rFonts w:cs="Calibri"/>
                            <w:b/>
                            <w:bCs/>
                            <w:color w:val="000000"/>
                            <w:sz w:val="16"/>
                            <w:szCs w:val="16"/>
                            <w:vertAlign w:val="superscript"/>
                          </w:rPr>
                          <w:t>*</w:t>
                        </w:r>
                      </w:p>
                    </w:tc>
                    <w:tc>
                      <w:tcPr>
                        <w:tcW w:w="737" w:type="dxa"/>
                        <w:tcBorders>
                          <w:top w:val="nil"/>
                          <w:left w:val="nil"/>
                          <w:bottom w:val="single" w:sz="8" w:space="0" w:color="auto"/>
                          <w:right w:val="nil"/>
                        </w:tcBorders>
                        <w:shd w:val="clear" w:color="auto" w:fill="AAD3F2"/>
                        <w:noWrap/>
                        <w:vAlign w:val="center"/>
                      </w:tcPr>
                      <w:p w14:paraId="57951AEE" w14:textId="77777777" w:rsidR="00330ADF" w:rsidRPr="00227A82" w:rsidRDefault="00330ADF" w:rsidP="007435E9">
                        <w:pPr>
                          <w:framePr w:hSpace="142" w:wrap="around" w:vAnchor="text" w:hAnchor="margin" w:xAlign="center" w:y="1"/>
                          <w:suppressOverlap/>
                          <w:jc w:val="center"/>
                          <w:rPr>
                            <w:rFonts w:cs="Times New Roman"/>
                            <w:b/>
                            <w:bCs/>
                            <w:color w:val="000000"/>
                            <w:sz w:val="16"/>
                            <w:szCs w:val="16"/>
                          </w:rPr>
                        </w:pPr>
                        <w:r w:rsidRPr="00227A82">
                          <w:rPr>
                            <w:rFonts w:cs="Calibri"/>
                            <w:b/>
                            <w:bCs/>
                            <w:color w:val="000000"/>
                            <w:sz w:val="16"/>
                            <w:szCs w:val="16"/>
                          </w:rPr>
                          <w:t>Zásoba kapitálu</w:t>
                        </w:r>
                      </w:p>
                    </w:tc>
                    <w:tc>
                      <w:tcPr>
                        <w:tcW w:w="737" w:type="dxa"/>
                        <w:tcBorders>
                          <w:top w:val="nil"/>
                          <w:left w:val="nil"/>
                          <w:bottom w:val="single" w:sz="8" w:space="0" w:color="auto"/>
                          <w:right w:val="nil"/>
                        </w:tcBorders>
                        <w:shd w:val="clear" w:color="auto" w:fill="AAD3F2"/>
                        <w:vAlign w:val="center"/>
                      </w:tcPr>
                      <w:p w14:paraId="0E36F40E" w14:textId="77777777" w:rsidR="00330ADF" w:rsidRPr="00227A82" w:rsidRDefault="00330ADF" w:rsidP="007435E9">
                        <w:pPr>
                          <w:framePr w:hSpace="142" w:wrap="around" w:vAnchor="text" w:hAnchor="margin" w:xAlign="center" w:y="1"/>
                          <w:suppressOverlap/>
                          <w:jc w:val="center"/>
                          <w:rPr>
                            <w:rFonts w:cs="Times New Roman"/>
                            <w:b/>
                            <w:bCs/>
                            <w:color w:val="000000"/>
                            <w:sz w:val="16"/>
                            <w:szCs w:val="16"/>
                          </w:rPr>
                        </w:pPr>
                        <w:r w:rsidRPr="00227A82">
                          <w:rPr>
                            <w:rFonts w:cs="Calibri"/>
                            <w:b/>
                            <w:bCs/>
                            <w:color w:val="000000"/>
                            <w:sz w:val="16"/>
                            <w:szCs w:val="16"/>
                          </w:rPr>
                          <w:t>Práca</w:t>
                        </w:r>
                      </w:p>
                    </w:tc>
                  </w:tr>
                  <w:tr w:rsidR="00330ADF" w:rsidRPr="00227A82" w14:paraId="2655CF31" w14:textId="77777777" w:rsidTr="00CC1F9E">
                    <w:trPr>
                      <w:trHeight w:val="283"/>
                    </w:trPr>
                    <w:tc>
                      <w:tcPr>
                        <w:tcW w:w="602" w:type="dxa"/>
                        <w:tcBorders>
                          <w:top w:val="nil"/>
                          <w:left w:val="nil"/>
                          <w:bottom w:val="nil"/>
                          <w:right w:val="nil"/>
                        </w:tcBorders>
                        <w:shd w:val="clear" w:color="auto" w:fill="AAD3F2"/>
                        <w:noWrap/>
                        <w:vAlign w:val="center"/>
                        <w:hideMark/>
                      </w:tcPr>
                      <w:p w14:paraId="6B055F9C"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2021</w:t>
                        </w:r>
                      </w:p>
                    </w:tc>
                    <w:tc>
                      <w:tcPr>
                        <w:tcW w:w="737" w:type="dxa"/>
                        <w:tcBorders>
                          <w:top w:val="nil"/>
                          <w:left w:val="nil"/>
                          <w:bottom w:val="nil"/>
                          <w:right w:val="nil"/>
                        </w:tcBorders>
                        <w:shd w:val="clear" w:color="auto" w:fill="AAD3F2"/>
                        <w:vAlign w:val="center"/>
                        <w:hideMark/>
                      </w:tcPr>
                      <w:p w14:paraId="4831CD19"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0.2</w:t>
                        </w:r>
                      </w:p>
                    </w:tc>
                    <w:tc>
                      <w:tcPr>
                        <w:tcW w:w="737" w:type="dxa"/>
                        <w:tcBorders>
                          <w:top w:val="nil"/>
                          <w:left w:val="nil"/>
                          <w:bottom w:val="nil"/>
                          <w:right w:val="nil"/>
                        </w:tcBorders>
                        <w:shd w:val="clear" w:color="auto" w:fill="AAD3F2"/>
                        <w:noWrap/>
                        <w:vAlign w:val="center"/>
                        <w:hideMark/>
                      </w:tcPr>
                      <w:p w14:paraId="39960170"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1.6</w:t>
                        </w:r>
                      </w:p>
                    </w:tc>
                    <w:tc>
                      <w:tcPr>
                        <w:tcW w:w="737" w:type="dxa"/>
                        <w:tcBorders>
                          <w:top w:val="nil"/>
                          <w:left w:val="nil"/>
                          <w:bottom w:val="nil"/>
                          <w:right w:val="nil"/>
                        </w:tcBorders>
                        <w:shd w:val="clear" w:color="auto" w:fill="AAD3F2"/>
                        <w:noWrap/>
                        <w:vAlign w:val="center"/>
                        <w:hideMark/>
                      </w:tcPr>
                      <w:p w14:paraId="4AC1F8DC"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1.2</w:t>
                        </w:r>
                      </w:p>
                    </w:tc>
                    <w:tc>
                      <w:tcPr>
                        <w:tcW w:w="737" w:type="dxa"/>
                        <w:tcBorders>
                          <w:top w:val="nil"/>
                          <w:left w:val="nil"/>
                          <w:bottom w:val="nil"/>
                          <w:right w:val="nil"/>
                        </w:tcBorders>
                        <w:shd w:val="clear" w:color="auto" w:fill="AAD3F2"/>
                        <w:noWrap/>
                        <w:vAlign w:val="center"/>
                        <w:hideMark/>
                      </w:tcPr>
                      <w:p w14:paraId="0E74DB3A"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0.5</w:t>
                        </w:r>
                      </w:p>
                    </w:tc>
                    <w:tc>
                      <w:tcPr>
                        <w:tcW w:w="737" w:type="dxa"/>
                        <w:tcBorders>
                          <w:top w:val="nil"/>
                          <w:left w:val="nil"/>
                          <w:bottom w:val="nil"/>
                          <w:right w:val="nil"/>
                        </w:tcBorders>
                        <w:shd w:val="clear" w:color="auto" w:fill="AAD3F2"/>
                        <w:vAlign w:val="center"/>
                        <w:hideMark/>
                      </w:tcPr>
                      <w:p w14:paraId="340B089A"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-0.1</w:t>
                        </w:r>
                      </w:p>
                    </w:tc>
                  </w:tr>
                  <w:tr w:rsidR="00330ADF" w:rsidRPr="00227A82" w14:paraId="44104CA9" w14:textId="77777777" w:rsidTr="00CC1F9E">
                    <w:trPr>
                      <w:trHeight w:val="283"/>
                    </w:trPr>
                    <w:tc>
                      <w:tcPr>
                        <w:tcW w:w="602" w:type="dxa"/>
                        <w:tcBorders>
                          <w:top w:val="nil"/>
                          <w:left w:val="nil"/>
                          <w:right w:val="nil"/>
                        </w:tcBorders>
                        <w:shd w:val="clear" w:color="auto" w:fill="AAD3F2"/>
                        <w:noWrap/>
                        <w:vAlign w:val="center"/>
                        <w:hideMark/>
                      </w:tcPr>
                      <w:p w14:paraId="44FA5D12"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2022</w:t>
                        </w:r>
                      </w:p>
                    </w:tc>
                    <w:tc>
                      <w:tcPr>
                        <w:tcW w:w="737" w:type="dxa"/>
                        <w:tcBorders>
                          <w:top w:val="nil"/>
                          <w:left w:val="nil"/>
                          <w:right w:val="nil"/>
                        </w:tcBorders>
                        <w:shd w:val="clear" w:color="auto" w:fill="AAD3F2"/>
                        <w:vAlign w:val="center"/>
                        <w:hideMark/>
                      </w:tcPr>
                      <w:p w14:paraId="53D16650"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0.5</w:t>
                        </w:r>
                      </w:p>
                    </w:tc>
                    <w:tc>
                      <w:tcPr>
                        <w:tcW w:w="737" w:type="dxa"/>
                        <w:tcBorders>
                          <w:top w:val="nil"/>
                          <w:left w:val="nil"/>
                          <w:right w:val="nil"/>
                        </w:tcBorders>
                        <w:shd w:val="clear" w:color="auto" w:fill="AAD3F2"/>
                        <w:noWrap/>
                        <w:vAlign w:val="center"/>
                        <w:hideMark/>
                      </w:tcPr>
                      <w:p w14:paraId="234EDEAF"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1.5</w:t>
                        </w:r>
                      </w:p>
                    </w:tc>
                    <w:tc>
                      <w:tcPr>
                        <w:tcW w:w="737" w:type="dxa"/>
                        <w:tcBorders>
                          <w:top w:val="nil"/>
                          <w:left w:val="nil"/>
                          <w:right w:val="nil"/>
                        </w:tcBorders>
                        <w:shd w:val="clear" w:color="auto" w:fill="AAD3F2"/>
                        <w:noWrap/>
                        <w:vAlign w:val="center"/>
                        <w:hideMark/>
                      </w:tcPr>
                      <w:p w14:paraId="23C1AE53"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0.9</w:t>
                        </w:r>
                      </w:p>
                    </w:tc>
                    <w:tc>
                      <w:tcPr>
                        <w:tcW w:w="737" w:type="dxa"/>
                        <w:tcBorders>
                          <w:top w:val="nil"/>
                          <w:left w:val="nil"/>
                          <w:right w:val="nil"/>
                        </w:tcBorders>
                        <w:shd w:val="clear" w:color="auto" w:fill="AAD3F2"/>
                        <w:noWrap/>
                        <w:vAlign w:val="center"/>
                        <w:hideMark/>
                      </w:tcPr>
                      <w:p w14:paraId="58497C52"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0.6</w:t>
                        </w:r>
                      </w:p>
                    </w:tc>
                    <w:tc>
                      <w:tcPr>
                        <w:tcW w:w="737" w:type="dxa"/>
                        <w:tcBorders>
                          <w:top w:val="nil"/>
                          <w:left w:val="nil"/>
                          <w:right w:val="nil"/>
                        </w:tcBorders>
                        <w:shd w:val="clear" w:color="auto" w:fill="AAD3F2"/>
                        <w:vAlign w:val="center"/>
                        <w:hideMark/>
                      </w:tcPr>
                      <w:p w14:paraId="16332B49"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0.0</w:t>
                        </w:r>
                      </w:p>
                    </w:tc>
                  </w:tr>
                  <w:tr w:rsidR="00330ADF" w:rsidRPr="00227A82" w14:paraId="1D588068" w14:textId="77777777" w:rsidTr="00CC1F9E">
                    <w:trPr>
                      <w:trHeight w:val="283"/>
                    </w:trPr>
                    <w:tc>
                      <w:tcPr>
                        <w:tcW w:w="602" w:type="dxa"/>
                        <w:tcBorders>
                          <w:top w:val="nil"/>
                          <w:left w:val="nil"/>
                          <w:bottom w:val="single" w:sz="8" w:space="0" w:color="auto"/>
                          <w:right w:val="nil"/>
                        </w:tcBorders>
                        <w:shd w:val="clear" w:color="auto" w:fill="AAD3F2"/>
                        <w:noWrap/>
                        <w:vAlign w:val="center"/>
                        <w:hideMark/>
                      </w:tcPr>
                      <w:p w14:paraId="4059D1A0"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2023</w:t>
                        </w:r>
                      </w:p>
                    </w:tc>
                    <w:tc>
                      <w:tcPr>
                        <w:tcW w:w="737" w:type="dxa"/>
                        <w:tcBorders>
                          <w:top w:val="nil"/>
                          <w:left w:val="nil"/>
                          <w:bottom w:val="single" w:sz="8" w:space="0" w:color="auto"/>
                          <w:right w:val="nil"/>
                        </w:tcBorders>
                        <w:shd w:val="clear" w:color="auto" w:fill="AAD3F2"/>
                        <w:vAlign w:val="center"/>
                        <w:hideMark/>
                      </w:tcPr>
                      <w:p w14:paraId="50CBC5FC" w14:textId="3B514D16"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-0.</w:t>
                        </w:r>
                        <w:r w:rsidR="00DD6FE8">
                          <w:rPr>
                            <w:rFonts w:cs="Calibri"/>
                            <w:color w:val="000000"/>
                            <w:sz w:val="16"/>
                            <w:szCs w:val="16"/>
                          </w:rPr>
                          <w:t>2</w:t>
                        </w:r>
                      </w:p>
                    </w:tc>
                    <w:tc>
                      <w:tcPr>
                        <w:tcW w:w="737" w:type="dxa"/>
                        <w:tcBorders>
                          <w:top w:val="nil"/>
                          <w:left w:val="nil"/>
                          <w:bottom w:val="single" w:sz="8" w:space="0" w:color="auto"/>
                          <w:right w:val="nil"/>
                        </w:tcBorders>
                        <w:shd w:val="clear" w:color="auto" w:fill="AAD3F2"/>
                        <w:noWrap/>
                        <w:vAlign w:val="center"/>
                        <w:hideMark/>
                      </w:tcPr>
                      <w:p w14:paraId="34772CBD"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2.0</w:t>
                        </w:r>
                      </w:p>
                    </w:tc>
                    <w:tc>
                      <w:tcPr>
                        <w:tcW w:w="737" w:type="dxa"/>
                        <w:tcBorders>
                          <w:top w:val="nil"/>
                          <w:left w:val="nil"/>
                          <w:bottom w:val="single" w:sz="8" w:space="0" w:color="auto"/>
                          <w:right w:val="nil"/>
                        </w:tcBorders>
                        <w:shd w:val="clear" w:color="auto" w:fill="AAD3F2"/>
                        <w:noWrap/>
                        <w:vAlign w:val="center"/>
                        <w:hideMark/>
                      </w:tcPr>
                      <w:p w14:paraId="5AFC207B"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1.1</w:t>
                        </w:r>
                      </w:p>
                    </w:tc>
                    <w:tc>
                      <w:tcPr>
                        <w:tcW w:w="737" w:type="dxa"/>
                        <w:tcBorders>
                          <w:top w:val="nil"/>
                          <w:left w:val="nil"/>
                          <w:bottom w:val="single" w:sz="8" w:space="0" w:color="auto"/>
                          <w:right w:val="nil"/>
                        </w:tcBorders>
                        <w:shd w:val="clear" w:color="auto" w:fill="AAD3F2"/>
                        <w:noWrap/>
                        <w:vAlign w:val="center"/>
                        <w:hideMark/>
                      </w:tcPr>
                      <w:p w14:paraId="1576F603"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0.8</w:t>
                        </w:r>
                      </w:p>
                    </w:tc>
                    <w:tc>
                      <w:tcPr>
                        <w:tcW w:w="737" w:type="dxa"/>
                        <w:tcBorders>
                          <w:top w:val="nil"/>
                          <w:left w:val="nil"/>
                          <w:bottom w:val="single" w:sz="8" w:space="0" w:color="auto"/>
                          <w:right w:val="nil"/>
                        </w:tcBorders>
                        <w:shd w:val="clear" w:color="auto" w:fill="AAD3F2"/>
                        <w:vAlign w:val="center"/>
                        <w:hideMark/>
                      </w:tcPr>
                      <w:p w14:paraId="0FC89713"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0.0</w:t>
                        </w:r>
                      </w:p>
                    </w:tc>
                  </w:tr>
                  <w:tr w:rsidR="00330ADF" w:rsidRPr="00227A82" w14:paraId="320B3F25" w14:textId="77777777" w:rsidTr="00CC1F9E">
                    <w:trPr>
                      <w:trHeight w:val="283"/>
                    </w:trPr>
                    <w:tc>
                      <w:tcPr>
                        <w:tcW w:w="602" w:type="dxa"/>
                        <w:tcBorders>
                          <w:top w:val="single" w:sz="8" w:space="0" w:color="auto"/>
                          <w:left w:val="nil"/>
                          <w:right w:val="nil"/>
                        </w:tcBorders>
                        <w:shd w:val="clear" w:color="auto" w:fill="AAD3F2"/>
                        <w:noWrap/>
                        <w:vAlign w:val="center"/>
                        <w:hideMark/>
                      </w:tcPr>
                      <w:p w14:paraId="6742DAB7"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2024F</w:t>
                        </w:r>
                      </w:p>
                    </w:tc>
                    <w:tc>
                      <w:tcPr>
                        <w:tcW w:w="737" w:type="dxa"/>
                        <w:tcBorders>
                          <w:top w:val="single" w:sz="8" w:space="0" w:color="auto"/>
                          <w:left w:val="nil"/>
                          <w:right w:val="nil"/>
                        </w:tcBorders>
                        <w:shd w:val="clear" w:color="auto" w:fill="AAD3F2"/>
                        <w:vAlign w:val="center"/>
                        <w:hideMark/>
                      </w:tcPr>
                      <w:p w14:paraId="0ACD7C85"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-0.3</w:t>
                        </w:r>
                      </w:p>
                    </w:tc>
                    <w:tc>
                      <w:tcPr>
                        <w:tcW w:w="737" w:type="dxa"/>
                        <w:tcBorders>
                          <w:top w:val="single" w:sz="8" w:space="0" w:color="auto"/>
                          <w:left w:val="nil"/>
                          <w:right w:val="nil"/>
                        </w:tcBorders>
                        <w:shd w:val="clear" w:color="auto" w:fill="AAD3F2"/>
                        <w:noWrap/>
                        <w:vAlign w:val="center"/>
                        <w:hideMark/>
                      </w:tcPr>
                      <w:p w14:paraId="082EAC39"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2.0</w:t>
                        </w:r>
                      </w:p>
                    </w:tc>
                    <w:tc>
                      <w:tcPr>
                        <w:tcW w:w="737" w:type="dxa"/>
                        <w:tcBorders>
                          <w:top w:val="single" w:sz="8" w:space="0" w:color="auto"/>
                          <w:left w:val="nil"/>
                          <w:right w:val="nil"/>
                        </w:tcBorders>
                        <w:shd w:val="clear" w:color="auto" w:fill="AAD3F2"/>
                        <w:noWrap/>
                        <w:vAlign w:val="center"/>
                        <w:hideMark/>
                      </w:tcPr>
                      <w:p w14:paraId="0191B923"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top w:val="single" w:sz="8" w:space="0" w:color="auto"/>
                          <w:left w:val="nil"/>
                          <w:right w:val="nil"/>
                        </w:tcBorders>
                        <w:shd w:val="clear" w:color="auto" w:fill="AAD3F2"/>
                        <w:noWrap/>
                        <w:vAlign w:val="center"/>
                        <w:hideMark/>
                      </w:tcPr>
                      <w:p w14:paraId="4E78308E"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top w:val="single" w:sz="8" w:space="0" w:color="auto"/>
                          <w:left w:val="nil"/>
                          <w:right w:val="nil"/>
                        </w:tcBorders>
                        <w:shd w:val="clear" w:color="auto" w:fill="AAD3F2"/>
                        <w:vAlign w:val="center"/>
                        <w:hideMark/>
                      </w:tcPr>
                      <w:p w14:paraId="73EBA44E"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0.0</w:t>
                        </w:r>
                      </w:p>
                    </w:tc>
                  </w:tr>
                  <w:tr w:rsidR="00330ADF" w:rsidRPr="00227A82" w14:paraId="39F40F07" w14:textId="77777777" w:rsidTr="00CC1F9E">
                    <w:trPr>
                      <w:trHeight w:val="283"/>
                    </w:trPr>
                    <w:tc>
                      <w:tcPr>
                        <w:tcW w:w="602" w:type="dxa"/>
                        <w:tcBorders>
                          <w:left w:val="nil"/>
                          <w:bottom w:val="nil"/>
                          <w:right w:val="nil"/>
                        </w:tcBorders>
                        <w:shd w:val="clear" w:color="auto" w:fill="AAD3F2"/>
                        <w:noWrap/>
                        <w:vAlign w:val="center"/>
                        <w:hideMark/>
                      </w:tcPr>
                      <w:p w14:paraId="74823D30"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2025F</w:t>
                        </w:r>
                      </w:p>
                    </w:tc>
                    <w:tc>
                      <w:tcPr>
                        <w:tcW w:w="737" w:type="dxa"/>
                        <w:tcBorders>
                          <w:left w:val="nil"/>
                          <w:bottom w:val="nil"/>
                          <w:right w:val="nil"/>
                        </w:tcBorders>
                        <w:shd w:val="clear" w:color="auto" w:fill="AAD3F2"/>
                        <w:vAlign w:val="center"/>
                        <w:hideMark/>
                      </w:tcPr>
                      <w:p w14:paraId="437256F8"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0.7</w:t>
                        </w:r>
                      </w:p>
                    </w:tc>
                    <w:tc>
                      <w:tcPr>
                        <w:tcW w:w="737" w:type="dxa"/>
                        <w:tcBorders>
                          <w:left w:val="nil"/>
                          <w:bottom w:val="nil"/>
                          <w:right w:val="nil"/>
                        </w:tcBorders>
                        <w:shd w:val="clear" w:color="auto" w:fill="AAD3F2"/>
                        <w:noWrap/>
                        <w:vAlign w:val="center"/>
                        <w:hideMark/>
                      </w:tcPr>
                      <w:p w14:paraId="147F3DBD"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2.0</w:t>
                        </w:r>
                      </w:p>
                    </w:tc>
                    <w:tc>
                      <w:tcPr>
                        <w:tcW w:w="737" w:type="dxa"/>
                        <w:tcBorders>
                          <w:left w:val="nil"/>
                          <w:bottom w:val="nil"/>
                          <w:right w:val="nil"/>
                        </w:tcBorders>
                        <w:shd w:val="clear" w:color="auto" w:fill="AAD3F2"/>
                        <w:noWrap/>
                        <w:vAlign w:val="center"/>
                        <w:hideMark/>
                      </w:tcPr>
                      <w:p w14:paraId="707046BC"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left w:val="nil"/>
                          <w:bottom w:val="nil"/>
                          <w:right w:val="nil"/>
                        </w:tcBorders>
                        <w:shd w:val="clear" w:color="auto" w:fill="AAD3F2"/>
                        <w:noWrap/>
                        <w:vAlign w:val="center"/>
                        <w:hideMark/>
                      </w:tcPr>
                      <w:p w14:paraId="1E569AA7"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left w:val="nil"/>
                          <w:bottom w:val="nil"/>
                          <w:right w:val="nil"/>
                        </w:tcBorders>
                        <w:shd w:val="clear" w:color="auto" w:fill="AAD3F2"/>
                        <w:vAlign w:val="center"/>
                        <w:hideMark/>
                      </w:tcPr>
                      <w:p w14:paraId="7B77B1FC"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0.0</w:t>
                        </w:r>
                      </w:p>
                    </w:tc>
                  </w:tr>
                  <w:tr w:rsidR="00330ADF" w:rsidRPr="00227A82" w14:paraId="4DB85AED" w14:textId="77777777" w:rsidTr="00CC1F9E">
                    <w:trPr>
                      <w:trHeight w:val="283"/>
                    </w:trPr>
                    <w:tc>
                      <w:tcPr>
                        <w:tcW w:w="602" w:type="dxa"/>
                        <w:tcBorders>
                          <w:top w:val="nil"/>
                          <w:left w:val="nil"/>
                          <w:bottom w:val="nil"/>
                          <w:right w:val="nil"/>
                        </w:tcBorders>
                        <w:shd w:val="clear" w:color="auto" w:fill="AAD3F2"/>
                        <w:noWrap/>
                        <w:vAlign w:val="center"/>
                        <w:hideMark/>
                      </w:tcPr>
                      <w:p w14:paraId="62F14A65"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2026F</w:t>
                        </w:r>
                      </w:p>
                    </w:tc>
                    <w:tc>
                      <w:tcPr>
                        <w:tcW w:w="737" w:type="dxa"/>
                        <w:tcBorders>
                          <w:top w:val="nil"/>
                          <w:left w:val="nil"/>
                          <w:bottom w:val="nil"/>
                          <w:right w:val="nil"/>
                        </w:tcBorders>
                        <w:shd w:val="clear" w:color="auto" w:fill="AAD3F2"/>
                        <w:vAlign w:val="center"/>
                        <w:hideMark/>
                      </w:tcPr>
                      <w:p w14:paraId="5DBFF023"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1.0</w:t>
                        </w:r>
                      </w:p>
                    </w:tc>
                    <w:tc>
                      <w:tcPr>
                        <w:tcW w:w="737" w:type="dxa"/>
                        <w:tcBorders>
                          <w:top w:val="nil"/>
                          <w:left w:val="nil"/>
                          <w:bottom w:val="nil"/>
                          <w:right w:val="nil"/>
                        </w:tcBorders>
                        <w:shd w:val="clear" w:color="auto" w:fill="AAD3F2"/>
                        <w:noWrap/>
                        <w:vAlign w:val="center"/>
                        <w:hideMark/>
                      </w:tcPr>
                      <w:p w14:paraId="276C5AB0"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2.0</w:t>
                        </w:r>
                      </w:p>
                    </w:tc>
                    <w:tc>
                      <w:tcPr>
                        <w:tcW w:w="737" w:type="dxa"/>
                        <w:tcBorders>
                          <w:top w:val="nil"/>
                          <w:left w:val="nil"/>
                          <w:bottom w:val="nil"/>
                          <w:right w:val="nil"/>
                        </w:tcBorders>
                        <w:shd w:val="clear" w:color="auto" w:fill="AAD3F2"/>
                        <w:noWrap/>
                        <w:vAlign w:val="center"/>
                        <w:hideMark/>
                      </w:tcPr>
                      <w:p w14:paraId="02DFE1F7"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top w:val="nil"/>
                          <w:left w:val="nil"/>
                          <w:bottom w:val="nil"/>
                          <w:right w:val="nil"/>
                        </w:tcBorders>
                        <w:shd w:val="clear" w:color="auto" w:fill="AAD3F2"/>
                        <w:noWrap/>
                        <w:vAlign w:val="center"/>
                        <w:hideMark/>
                      </w:tcPr>
                      <w:p w14:paraId="61EC73E8"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1.1</w:t>
                        </w:r>
                      </w:p>
                    </w:tc>
                    <w:tc>
                      <w:tcPr>
                        <w:tcW w:w="737" w:type="dxa"/>
                        <w:tcBorders>
                          <w:top w:val="nil"/>
                          <w:left w:val="nil"/>
                          <w:bottom w:val="nil"/>
                          <w:right w:val="nil"/>
                        </w:tcBorders>
                        <w:shd w:val="clear" w:color="auto" w:fill="AAD3F2"/>
                        <w:vAlign w:val="center"/>
                        <w:hideMark/>
                      </w:tcPr>
                      <w:p w14:paraId="47276772"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-0.1</w:t>
                        </w:r>
                      </w:p>
                    </w:tc>
                  </w:tr>
                  <w:tr w:rsidR="00330ADF" w:rsidRPr="00227A82" w14:paraId="3C8C5203" w14:textId="77777777" w:rsidTr="00CC1F9E">
                    <w:trPr>
                      <w:trHeight w:val="283"/>
                    </w:trPr>
                    <w:tc>
                      <w:tcPr>
                        <w:tcW w:w="602" w:type="dxa"/>
                        <w:tcBorders>
                          <w:top w:val="nil"/>
                          <w:left w:val="nil"/>
                          <w:bottom w:val="nil"/>
                          <w:right w:val="nil"/>
                        </w:tcBorders>
                        <w:shd w:val="clear" w:color="auto" w:fill="AAD3F2"/>
                        <w:noWrap/>
                        <w:vAlign w:val="center"/>
                        <w:hideMark/>
                      </w:tcPr>
                      <w:p w14:paraId="3485201F"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2027F</w:t>
                        </w:r>
                      </w:p>
                    </w:tc>
                    <w:tc>
                      <w:tcPr>
                        <w:tcW w:w="737" w:type="dxa"/>
                        <w:tcBorders>
                          <w:top w:val="nil"/>
                          <w:left w:val="nil"/>
                          <w:bottom w:val="nil"/>
                          <w:right w:val="nil"/>
                        </w:tcBorders>
                        <w:shd w:val="clear" w:color="auto" w:fill="AAD3F2"/>
                        <w:vAlign w:val="center"/>
                        <w:hideMark/>
                      </w:tcPr>
                      <w:p w14:paraId="722E1FEC"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0.8</w:t>
                        </w:r>
                      </w:p>
                    </w:tc>
                    <w:tc>
                      <w:tcPr>
                        <w:tcW w:w="737" w:type="dxa"/>
                        <w:tcBorders>
                          <w:top w:val="nil"/>
                          <w:left w:val="nil"/>
                          <w:bottom w:val="nil"/>
                          <w:right w:val="nil"/>
                        </w:tcBorders>
                        <w:shd w:val="clear" w:color="auto" w:fill="AAD3F2"/>
                        <w:noWrap/>
                        <w:vAlign w:val="center"/>
                        <w:hideMark/>
                      </w:tcPr>
                      <w:p w14:paraId="6E8B98B1"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1.8</w:t>
                        </w:r>
                      </w:p>
                    </w:tc>
                    <w:tc>
                      <w:tcPr>
                        <w:tcW w:w="737" w:type="dxa"/>
                        <w:tcBorders>
                          <w:top w:val="nil"/>
                          <w:left w:val="nil"/>
                          <w:bottom w:val="nil"/>
                          <w:right w:val="nil"/>
                        </w:tcBorders>
                        <w:shd w:val="clear" w:color="auto" w:fill="AAD3F2"/>
                        <w:noWrap/>
                        <w:vAlign w:val="center"/>
                        <w:hideMark/>
                      </w:tcPr>
                      <w:p w14:paraId="7C6DB728"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top w:val="nil"/>
                          <w:left w:val="nil"/>
                          <w:bottom w:val="nil"/>
                          <w:right w:val="nil"/>
                        </w:tcBorders>
                        <w:shd w:val="clear" w:color="auto" w:fill="AAD3F2"/>
                        <w:noWrap/>
                        <w:vAlign w:val="center"/>
                        <w:hideMark/>
                      </w:tcPr>
                      <w:p w14:paraId="18187949"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top w:val="nil"/>
                          <w:left w:val="nil"/>
                          <w:bottom w:val="nil"/>
                          <w:right w:val="nil"/>
                        </w:tcBorders>
                        <w:shd w:val="clear" w:color="auto" w:fill="AAD3F2"/>
                        <w:vAlign w:val="center"/>
                        <w:hideMark/>
                      </w:tcPr>
                      <w:p w14:paraId="7DF1B3D1"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-0.1</w:t>
                        </w:r>
                      </w:p>
                    </w:tc>
                  </w:tr>
                  <w:tr w:rsidR="00330ADF" w:rsidRPr="00227A82" w14:paraId="09720317" w14:textId="77777777" w:rsidTr="00CC1F9E">
                    <w:trPr>
                      <w:trHeight w:val="283"/>
                    </w:trPr>
                    <w:tc>
                      <w:tcPr>
                        <w:tcW w:w="602" w:type="dxa"/>
                        <w:tcBorders>
                          <w:top w:val="nil"/>
                          <w:left w:val="nil"/>
                          <w:bottom w:val="single" w:sz="8" w:space="0" w:color="auto"/>
                          <w:right w:val="nil"/>
                        </w:tcBorders>
                        <w:shd w:val="clear" w:color="auto" w:fill="AAD3F2"/>
                        <w:noWrap/>
                        <w:vAlign w:val="center"/>
                        <w:hideMark/>
                      </w:tcPr>
                      <w:p w14:paraId="6E3304F2" w14:textId="77777777" w:rsidR="00330ADF" w:rsidRPr="00227A82" w:rsidRDefault="00330ADF" w:rsidP="007435E9">
                        <w:pPr>
                          <w:framePr w:hSpace="142" w:wrap="around" w:vAnchor="text" w:hAnchor="margin" w:xAlign="center" w:y="1"/>
                          <w:suppressOverlap/>
                          <w:jc w:val="center"/>
                          <w:rPr>
                            <w:rFonts w:cs="Calibri"/>
                            <w:b/>
                            <w:bCs/>
                            <w:color w:val="000000"/>
                            <w:sz w:val="16"/>
                            <w:szCs w:val="16"/>
                          </w:rPr>
                        </w:pPr>
                        <w:r w:rsidRPr="00227A82">
                          <w:rPr>
                            <w:rFonts w:cs="Calibri"/>
                            <w:color w:val="000000"/>
                            <w:sz w:val="16"/>
                            <w:szCs w:val="16"/>
                          </w:rPr>
                          <w:t>2028F</w:t>
                        </w:r>
                      </w:p>
                    </w:tc>
                    <w:tc>
                      <w:tcPr>
                        <w:tcW w:w="737" w:type="dxa"/>
                        <w:tcBorders>
                          <w:top w:val="nil"/>
                          <w:left w:val="nil"/>
                          <w:bottom w:val="single" w:sz="8" w:space="0" w:color="auto"/>
                          <w:right w:val="nil"/>
                        </w:tcBorders>
                        <w:shd w:val="clear" w:color="auto" w:fill="AAD3F2"/>
                        <w:vAlign w:val="center"/>
                        <w:hideMark/>
                      </w:tcPr>
                      <w:p w14:paraId="3651992C"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1.2</w:t>
                        </w:r>
                      </w:p>
                    </w:tc>
                    <w:tc>
                      <w:tcPr>
                        <w:tcW w:w="737" w:type="dxa"/>
                        <w:tcBorders>
                          <w:top w:val="nil"/>
                          <w:left w:val="nil"/>
                          <w:bottom w:val="single" w:sz="8" w:space="0" w:color="auto"/>
                          <w:right w:val="nil"/>
                        </w:tcBorders>
                        <w:shd w:val="clear" w:color="auto" w:fill="AAD3F2"/>
                        <w:noWrap/>
                        <w:vAlign w:val="center"/>
                        <w:hideMark/>
                      </w:tcPr>
                      <w:p w14:paraId="736DFE21"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color w:val="000000"/>
                            <w:sz w:val="16"/>
                            <w:szCs w:val="16"/>
                          </w:rPr>
                          <w:t>1.7</w:t>
                        </w:r>
                      </w:p>
                    </w:tc>
                    <w:tc>
                      <w:tcPr>
                        <w:tcW w:w="737" w:type="dxa"/>
                        <w:tcBorders>
                          <w:top w:val="nil"/>
                          <w:left w:val="nil"/>
                          <w:bottom w:val="single" w:sz="8" w:space="0" w:color="auto"/>
                          <w:right w:val="nil"/>
                        </w:tcBorders>
                        <w:shd w:val="clear" w:color="auto" w:fill="AAD3F2"/>
                        <w:noWrap/>
                        <w:vAlign w:val="center"/>
                        <w:hideMark/>
                      </w:tcPr>
                      <w:p w14:paraId="5DBB2D53"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1.0</w:t>
                        </w:r>
                      </w:p>
                    </w:tc>
                    <w:tc>
                      <w:tcPr>
                        <w:tcW w:w="737" w:type="dxa"/>
                        <w:tcBorders>
                          <w:top w:val="nil"/>
                          <w:left w:val="nil"/>
                          <w:bottom w:val="single" w:sz="8" w:space="0" w:color="auto"/>
                          <w:right w:val="nil"/>
                        </w:tcBorders>
                        <w:shd w:val="clear" w:color="auto" w:fill="AAD3F2"/>
                        <w:noWrap/>
                        <w:vAlign w:val="center"/>
                        <w:hideMark/>
                      </w:tcPr>
                      <w:p w14:paraId="70C6B45F"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0.9</w:t>
                        </w:r>
                      </w:p>
                    </w:tc>
                    <w:tc>
                      <w:tcPr>
                        <w:tcW w:w="737" w:type="dxa"/>
                        <w:tcBorders>
                          <w:top w:val="nil"/>
                          <w:left w:val="nil"/>
                          <w:bottom w:val="single" w:sz="8" w:space="0" w:color="auto"/>
                          <w:right w:val="nil"/>
                        </w:tcBorders>
                        <w:shd w:val="clear" w:color="auto" w:fill="AAD3F2"/>
                        <w:vAlign w:val="center"/>
                        <w:hideMark/>
                      </w:tcPr>
                      <w:p w14:paraId="12029DF2" w14:textId="77777777" w:rsidR="00330ADF" w:rsidRPr="00227A82" w:rsidRDefault="00330ADF" w:rsidP="007435E9">
                        <w:pPr>
                          <w:framePr w:hSpace="142" w:wrap="around" w:vAnchor="text" w:hAnchor="margin" w:xAlign="center" w:y="1"/>
                          <w:suppressOverlap/>
                          <w:jc w:val="center"/>
                          <w:rPr>
                            <w:rFonts w:cs="Calibri"/>
                            <w:color w:val="000000"/>
                            <w:sz w:val="16"/>
                            <w:szCs w:val="16"/>
                          </w:rPr>
                        </w:pPr>
                        <w:r w:rsidRPr="00227A82">
                          <w:rPr>
                            <w:rFonts w:cs="Calibri"/>
                            <w:b/>
                            <w:bCs/>
                            <w:color w:val="000000"/>
                            <w:sz w:val="16"/>
                            <w:szCs w:val="16"/>
                          </w:rPr>
                          <w:t>-0.2</w:t>
                        </w:r>
                      </w:p>
                    </w:tc>
                  </w:tr>
                </w:tbl>
                <w:p w14:paraId="75ED4957" w14:textId="77777777" w:rsidR="00330ADF" w:rsidRPr="00227A82" w:rsidRDefault="00330ADF" w:rsidP="007435E9">
                  <w:pPr>
                    <w:framePr w:hSpace="142" w:wrap="around" w:vAnchor="text" w:hAnchor="margin" w:xAlign="center" w:y="1"/>
                    <w:contextualSpacing/>
                    <w:suppressOverlap/>
                    <w:rPr>
                      <w:rFonts w:cs="Garamond"/>
                      <w:b/>
                      <w:bCs/>
                      <w:sz w:val="16"/>
                      <w:szCs w:val="16"/>
                    </w:rPr>
                  </w:pPr>
                </w:p>
              </w:tc>
            </w:tr>
            <w:tr w:rsidR="00330ADF" w:rsidRPr="009B64E6" w14:paraId="6E71A7C6" w14:textId="77777777" w:rsidTr="00CC1F9E">
              <w:trPr>
                <w:trHeight w:val="206"/>
              </w:trPr>
              <w:tc>
                <w:tcPr>
                  <w:tcW w:w="4059" w:type="dxa"/>
                  <w:gridSpan w:val="2"/>
                  <w:tcBorders>
                    <w:top w:val="single" w:sz="4" w:space="0" w:color="auto"/>
                  </w:tcBorders>
                  <w:vAlign w:val="center"/>
                </w:tcPr>
                <w:p w14:paraId="0EDCA4EE" w14:textId="77777777" w:rsidR="00330ADF" w:rsidRPr="00227A82" w:rsidRDefault="00330ADF" w:rsidP="007435E9">
                  <w:pPr>
                    <w:framePr w:hSpace="142" w:wrap="around" w:vAnchor="text" w:hAnchor="margin" w:xAlign="center" w:y="1"/>
                    <w:contextualSpacing/>
                    <w:suppressOverlap/>
                    <w:jc w:val="right"/>
                    <w:rPr>
                      <w:rFonts w:cs="Arial"/>
                      <w:i/>
                      <w:sz w:val="16"/>
                      <w:szCs w:val="14"/>
                    </w:rPr>
                  </w:pPr>
                  <w:r w:rsidRPr="00227A82">
                    <w:rPr>
                      <w:rFonts w:cs="Arial"/>
                      <w:i/>
                      <w:sz w:val="16"/>
                      <w:szCs w:val="14"/>
                    </w:rPr>
                    <w:t>Zdroj: MF SR</w:t>
                  </w:r>
                </w:p>
              </w:tc>
              <w:tc>
                <w:tcPr>
                  <w:tcW w:w="160" w:type="dxa"/>
                  <w:vAlign w:val="center"/>
                </w:tcPr>
                <w:p w14:paraId="41B0057E" w14:textId="77777777" w:rsidR="00330ADF" w:rsidRPr="00227A82" w:rsidRDefault="00330ADF" w:rsidP="007435E9">
                  <w:pPr>
                    <w:framePr w:hSpace="142" w:wrap="around" w:vAnchor="text" w:hAnchor="margin" w:xAlign="center" w:y="1"/>
                    <w:contextualSpacing/>
                    <w:suppressOverlap/>
                    <w:jc w:val="center"/>
                    <w:rPr>
                      <w:rFonts w:cs="Arial"/>
                      <w:sz w:val="16"/>
                      <w:szCs w:val="14"/>
                    </w:rPr>
                  </w:pPr>
                </w:p>
              </w:tc>
              <w:tc>
                <w:tcPr>
                  <w:tcW w:w="4479" w:type="dxa"/>
                  <w:gridSpan w:val="3"/>
                  <w:shd w:val="clear" w:color="auto" w:fill="auto"/>
                  <w:vAlign w:val="center"/>
                </w:tcPr>
                <w:p w14:paraId="18CF941C" w14:textId="290A5DDB" w:rsidR="00330ADF" w:rsidRPr="00227A82" w:rsidRDefault="00330ADF" w:rsidP="007435E9">
                  <w:pPr>
                    <w:framePr w:hSpace="142" w:wrap="around" w:vAnchor="text" w:hAnchor="margin" w:xAlign="center" w:y="1"/>
                    <w:contextualSpacing/>
                    <w:suppressOverlap/>
                    <w:rPr>
                      <w:rFonts w:cs="Arial"/>
                      <w:sz w:val="16"/>
                      <w:szCs w:val="14"/>
                    </w:rPr>
                  </w:pPr>
                  <w:r w:rsidRPr="00227A82">
                    <w:rPr>
                      <w:rFonts w:cs="Arial"/>
                      <w:sz w:val="16"/>
                      <w:szCs w:val="14"/>
                    </w:rPr>
                    <w:t xml:space="preserve">*Celková produktivita výrobných faktorov                               </w:t>
                  </w:r>
                  <w:r w:rsidRPr="00227A82">
                    <w:rPr>
                      <w:rFonts w:cs="Arial"/>
                      <w:i/>
                      <w:sz w:val="16"/>
                      <w:szCs w:val="14"/>
                    </w:rPr>
                    <w:t>Zdroj: MF SR</w:t>
                  </w:r>
                  <w:r w:rsidRPr="00227A82">
                    <w:rPr>
                      <w:rFonts w:cs="Arial"/>
                      <w:sz w:val="16"/>
                      <w:szCs w:val="14"/>
                    </w:rPr>
                    <w:t xml:space="preserve"> </w:t>
                  </w:r>
                </w:p>
              </w:tc>
            </w:tr>
          </w:tbl>
          <w:p w14:paraId="193E3A36" w14:textId="77777777" w:rsidR="00330ADF" w:rsidRPr="009B64E6" w:rsidRDefault="00330ADF" w:rsidP="00CC1F9E">
            <w:pPr>
              <w:pStyle w:val="Box"/>
              <w:spacing w:after="120" w:line="276" w:lineRule="auto"/>
              <w:jc w:val="both"/>
              <w:rPr>
                <w:rFonts w:cs="Times New Roman"/>
                <w:b w:val="0"/>
                <w:sz w:val="22"/>
                <w:szCs w:val="22"/>
                <w:highlight w:val="yellow"/>
              </w:rPr>
            </w:pPr>
          </w:p>
        </w:tc>
      </w:tr>
    </w:tbl>
    <w:p w14:paraId="145046A6" w14:textId="77777777" w:rsidR="00330ADF" w:rsidRDefault="00330ADF" w:rsidP="00330ADF"/>
    <w:p w14:paraId="66B2FAE3" w14:textId="22145408" w:rsidR="009A2A34" w:rsidRDefault="009A2A34">
      <w:r>
        <w:br w:type="page"/>
      </w:r>
    </w:p>
    <w:p w14:paraId="7336F5E1" w14:textId="77777777" w:rsidR="009A2A34" w:rsidRPr="00B31DEF" w:rsidRDefault="009A2A34" w:rsidP="00F8670D">
      <w:pPr>
        <w:pStyle w:val="Nadpis1"/>
        <w:numPr>
          <w:ilvl w:val="0"/>
          <w:numId w:val="29"/>
        </w:numPr>
        <w:ind w:left="397" w:hanging="397"/>
        <w:rPr>
          <w:b w:val="0"/>
          <w:bCs w:val="0"/>
          <w:color w:val="2C9ADC"/>
          <w:szCs w:val="28"/>
        </w:rPr>
      </w:pPr>
      <w:bookmarkStart w:id="111" w:name="_Toc164684480"/>
      <w:bookmarkStart w:id="112" w:name="_Toc117776959"/>
      <w:bookmarkStart w:id="113" w:name="_Toc152932733"/>
      <w:r w:rsidRPr="00B31DEF">
        <w:rPr>
          <w:color w:val="2C9ADC"/>
          <w:szCs w:val="28"/>
        </w:rPr>
        <w:lastRenderedPageBreak/>
        <w:t>AKTUÁLNA POZÍCIA VEREJNÝCH FINANCIÍ</w:t>
      </w:r>
      <w:bookmarkEnd w:id="111"/>
    </w:p>
    <w:tbl>
      <w:tblPr>
        <w:tblW w:w="9073" w:type="dxa"/>
        <w:tblInd w:w="-115" w:type="dxa"/>
        <w:tblBorders>
          <w:top w:val="single" w:sz="4" w:space="0" w:color="000000"/>
          <w:left w:val="nil"/>
          <w:bottom w:val="single" w:sz="4" w:space="0" w:color="000000"/>
          <w:right w:val="nil"/>
          <w:insideH w:val="nil"/>
          <w:insideV w:val="nil"/>
        </w:tblBorders>
        <w:tblLayout w:type="fixed"/>
        <w:tblCellMar>
          <w:left w:w="115" w:type="dxa"/>
          <w:right w:w="115" w:type="dxa"/>
        </w:tblCellMar>
        <w:tblLook w:val="0400" w:firstRow="0" w:lastRow="0" w:firstColumn="0" w:lastColumn="0" w:noHBand="0" w:noVBand="1"/>
      </w:tblPr>
      <w:tblGrid>
        <w:gridCol w:w="9073"/>
      </w:tblGrid>
      <w:tr w:rsidR="009A2A34" w:rsidRPr="00127332" w14:paraId="3A3BE23A" w14:textId="77777777" w:rsidTr="00CC1F9E">
        <w:tc>
          <w:tcPr>
            <w:tcW w:w="9073" w:type="dxa"/>
            <w:shd w:val="clear" w:color="auto" w:fill="auto"/>
          </w:tcPr>
          <w:p w14:paraId="1E839D72" w14:textId="571FA5DD" w:rsidR="009A2A34" w:rsidRPr="00D85C7D" w:rsidRDefault="009A2A34" w:rsidP="00CC1F9E">
            <w:pPr>
              <w:spacing w:after="120"/>
              <w:jc w:val="both"/>
              <w:rPr>
                <w:i/>
                <w:iCs/>
                <w:color w:val="000000"/>
              </w:rPr>
            </w:pPr>
            <w:r>
              <w:rPr>
                <w:i/>
                <w:iCs/>
                <w:color w:val="000000"/>
              </w:rPr>
              <w:t>Po tom, čo  sa v</w:t>
            </w:r>
            <w:r w:rsidR="001F22FC">
              <w:rPr>
                <w:i/>
                <w:iCs/>
                <w:color w:val="000000"/>
              </w:rPr>
              <w:t> </w:t>
            </w:r>
            <w:r>
              <w:rPr>
                <w:i/>
                <w:iCs/>
                <w:color w:val="000000"/>
              </w:rPr>
              <w:t>minulom roku naplno prejavil inflačný šok</w:t>
            </w:r>
            <w:r w:rsidR="001F22FC">
              <w:rPr>
                <w:i/>
                <w:iCs/>
                <w:color w:val="000000"/>
              </w:rPr>
              <w:t xml:space="preserve"> aj na výdavkovej strane </w:t>
            </w:r>
            <w:r>
              <w:rPr>
                <w:i/>
                <w:iCs/>
                <w:color w:val="000000"/>
              </w:rPr>
              <w:t>, deficit za rok 2023 vzrástol medziročne z 1,7 na 4,9 % HDP. Výdavková strana narástla najmä pod vplyvom opatrení, ktoré mali zacieľ chrániť domácnosti aj firmy pred výrazným nárastom cien energií. Rast výdavkov</w:t>
            </w:r>
            <w:r w:rsidR="001F22FC">
              <w:rPr>
                <w:i/>
                <w:iCs/>
                <w:color w:val="000000"/>
              </w:rPr>
              <w:t xml:space="preserve"> v roku 2023</w:t>
            </w:r>
            <w:r>
              <w:rPr>
                <w:i/>
                <w:iCs/>
                <w:color w:val="000000"/>
              </w:rPr>
              <w:t xml:space="preserve"> potiahli okrem energopomoci v objeme 2,5 % HDP aj iné, trvalé opatrenia. Napríklad dvojitá valorizácia miezd zamestnancov verejnej správy, navýšenie dôchodkov, podpora rodinnej politiky,  či skokový rast miezd v zdravotníctve. V tomto roku príjmy rastú aj pri zohľadnení konsolidačného balíčka v objeme </w:t>
            </w:r>
            <w:r w:rsidRPr="00B822A8">
              <w:rPr>
                <w:i/>
                <w:iCs/>
                <w:color w:val="000000"/>
              </w:rPr>
              <w:t>1,3 % HDP</w:t>
            </w:r>
            <w:r>
              <w:rPr>
                <w:i/>
                <w:iCs/>
                <w:color w:val="000000"/>
              </w:rPr>
              <w:t xml:space="preserve"> polovičným tempom v porovnaní s výdavkami. Slabší rast príjmov spôsobuje najmä pomalší rast DPH, spotrebných daní ako aj pokles dočasných príjmov zo zdanenia nadziskov. Naopak, výdavková strana je ťahaná predovšetkým v</w:t>
            </w:r>
            <w:r w:rsidR="00111273">
              <w:rPr>
                <w:i/>
                <w:iCs/>
                <w:color w:val="000000"/>
              </w:rPr>
              <w:t>ýdavkami v</w:t>
            </w:r>
            <w:r>
              <w:rPr>
                <w:i/>
                <w:iCs/>
                <w:color w:val="000000"/>
              </w:rPr>
              <w:t>i obran</w:t>
            </w:r>
            <w:r w:rsidR="00111273">
              <w:rPr>
                <w:i/>
                <w:iCs/>
                <w:color w:val="000000"/>
              </w:rPr>
              <w:t>e</w:t>
            </w:r>
            <w:r>
              <w:rPr>
                <w:i/>
                <w:iCs/>
                <w:color w:val="000000"/>
              </w:rPr>
              <w:t>, zdravotníctv</w:t>
            </w:r>
            <w:r w:rsidR="00111273">
              <w:rPr>
                <w:i/>
                <w:iCs/>
                <w:color w:val="000000"/>
              </w:rPr>
              <w:t>e</w:t>
            </w:r>
            <w:r>
              <w:rPr>
                <w:i/>
                <w:iCs/>
                <w:color w:val="000000"/>
              </w:rPr>
              <w:t>, sociálnymi výdavkami a tiež obsluhou štátneho dlh</w:t>
            </w:r>
            <w:r w:rsidR="003A4571">
              <w:rPr>
                <w:i/>
                <w:iCs/>
                <w:color w:val="000000"/>
              </w:rPr>
              <w:t>u</w:t>
            </w:r>
            <w:r>
              <w:rPr>
                <w:i/>
                <w:iCs/>
                <w:color w:val="000000"/>
              </w:rPr>
              <w:t>. Deficit by sa však mal v tomto roku udržať v súlade s plánom rozpočtu pod 6 % HDP a očakáva sa tiež súlad s výdavkovým pravidlom z odporúčania pre Slovensko od Európskej komisie.</w:t>
            </w:r>
          </w:p>
        </w:tc>
      </w:tr>
    </w:tbl>
    <w:bookmarkEnd w:id="112"/>
    <w:bookmarkEnd w:id="113"/>
    <w:p w14:paraId="2DCF50A5" w14:textId="5498498D" w:rsidR="009F6FB1" w:rsidRPr="00936EA0" w:rsidRDefault="009A2A34" w:rsidP="009A2A34">
      <w:pPr>
        <w:spacing w:before="240"/>
        <w:jc w:val="both"/>
        <w:rPr>
          <w:bCs/>
          <w:iCs/>
          <w:color w:val="000000"/>
        </w:rPr>
      </w:pPr>
      <w:r>
        <w:rPr>
          <w:b/>
          <w:iCs/>
          <w:color w:val="000000"/>
        </w:rPr>
        <w:t>Deficit verejnej správy sa aktuálne nachádza nad historickým priemerom.</w:t>
      </w:r>
      <w:r w:rsidRPr="0013002C">
        <w:rPr>
          <w:bCs/>
          <w:iCs/>
          <w:color w:val="000000"/>
        </w:rPr>
        <w:t xml:space="preserve"> </w:t>
      </w:r>
      <w:r>
        <w:rPr>
          <w:bCs/>
          <w:iCs/>
          <w:color w:val="000000"/>
        </w:rPr>
        <w:t>V minulom roku došlo k významnému n</w:t>
      </w:r>
      <w:r w:rsidRPr="0013002C">
        <w:rPr>
          <w:bCs/>
          <w:iCs/>
          <w:color w:val="000000"/>
        </w:rPr>
        <w:t>árast</w:t>
      </w:r>
      <w:r>
        <w:rPr>
          <w:bCs/>
          <w:iCs/>
          <w:color w:val="000000"/>
        </w:rPr>
        <w:t>u</w:t>
      </w:r>
      <w:r w:rsidRPr="0013002C">
        <w:rPr>
          <w:bCs/>
          <w:iCs/>
          <w:color w:val="000000"/>
        </w:rPr>
        <w:t xml:space="preserve"> </w:t>
      </w:r>
      <w:r>
        <w:rPr>
          <w:bCs/>
          <w:iCs/>
          <w:color w:val="000000"/>
        </w:rPr>
        <w:t xml:space="preserve">deficitu z 1,7 % na 4,9 % HDP, čo bolo zapríčinené najmä </w:t>
      </w:r>
      <w:r w:rsidRPr="0013002C">
        <w:rPr>
          <w:bCs/>
          <w:iCs/>
          <w:color w:val="000000"/>
        </w:rPr>
        <w:t>inflačn</w:t>
      </w:r>
      <w:r>
        <w:rPr>
          <w:bCs/>
          <w:iCs/>
          <w:color w:val="000000"/>
        </w:rPr>
        <w:t>ými</w:t>
      </w:r>
      <w:r w:rsidRPr="0013002C">
        <w:rPr>
          <w:bCs/>
          <w:iCs/>
          <w:color w:val="000000"/>
        </w:rPr>
        <w:t xml:space="preserve"> tlak</w:t>
      </w:r>
      <w:r>
        <w:rPr>
          <w:bCs/>
          <w:iCs/>
          <w:color w:val="000000"/>
        </w:rPr>
        <w:t>mi ale aj novými opatreniami. V tomto roku deficit aj napriek značným príjmovým opatreniam narastá blízko</w:t>
      </w:r>
      <w:r w:rsidR="00B47EC2">
        <w:rPr>
          <w:bCs/>
          <w:iCs/>
          <w:color w:val="000000"/>
        </w:rPr>
        <w:t xml:space="preserve"> k</w:t>
      </w:r>
      <w:r>
        <w:rPr>
          <w:bCs/>
          <w:iCs/>
          <w:color w:val="000000"/>
        </w:rPr>
        <w:t xml:space="preserve"> 6 % HDP. </w:t>
      </w:r>
    </w:p>
    <w:tbl>
      <w:tblPr>
        <w:tblW w:w="4986"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383"/>
        <w:gridCol w:w="160"/>
        <w:gridCol w:w="4502"/>
      </w:tblGrid>
      <w:tr w:rsidR="009A2A34" w:rsidRPr="00B23F05" w14:paraId="7014CC47" w14:textId="77777777" w:rsidTr="00CC1F9E">
        <w:trPr>
          <w:trHeight w:val="142"/>
          <w:jc w:val="center"/>
        </w:trPr>
        <w:tc>
          <w:tcPr>
            <w:tcW w:w="9047" w:type="dxa"/>
            <w:gridSpan w:val="3"/>
            <w:tcBorders>
              <w:top w:val="nil"/>
              <w:left w:val="nil"/>
              <w:bottom w:val="single" w:sz="4" w:space="0" w:color="000000"/>
              <w:right w:val="nil"/>
            </w:tcBorders>
            <w:shd w:val="clear" w:color="auto" w:fill="auto"/>
          </w:tcPr>
          <w:p w14:paraId="333AC142" w14:textId="7A0A518B" w:rsidR="009A2A34" w:rsidRPr="00B23F05" w:rsidRDefault="009A2A34" w:rsidP="003E04BA">
            <w:pPr>
              <w:pStyle w:val="Graf"/>
              <w:spacing w:before="120" w:after="0"/>
              <w:rPr>
                <w:highlight w:val="yellow"/>
              </w:rPr>
            </w:pPr>
            <w:bookmarkStart w:id="114" w:name="_Toc164684573"/>
            <w:r w:rsidRPr="001D669C">
              <w:t xml:space="preserve">GRAF </w:t>
            </w:r>
            <w:r w:rsidR="009F6FB1" w:rsidRPr="00877711">
              <w:rPr>
                <w:color w:val="2C9ADC"/>
              </w:rPr>
              <w:fldChar w:fldCharType="begin"/>
            </w:r>
            <w:r w:rsidR="009F6FB1" w:rsidRPr="00877711">
              <w:rPr>
                <w:color w:val="2C9ADC"/>
              </w:rPr>
              <w:instrText xml:space="preserve"> SEQ GRAF \* ARABIC </w:instrText>
            </w:r>
            <w:r w:rsidR="009F6FB1" w:rsidRPr="00877711">
              <w:rPr>
                <w:color w:val="2C9ADC"/>
              </w:rPr>
              <w:fldChar w:fldCharType="separate"/>
            </w:r>
            <w:r w:rsidR="007435E9">
              <w:rPr>
                <w:noProof/>
                <w:color w:val="2C9ADC"/>
              </w:rPr>
              <w:t>8</w:t>
            </w:r>
            <w:r w:rsidR="009F6FB1" w:rsidRPr="00877711">
              <w:rPr>
                <w:color w:val="2C9ADC"/>
              </w:rPr>
              <w:fldChar w:fldCharType="end"/>
            </w:r>
            <w:r w:rsidRPr="001D669C">
              <w:t xml:space="preserve"> – Vývoj nominálneho salda v % HD</w:t>
            </w:r>
            <w:r w:rsidR="009F6FB1">
              <w:t>P</w:t>
            </w:r>
            <w:bookmarkEnd w:id="114"/>
          </w:p>
        </w:tc>
      </w:tr>
      <w:tr w:rsidR="009A2A34" w:rsidRPr="00B23F05" w14:paraId="01536930" w14:textId="77777777" w:rsidTr="00CC1F9E">
        <w:trPr>
          <w:trHeight w:val="3043"/>
          <w:jc w:val="center"/>
        </w:trPr>
        <w:tc>
          <w:tcPr>
            <w:tcW w:w="9047" w:type="dxa"/>
            <w:gridSpan w:val="3"/>
            <w:tcBorders>
              <w:top w:val="single" w:sz="4" w:space="0" w:color="000000"/>
              <w:left w:val="nil"/>
              <w:bottom w:val="single" w:sz="4" w:space="0" w:color="auto"/>
              <w:right w:val="nil"/>
            </w:tcBorders>
            <w:shd w:val="clear" w:color="auto" w:fill="auto"/>
          </w:tcPr>
          <w:p w14:paraId="68EDAEAF" w14:textId="77777777" w:rsidR="009A2A34" w:rsidRPr="00FC4C25" w:rsidRDefault="009A2A34" w:rsidP="00CC1F9E">
            <w:pPr>
              <w:pStyle w:val="Graf"/>
              <w:rPr>
                <w:highlight w:val="yellow"/>
              </w:rPr>
            </w:pPr>
            <w:r>
              <w:rPr>
                <w:noProof/>
                <w:lang w:eastAsia="sk-SK"/>
              </w:rPr>
              <w:drawing>
                <wp:inline distT="0" distB="0" distL="0" distR="0" wp14:anchorId="75844F62" wp14:editId="66D5A52E">
                  <wp:extent cx="5645150" cy="2574098"/>
                  <wp:effectExtent l="0" t="0" r="0" b="0"/>
                  <wp:docPr id="51" name="Graf 51">
                    <a:extLst xmlns:a="http://schemas.openxmlformats.org/drawingml/2006/main">
                      <a:ext uri="{FF2B5EF4-FFF2-40B4-BE49-F238E27FC236}">
                        <a16:creationId xmlns:a16="http://schemas.microsoft.com/office/drawing/2014/main" id="{7FF7CC1D-E715-43BB-A08C-EC43F89AB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9A2A34" w:rsidRPr="00B23F05" w14:paraId="063F24A6" w14:textId="77777777" w:rsidTr="00D80F1D">
        <w:trPr>
          <w:trHeight w:val="142"/>
          <w:jc w:val="center"/>
        </w:trPr>
        <w:tc>
          <w:tcPr>
            <w:tcW w:w="4384" w:type="dxa"/>
            <w:tcBorders>
              <w:top w:val="single" w:sz="4" w:space="0" w:color="auto"/>
              <w:left w:val="nil"/>
              <w:bottom w:val="nil"/>
              <w:right w:val="nil"/>
            </w:tcBorders>
            <w:shd w:val="clear" w:color="auto" w:fill="auto"/>
          </w:tcPr>
          <w:p w14:paraId="77F70258" w14:textId="77777777" w:rsidR="009A2A34" w:rsidRPr="00B23F05" w:rsidRDefault="009A2A34" w:rsidP="00CC1F9E">
            <w:pPr>
              <w:pStyle w:val="Graf"/>
              <w:rPr>
                <w:highlight w:val="yellow"/>
              </w:rPr>
            </w:pPr>
          </w:p>
        </w:tc>
        <w:tc>
          <w:tcPr>
            <w:tcW w:w="160" w:type="dxa"/>
            <w:tcBorders>
              <w:top w:val="single" w:sz="4" w:space="0" w:color="auto"/>
              <w:left w:val="nil"/>
              <w:bottom w:val="nil"/>
              <w:right w:val="nil"/>
            </w:tcBorders>
            <w:shd w:val="clear" w:color="auto" w:fill="auto"/>
            <w:vAlign w:val="center"/>
          </w:tcPr>
          <w:p w14:paraId="5A21D4BE" w14:textId="77777777" w:rsidR="009A2A34" w:rsidRPr="00B23F05" w:rsidRDefault="009A2A34" w:rsidP="00CC1F9E">
            <w:pPr>
              <w:pStyle w:val="Graf"/>
              <w:rPr>
                <w:highlight w:val="yellow"/>
              </w:rPr>
            </w:pPr>
          </w:p>
        </w:tc>
        <w:tc>
          <w:tcPr>
            <w:tcW w:w="4503" w:type="dxa"/>
            <w:tcBorders>
              <w:top w:val="single" w:sz="4" w:space="0" w:color="auto"/>
              <w:left w:val="nil"/>
              <w:bottom w:val="nil"/>
              <w:right w:val="nil"/>
            </w:tcBorders>
            <w:shd w:val="clear" w:color="auto" w:fill="auto"/>
          </w:tcPr>
          <w:p w14:paraId="5EEB5C41" w14:textId="77777777" w:rsidR="009A2A34" w:rsidRPr="00B23F05" w:rsidRDefault="009A2A34" w:rsidP="00D80F1D">
            <w:pPr>
              <w:jc w:val="right"/>
              <w:rPr>
                <w:i/>
                <w:sz w:val="16"/>
                <w:szCs w:val="16"/>
                <w:highlight w:val="yellow"/>
              </w:rPr>
            </w:pPr>
            <w:r w:rsidRPr="001D669C">
              <w:rPr>
                <w:i/>
                <w:sz w:val="16"/>
                <w:szCs w:val="16"/>
              </w:rPr>
              <w:t xml:space="preserve">Zdroj: MF SR                                                                                                                                                                                                    </w:t>
            </w:r>
          </w:p>
        </w:tc>
      </w:tr>
    </w:tbl>
    <w:p w14:paraId="3F6DB185" w14:textId="77777777" w:rsidR="009A2A34" w:rsidRPr="003C5534" w:rsidRDefault="009A2A34" w:rsidP="003C5534">
      <w:pPr>
        <w:pStyle w:val="Nadpis2"/>
        <w:numPr>
          <w:ilvl w:val="1"/>
          <w:numId w:val="29"/>
        </w:numPr>
        <w:spacing w:after="120"/>
        <w:rPr>
          <w:b/>
          <w:bCs/>
          <w:color w:val="2C9ADC"/>
          <w:szCs w:val="24"/>
        </w:rPr>
      </w:pPr>
      <w:bookmarkStart w:id="115" w:name="_Toc164684481"/>
      <w:r w:rsidRPr="003C5534">
        <w:rPr>
          <w:b/>
          <w:bCs/>
          <w:color w:val="2C9ADC"/>
          <w:szCs w:val="24"/>
        </w:rPr>
        <w:t>Saldo verejnej správy v roku 2023</w:t>
      </w:r>
      <w:bookmarkEnd w:id="115"/>
    </w:p>
    <w:p w14:paraId="6E402483" w14:textId="2E7CA611" w:rsidR="009A2A34" w:rsidRDefault="009A2A34" w:rsidP="009A2A34">
      <w:pPr>
        <w:jc w:val="both"/>
        <w:rPr>
          <w:iCs/>
        </w:rPr>
      </w:pPr>
      <w:r w:rsidRPr="00625140">
        <w:rPr>
          <w:b/>
          <w:iCs/>
        </w:rPr>
        <w:t xml:space="preserve">Príjmy z daní a odvodov </w:t>
      </w:r>
      <w:r>
        <w:rPr>
          <w:b/>
          <w:iCs/>
        </w:rPr>
        <w:t>rástli v minulom</w:t>
      </w:r>
      <w:r w:rsidRPr="00625140">
        <w:rPr>
          <w:b/>
          <w:iCs/>
        </w:rPr>
        <w:t xml:space="preserve"> roku </w:t>
      </w:r>
      <w:r>
        <w:rPr>
          <w:b/>
          <w:iCs/>
        </w:rPr>
        <w:t xml:space="preserve">až o </w:t>
      </w:r>
      <w:r w:rsidRPr="00625140">
        <w:rPr>
          <w:b/>
          <w:iCs/>
        </w:rPr>
        <w:t>10 %</w:t>
      </w:r>
      <w:r>
        <w:rPr>
          <w:b/>
          <w:iCs/>
        </w:rPr>
        <w:t xml:space="preserve">, čo však nestačilo na </w:t>
      </w:r>
      <w:r w:rsidR="00627FDF">
        <w:rPr>
          <w:b/>
          <w:iCs/>
        </w:rPr>
        <w:t xml:space="preserve">prudší </w:t>
      </w:r>
      <w:r>
        <w:rPr>
          <w:b/>
          <w:iCs/>
        </w:rPr>
        <w:t>rast výdavkov</w:t>
      </w:r>
      <w:r w:rsidRPr="00625140">
        <w:rPr>
          <w:b/>
          <w:iCs/>
        </w:rPr>
        <w:t>.</w:t>
      </w:r>
      <w:r w:rsidRPr="00625140">
        <w:rPr>
          <w:iCs/>
        </w:rPr>
        <w:t xml:space="preserve"> Vplyvom vysokej inflácie r</w:t>
      </w:r>
      <w:r>
        <w:rPr>
          <w:iCs/>
        </w:rPr>
        <w:t>ástli</w:t>
      </w:r>
      <w:r w:rsidRPr="00625140">
        <w:rPr>
          <w:iCs/>
        </w:rPr>
        <w:t xml:space="preserve"> </w:t>
      </w:r>
      <w:r>
        <w:rPr>
          <w:iCs/>
        </w:rPr>
        <w:t xml:space="preserve">okrem výdavkov aj </w:t>
      </w:r>
      <w:r w:rsidRPr="00625140">
        <w:rPr>
          <w:iCs/>
        </w:rPr>
        <w:t>nominálne makroekonomické ukazovatele ovplyvňujúce výber daní. Mzdy v ekonomike r</w:t>
      </w:r>
      <w:r>
        <w:rPr>
          <w:iCs/>
        </w:rPr>
        <w:t>ástli</w:t>
      </w:r>
      <w:r w:rsidRPr="00625140">
        <w:rPr>
          <w:iCs/>
        </w:rPr>
        <w:t xml:space="preserve"> medziročne takmer 10%, spotreba domácností 7,5% a nominálne HDP o viac ako 11%. K vysokému rastu </w:t>
      </w:r>
      <w:r>
        <w:rPr>
          <w:iCs/>
        </w:rPr>
        <w:t xml:space="preserve">príjmov </w:t>
      </w:r>
      <w:r w:rsidRPr="00625140">
        <w:rPr>
          <w:iCs/>
        </w:rPr>
        <w:t>prisp</w:t>
      </w:r>
      <w:r>
        <w:rPr>
          <w:iCs/>
        </w:rPr>
        <w:t>eli</w:t>
      </w:r>
      <w:r w:rsidRPr="00625140">
        <w:rPr>
          <w:iCs/>
        </w:rPr>
        <w:t xml:space="preserve"> aj jednorazové faktory ovplyvňujúce výnos DPH</w:t>
      </w:r>
      <w:r w:rsidRPr="004421BF">
        <w:t xml:space="preserve"> </w:t>
      </w:r>
      <w:r w:rsidRPr="00625140">
        <w:rPr>
          <w:iCs/>
        </w:rPr>
        <w:t>(energopomoc domácnostiam a splátky Slovenských elektrární v rámci individuálne nastaveného splátkového kalendára). Rast daňových príjmov mierne tlm</w:t>
      </w:r>
      <w:r>
        <w:rPr>
          <w:iCs/>
        </w:rPr>
        <w:t>il</w:t>
      </w:r>
      <w:r w:rsidRPr="00625140">
        <w:rPr>
          <w:iCs/>
        </w:rPr>
        <w:t xml:space="preserve"> pokles efektívnej daňovej sadzby ako dôsledok slabšieho rastu výberu daní v porovnaní s</w:t>
      </w:r>
      <w:r>
        <w:rPr>
          <w:iCs/>
        </w:rPr>
        <w:t> </w:t>
      </w:r>
      <w:r w:rsidRPr="00625140">
        <w:rPr>
          <w:iCs/>
        </w:rPr>
        <w:t>rastom</w:t>
      </w:r>
      <w:r>
        <w:rPr>
          <w:iCs/>
        </w:rPr>
        <w:t xml:space="preserve"> ekonomiky</w:t>
      </w:r>
      <w:r w:rsidRPr="00625140">
        <w:rPr>
          <w:iCs/>
        </w:rPr>
        <w:t>. Najvýraznejšie sa to prejavuje pri korporátnej dani a dani vyberanej zrážkou.</w:t>
      </w:r>
      <w:r>
        <w:rPr>
          <w:iCs/>
        </w:rPr>
        <w:t xml:space="preserve"> Na rast príjmov malo negatívny </w:t>
      </w:r>
      <w:r w:rsidRPr="00625140">
        <w:rPr>
          <w:iCs/>
        </w:rPr>
        <w:t>vplyv zníženi</w:t>
      </w:r>
      <w:r>
        <w:rPr>
          <w:iCs/>
        </w:rPr>
        <w:t>e</w:t>
      </w:r>
      <w:r w:rsidRPr="00625140">
        <w:rPr>
          <w:iCs/>
        </w:rPr>
        <w:t xml:space="preserve"> sadzby </w:t>
      </w:r>
      <w:r>
        <w:rPr>
          <w:iCs/>
        </w:rPr>
        <w:t>DPH</w:t>
      </w:r>
      <w:r w:rsidRPr="00625140">
        <w:rPr>
          <w:iCs/>
        </w:rPr>
        <w:t xml:space="preserve"> na 10% </w:t>
      </w:r>
      <w:r>
        <w:rPr>
          <w:iCs/>
        </w:rPr>
        <w:t>v sektore</w:t>
      </w:r>
      <w:r w:rsidRPr="00625140">
        <w:rPr>
          <w:iCs/>
        </w:rPr>
        <w:t xml:space="preserve"> gastro a športoviská. Taktiež sa medziročne zn</w:t>
      </w:r>
      <w:r>
        <w:rPr>
          <w:iCs/>
        </w:rPr>
        <w:t>ížil</w:t>
      </w:r>
      <w:r w:rsidRPr="00625140">
        <w:rPr>
          <w:iCs/>
        </w:rPr>
        <w:t xml:space="preserve"> výnos zo Solidárneho príspevku z činností v odvetviach ropy, zemného plynu, uhlia a rafinérií. Aj napriek </w:t>
      </w:r>
      <w:r>
        <w:rPr>
          <w:iCs/>
        </w:rPr>
        <w:t>negatívnym faktorom</w:t>
      </w:r>
      <w:r w:rsidRPr="00625140">
        <w:rPr>
          <w:iCs/>
        </w:rPr>
        <w:t xml:space="preserve"> však väčšina daní zaznamen</w:t>
      </w:r>
      <w:r>
        <w:rPr>
          <w:iCs/>
        </w:rPr>
        <w:t>ala</w:t>
      </w:r>
      <w:r w:rsidRPr="00625140">
        <w:rPr>
          <w:iCs/>
        </w:rPr>
        <w:t xml:space="preserve"> medziročné rasty. </w:t>
      </w:r>
      <w:r>
        <w:rPr>
          <w:iCs/>
        </w:rPr>
        <w:t xml:space="preserve">Príjem z </w:t>
      </w:r>
      <w:r w:rsidRPr="00625140">
        <w:rPr>
          <w:iCs/>
        </w:rPr>
        <w:t>DPH r</w:t>
      </w:r>
      <w:r>
        <w:rPr>
          <w:iCs/>
        </w:rPr>
        <w:t>ástol</w:t>
      </w:r>
      <w:r w:rsidRPr="00625140">
        <w:rPr>
          <w:iCs/>
        </w:rPr>
        <w:t xml:space="preserve"> o viac ako 16 %, dane z trhu práce o 9 %, a korporátna daň o takmer 9 %.</w:t>
      </w:r>
    </w:p>
    <w:p w14:paraId="74E0881A" w14:textId="011D088E" w:rsidR="001C43FA" w:rsidRDefault="001C43FA" w:rsidP="009A2A34">
      <w:pPr>
        <w:jc w:val="both"/>
        <w:rPr>
          <w:iCs/>
        </w:rPr>
      </w:pPr>
    </w:p>
    <w:p w14:paraId="51DDED7A" w14:textId="4718FB2E" w:rsidR="001C43FA" w:rsidRDefault="001C43FA" w:rsidP="009A2A34">
      <w:pPr>
        <w:jc w:val="both"/>
        <w:rPr>
          <w:iCs/>
        </w:rPr>
      </w:pPr>
    </w:p>
    <w:p w14:paraId="2468F618" w14:textId="77777777" w:rsidR="001C43FA" w:rsidRPr="00625140" w:rsidRDefault="001C43FA" w:rsidP="009A2A34">
      <w:pPr>
        <w:jc w:val="both"/>
        <w:rPr>
          <w:iCs/>
        </w:rPr>
      </w:pPr>
    </w:p>
    <w:tbl>
      <w:tblPr>
        <w:tblW w:w="4976"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373"/>
        <w:gridCol w:w="160"/>
        <w:gridCol w:w="4493"/>
      </w:tblGrid>
      <w:tr w:rsidR="009A2A34" w:rsidRPr="00B23F05" w14:paraId="213B8CE4" w14:textId="77777777" w:rsidTr="00CC1F9E">
        <w:trPr>
          <w:trHeight w:val="165"/>
          <w:jc w:val="center"/>
        </w:trPr>
        <w:tc>
          <w:tcPr>
            <w:tcW w:w="4374" w:type="dxa"/>
            <w:tcBorders>
              <w:top w:val="nil"/>
              <w:left w:val="nil"/>
              <w:bottom w:val="single" w:sz="4" w:space="0" w:color="000000"/>
              <w:right w:val="nil"/>
            </w:tcBorders>
            <w:shd w:val="clear" w:color="auto" w:fill="auto"/>
          </w:tcPr>
          <w:p w14:paraId="2DC5B6B1" w14:textId="118517C0" w:rsidR="009A2A34" w:rsidRPr="00625140" w:rsidRDefault="009A2A34" w:rsidP="00D80F1D">
            <w:pPr>
              <w:pStyle w:val="Graf"/>
              <w:spacing w:before="120" w:after="0"/>
            </w:pPr>
            <w:bookmarkStart w:id="116" w:name="_Toc117765254"/>
            <w:bookmarkStart w:id="117" w:name="_Toc147835722"/>
            <w:bookmarkStart w:id="118" w:name="_Toc164684574"/>
            <w:bookmarkStart w:id="119" w:name="_Hlk162446433"/>
            <w:r w:rsidRPr="00625140">
              <w:lastRenderedPageBreak/>
              <w:t xml:space="preserve">GRAF </w:t>
            </w:r>
            <w:r w:rsidR="00BC482A">
              <w:fldChar w:fldCharType="begin"/>
            </w:r>
            <w:r w:rsidR="00BC482A">
              <w:instrText xml:space="preserve"> SEQ GRAF \* ARABIC </w:instrText>
            </w:r>
            <w:r w:rsidR="00BC482A">
              <w:fldChar w:fldCharType="separate"/>
            </w:r>
            <w:r w:rsidR="007435E9">
              <w:rPr>
                <w:noProof/>
              </w:rPr>
              <w:t>9</w:t>
            </w:r>
            <w:r w:rsidR="00BC482A">
              <w:rPr>
                <w:noProof/>
              </w:rPr>
              <w:fldChar w:fldCharType="end"/>
            </w:r>
            <w:r w:rsidRPr="00625140">
              <w:t xml:space="preserve"> – Príspevky daní k medziročnému rastu daňovo-odvod. príjmov (2023, ESA 2010, v p. b.)</w:t>
            </w:r>
            <w:bookmarkEnd w:id="116"/>
            <w:bookmarkEnd w:id="117"/>
            <w:bookmarkEnd w:id="118"/>
          </w:p>
        </w:tc>
        <w:tc>
          <w:tcPr>
            <w:tcW w:w="160" w:type="dxa"/>
            <w:tcBorders>
              <w:top w:val="nil"/>
              <w:left w:val="nil"/>
              <w:bottom w:val="nil"/>
              <w:right w:val="nil"/>
            </w:tcBorders>
            <w:shd w:val="clear" w:color="auto" w:fill="auto"/>
            <w:vAlign w:val="center"/>
          </w:tcPr>
          <w:p w14:paraId="14FE7CF2" w14:textId="77777777" w:rsidR="009A2A34" w:rsidRPr="00625140" w:rsidRDefault="009A2A34" w:rsidP="00CC1F9E">
            <w:pPr>
              <w:pStyle w:val="Graf"/>
            </w:pPr>
          </w:p>
        </w:tc>
        <w:tc>
          <w:tcPr>
            <w:tcW w:w="4494" w:type="dxa"/>
            <w:tcBorders>
              <w:top w:val="nil"/>
              <w:left w:val="nil"/>
              <w:bottom w:val="single" w:sz="4" w:space="0" w:color="000000"/>
              <w:right w:val="nil"/>
            </w:tcBorders>
            <w:shd w:val="clear" w:color="auto" w:fill="auto"/>
            <w:vAlign w:val="bottom"/>
          </w:tcPr>
          <w:p w14:paraId="020BFED3" w14:textId="3C40319A" w:rsidR="009A2A34" w:rsidRPr="00625140" w:rsidRDefault="009A2A34" w:rsidP="00D80F1D">
            <w:pPr>
              <w:pStyle w:val="Graf"/>
              <w:spacing w:before="120" w:after="0"/>
            </w:pPr>
            <w:bookmarkStart w:id="120" w:name="_Toc117765255"/>
            <w:bookmarkStart w:id="121" w:name="_Toc147835723"/>
            <w:bookmarkStart w:id="122" w:name="_Toc164684575"/>
            <w:r w:rsidRPr="00625140">
              <w:t xml:space="preserve">GRAF </w:t>
            </w:r>
            <w:r w:rsidR="00BC482A">
              <w:fldChar w:fldCharType="begin"/>
            </w:r>
            <w:r w:rsidR="00BC482A">
              <w:instrText xml:space="preserve"> SEQ GRAF \* ARABIC </w:instrText>
            </w:r>
            <w:r w:rsidR="00BC482A">
              <w:fldChar w:fldCharType="separate"/>
            </w:r>
            <w:r w:rsidR="007435E9">
              <w:rPr>
                <w:noProof/>
              </w:rPr>
              <w:t>10</w:t>
            </w:r>
            <w:r w:rsidR="00BC482A">
              <w:rPr>
                <w:noProof/>
              </w:rPr>
              <w:fldChar w:fldCharType="end"/>
            </w:r>
            <w:r w:rsidRPr="00625140">
              <w:t xml:space="preserve"> – </w:t>
            </w:r>
            <w:r>
              <w:t>Príspevky faktorov k m</w:t>
            </w:r>
            <w:r w:rsidRPr="00625140">
              <w:t>edziročn</w:t>
            </w:r>
            <w:r>
              <w:t>ému rastu daňovo-odvod. príjmov (2023, ESA</w:t>
            </w:r>
            <w:r w:rsidRPr="00625140">
              <w:t xml:space="preserve"> 2010, v</w:t>
            </w:r>
            <w:r>
              <w:t> p.b.</w:t>
            </w:r>
            <w:r w:rsidRPr="00625140">
              <w:t>)</w:t>
            </w:r>
            <w:bookmarkEnd w:id="120"/>
            <w:bookmarkEnd w:id="121"/>
            <w:bookmarkEnd w:id="122"/>
          </w:p>
        </w:tc>
      </w:tr>
      <w:tr w:rsidR="009A2A34" w:rsidRPr="00B23F05" w14:paraId="450393CC" w14:textId="77777777" w:rsidTr="00CC1F9E">
        <w:trPr>
          <w:trHeight w:val="165"/>
          <w:jc w:val="center"/>
        </w:trPr>
        <w:tc>
          <w:tcPr>
            <w:tcW w:w="4374" w:type="dxa"/>
            <w:tcBorders>
              <w:top w:val="single" w:sz="4" w:space="0" w:color="000000"/>
              <w:left w:val="nil"/>
              <w:bottom w:val="single" w:sz="4" w:space="0" w:color="auto"/>
              <w:right w:val="nil"/>
            </w:tcBorders>
            <w:shd w:val="clear" w:color="auto" w:fill="auto"/>
          </w:tcPr>
          <w:p w14:paraId="0498CF11" w14:textId="77777777" w:rsidR="009A2A34" w:rsidRPr="00B23F05" w:rsidRDefault="009A2A34" w:rsidP="00CC1F9E">
            <w:pPr>
              <w:pStyle w:val="Graf"/>
              <w:rPr>
                <w:highlight w:val="yellow"/>
              </w:rPr>
            </w:pPr>
            <w:r>
              <w:rPr>
                <w:noProof/>
                <w:lang w:eastAsia="sk-SK"/>
              </w:rPr>
              <w:drawing>
                <wp:inline distT="0" distB="0" distL="0" distR="0" wp14:anchorId="72A5FEF6" wp14:editId="0DAB312E">
                  <wp:extent cx="2688590" cy="1527524"/>
                  <wp:effectExtent l="0" t="0" r="0" b="0"/>
                  <wp:docPr id="52" name="Graf 52">
                    <a:extLst xmlns:a="http://schemas.openxmlformats.org/drawingml/2006/main">
                      <a:ext uri="{FF2B5EF4-FFF2-40B4-BE49-F238E27FC236}">
                        <a16:creationId xmlns:a16="http://schemas.microsoft.com/office/drawing/2014/main" id="{00000000-0008-0000-14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160" w:type="dxa"/>
            <w:tcBorders>
              <w:top w:val="nil"/>
              <w:left w:val="nil"/>
              <w:bottom w:val="single" w:sz="4" w:space="0" w:color="auto"/>
              <w:right w:val="nil"/>
            </w:tcBorders>
            <w:shd w:val="clear" w:color="auto" w:fill="auto"/>
            <w:vAlign w:val="center"/>
          </w:tcPr>
          <w:p w14:paraId="754C672F" w14:textId="77777777" w:rsidR="009A2A34" w:rsidRPr="00B23F05" w:rsidRDefault="009A2A34" w:rsidP="00CC1F9E">
            <w:pPr>
              <w:pStyle w:val="Graf"/>
              <w:rPr>
                <w:highlight w:val="yellow"/>
              </w:rPr>
            </w:pPr>
          </w:p>
        </w:tc>
        <w:tc>
          <w:tcPr>
            <w:tcW w:w="4494" w:type="dxa"/>
            <w:tcBorders>
              <w:top w:val="nil"/>
              <w:left w:val="nil"/>
              <w:bottom w:val="single" w:sz="4" w:space="0" w:color="auto"/>
              <w:right w:val="nil"/>
            </w:tcBorders>
            <w:shd w:val="clear" w:color="auto" w:fill="auto"/>
            <w:vAlign w:val="center"/>
          </w:tcPr>
          <w:p w14:paraId="0F1F7621" w14:textId="77777777" w:rsidR="009A2A34" w:rsidRPr="00B23F05" w:rsidRDefault="009A2A34" w:rsidP="00CC1F9E">
            <w:pPr>
              <w:pStyle w:val="Graf"/>
              <w:rPr>
                <w:highlight w:val="yellow"/>
              </w:rPr>
            </w:pPr>
            <w:r>
              <w:rPr>
                <w:noProof/>
                <w:lang w:eastAsia="sk-SK"/>
              </w:rPr>
              <w:drawing>
                <wp:inline distT="0" distB="0" distL="0" distR="0" wp14:anchorId="716A9D83" wp14:editId="271CEF59">
                  <wp:extent cx="2764790" cy="1471930"/>
                  <wp:effectExtent l="0" t="0" r="0" b="0"/>
                  <wp:docPr id="55" name="Graf 55">
                    <a:extLst xmlns:a="http://schemas.openxmlformats.org/drawingml/2006/main">
                      <a:ext uri="{FF2B5EF4-FFF2-40B4-BE49-F238E27FC236}">
                        <a16:creationId xmlns:a16="http://schemas.microsoft.com/office/drawing/2014/main" id="{D9EA9736-F4E6-46C2-A491-0B3AF3F0E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9A2A34" w:rsidRPr="00B23F05" w14:paraId="596EEA71" w14:textId="77777777" w:rsidTr="00D80F1D">
        <w:trPr>
          <w:trHeight w:val="165"/>
          <w:jc w:val="center"/>
        </w:trPr>
        <w:tc>
          <w:tcPr>
            <w:tcW w:w="4374" w:type="dxa"/>
            <w:tcBorders>
              <w:top w:val="single" w:sz="4" w:space="0" w:color="auto"/>
              <w:left w:val="nil"/>
              <w:bottom w:val="nil"/>
              <w:right w:val="nil"/>
            </w:tcBorders>
            <w:shd w:val="clear" w:color="auto" w:fill="auto"/>
          </w:tcPr>
          <w:p w14:paraId="3549E1B6" w14:textId="77777777" w:rsidR="009A2A34" w:rsidRPr="00B23F05" w:rsidRDefault="009A2A34" w:rsidP="00CC1F9E">
            <w:pPr>
              <w:pStyle w:val="Graf"/>
              <w:rPr>
                <w:highlight w:val="yellow"/>
              </w:rPr>
            </w:pPr>
          </w:p>
        </w:tc>
        <w:tc>
          <w:tcPr>
            <w:tcW w:w="160" w:type="dxa"/>
            <w:tcBorders>
              <w:top w:val="single" w:sz="4" w:space="0" w:color="auto"/>
              <w:left w:val="nil"/>
              <w:bottom w:val="nil"/>
              <w:right w:val="nil"/>
            </w:tcBorders>
            <w:shd w:val="clear" w:color="auto" w:fill="auto"/>
            <w:vAlign w:val="center"/>
          </w:tcPr>
          <w:p w14:paraId="6E64CC78" w14:textId="77777777" w:rsidR="009A2A34" w:rsidRPr="00B23F05" w:rsidRDefault="009A2A34" w:rsidP="00CC1F9E">
            <w:pPr>
              <w:pStyle w:val="Graf"/>
              <w:rPr>
                <w:highlight w:val="yellow"/>
              </w:rPr>
            </w:pPr>
          </w:p>
        </w:tc>
        <w:tc>
          <w:tcPr>
            <w:tcW w:w="4494" w:type="dxa"/>
            <w:tcBorders>
              <w:top w:val="single" w:sz="4" w:space="0" w:color="auto"/>
              <w:left w:val="nil"/>
              <w:bottom w:val="nil"/>
              <w:right w:val="nil"/>
            </w:tcBorders>
            <w:shd w:val="clear" w:color="auto" w:fill="auto"/>
          </w:tcPr>
          <w:p w14:paraId="2C051121" w14:textId="77777777" w:rsidR="009A2A34" w:rsidRPr="00B23F05" w:rsidRDefault="009A2A34" w:rsidP="00D80F1D">
            <w:pPr>
              <w:jc w:val="right"/>
              <w:rPr>
                <w:i/>
                <w:sz w:val="16"/>
                <w:szCs w:val="16"/>
                <w:highlight w:val="yellow"/>
              </w:rPr>
            </w:pPr>
            <w:r w:rsidRPr="00A6361D">
              <w:rPr>
                <w:i/>
                <w:sz w:val="16"/>
                <w:szCs w:val="16"/>
              </w:rPr>
              <w:t xml:space="preserve">Zdroj: MF SR                                                                                                                                                                                                    </w:t>
            </w:r>
          </w:p>
        </w:tc>
      </w:tr>
    </w:tbl>
    <w:p w14:paraId="0F24C785" w14:textId="239CF338" w:rsidR="009A2A34" w:rsidRPr="008C1489" w:rsidRDefault="009A2A34" w:rsidP="009A2A34">
      <w:pPr>
        <w:spacing w:after="120"/>
        <w:jc w:val="both"/>
        <w:rPr>
          <w:iCs/>
        </w:rPr>
      </w:pPr>
      <w:bookmarkStart w:id="123" w:name="_Hlk162955248"/>
      <w:bookmarkEnd w:id="119"/>
      <w:r w:rsidRPr="00CD37EE">
        <w:rPr>
          <w:b/>
          <w:iCs/>
        </w:rPr>
        <w:t xml:space="preserve">Vybrané nedaňové príjmy medziročne </w:t>
      </w:r>
      <w:r>
        <w:rPr>
          <w:b/>
          <w:iCs/>
        </w:rPr>
        <w:t>narástli</w:t>
      </w:r>
      <w:r w:rsidRPr="00CD37EE">
        <w:rPr>
          <w:b/>
          <w:iCs/>
        </w:rPr>
        <w:t xml:space="preserve"> </w:t>
      </w:r>
      <w:r>
        <w:rPr>
          <w:b/>
          <w:iCs/>
        </w:rPr>
        <w:t>len mierne.</w:t>
      </w:r>
      <w:r w:rsidRPr="00CD37EE">
        <w:rPr>
          <w:b/>
          <w:iCs/>
        </w:rPr>
        <w:t xml:space="preserve"> </w:t>
      </w:r>
      <w:r w:rsidRPr="00CD37EE">
        <w:rPr>
          <w:iCs/>
        </w:rPr>
        <w:t>Príjmy z predaja emisných kvót v roku 2023 r</w:t>
      </w:r>
      <w:r>
        <w:rPr>
          <w:iCs/>
        </w:rPr>
        <w:t xml:space="preserve">ástli </w:t>
      </w:r>
      <w:r w:rsidRPr="00CD37EE">
        <w:rPr>
          <w:iCs/>
        </w:rPr>
        <w:t xml:space="preserve">z dôvodu rastúcich cien emisných povoleniek na burze </w:t>
      </w:r>
      <w:r>
        <w:rPr>
          <w:iCs/>
        </w:rPr>
        <w:t xml:space="preserve">ako </w:t>
      </w:r>
      <w:r w:rsidRPr="00CD37EE">
        <w:rPr>
          <w:iCs/>
        </w:rPr>
        <w:t xml:space="preserve">aj z dôvodu </w:t>
      </w:r>
      <w:r>
        <w:rPr>
          <w:iCs/>
        </w:rPr>
        <w:t xml:space="preserve">rastu </w:t>
      </w:r>
      <w:r w:rsidRPr="00CD37EE">
        <w:rPr>
          <w:iCs/>
        </w:rPr>
        <w:t>objemov obchodovaných kvót</w:t>
      </w:r>
      <w:r w:rsidRPr="00CD37EE">
        <w:rPr>
          <w:rFonts w:eastAsia="Calibri" w:cs="Times New Roman"/>
        </w:rPr>
        <w:t>.</w:t>
      </w:r>
      <w:r>
        <w:rPr>
          <w:rFonts w:eastAsia="Calibri" w:cs="Times New Roman"/>
        </w:rPr>
        <w:t xml:space="preserve"> </w:t>
      </w:r>
      <w:r w:rsidRPr="00CD37EE">
        <w:rPr>
          <w:rFonts w:eastAsia="Calibri" w:cs="Times New Roman"/>
        </w:rPr>
        <w:t>Príjmy z odvodu z hazardných hier pokra</w:t>
      </w:r>
      <w:r>
        <w:rPr>
          <w:rFonts w:eastAsia="Calibri" w:cs="Times New Roman"/>
        </w:rPr>
        <w:t>čovali</w:t>
      </w:r>
      <w:r w:rsidRPr="00CD37EE">
        <w:rPr>
          <w:rFonts w:eastAsia="Calibri" w:cs="Times New Roman"/>
        </w:rPr>
        <w:t xml:space="preserve"> v rastúcom trende </w:t>
      </w:r>
      <w:r>
        <w:rPr>
          <w:rFonts w:eastAsia="Calibri" w:cs="Times New Roman"/>
        </w:rPr>
        <w:t>z minulých rokov</w:t>
      </w:r>
      <w:r w:rsidRPr="00CD37EE">
        <w:rPr>
          <w:rFonts w:eastAsia="Calibri" w:cs="Times New Roman"/>
        </w:rPr>
        <w:t xml:space="preserve"> a </w:t>
      </w:r>
      <w:r>
        <w:rPr>
          <w:rFonts w:eastAsia="Calibri" w:cs="Times New Roman"/>
        </w:rPr>
        <w:t>boli</w:t>
      </w:r>
      <w:r w:rsidRPr="00CD37EE">
        <w:rPr>
          <w:rFonts w:eastAsia="Calibri" w:cs="Times New Roman"/>
        </w:rPr>
        <w:t xml:space="preserve"> posilnené aj legislatívnym opatrením </w:t>
      </w:r>
      <w:r>
        <w:rPr>
          <w:rFonts w:eastAsia="Calibri" w:cs="Times New Roman"/>
        </w:rPr>
        <w:t>týkajúceho sa</w:t>
      </w:r>
      <w:r w:rsidRPr="00CD37EE">
        <w:rPr>
          <w:rFonts w:eastAsia="Calibri" w:cs="Times New Roman"/>
        </w:rPr>
        <w:t> zvýšen</w:t>
      </w:r>
      <w:r>
        <w:rPr>
          <w:rFonts w:eastAsia="Calibri" w:cs="Times New Roman"/>
        </w:rPr>
        <w:t>ia</w:t>
      </w:r>
      <w:r w:rsidRPr="00CD37EE">
        <w:rPr>
          <w:rFonts w:eastAsia="Calibri" w:cs="Times New Roman"/>
        </w:rPr>
        <w:t xml:space="preserve"> odvodu z hazardných hier. Rovnako v raste pokrač</w:t>
      </w:r>
      <w:r>
        <w:rPr>
          <w:rFonts w:eastAsia="Calibri" w:cs="Times New Roman"/>
        </w:rPr>
        <w:t>oval</w:t>
      </w:r>
      <w:r w:rsidRPr="00CD37EE">
        <w:rPr>
          <w:rFonts w:eastAsia="Calibri" w:cs="Times New Roman"/>
        </w:rPr>
        <w:t xml:space="preserve"> aj výnos z elektronického mýta a z predaja diaľničných známok. K</w:t>
      </w:r>
      <w:r>
        <w:rPr>
          <w:rFonts w:eastAsia="Calibri" w:cs="Times New Roman"/>
        </w:rPr>
        <w:t xml:space="preserve"> ich </w:t>
      </w:r>
      <w:r w:rsidRPr="00CD37EE">
        <w:rPr>
          <w:rFonts w:eastAsia="Calibri" w:cs="Times New Roman"/>
        </w:rPr>
        <w:t>rastu prispel</w:t>
      </w:r>
      <w:r>
        <w:rPr>
          <w:rFonts w:eastAsia="Calibri" w:cs="Times New Roman"/>
        </w:rPr>
        <w:t>o</w:t>
      </w:r>
      <w:r w:rsidRPr="00CD37EE">
        <w:rPr>
          <w:rFonts w:eastAsia="Calibri" w:cs="Times New Roman"/>
        </w:rPr>
        <w:t xml:space="preserve"> aj </w:t>
      </w:r>
      <w:r>
        <w:rPr>
          <w:rFonts w:eastAsia="Calibri" w:cs="Times New Roman"/>
        </w:rPr>
        <w:t>navýšenie</w:t>
      </w:r>
      <w:r w:rsidRPr="00CD37EE">
        <w:rPr>
          <w:rFonts w:eastAsia="Calibri" w:cs="Times New Roman"/>
        </w:rPr>
        <w:t xml:space="preserve"> cien diaľničných známok</w:t>
      </w:r>
      <w:r>
        <w:rPr>
          <w:rFonts w:eastAsia="Calibri" w:cs="Times New Roman"/>
        </w:rPr>
        <w:t>.</w:t>
      </w:r>
      <w:r w:rsidRPr="00CD37EE">
        <w:rPr>
          <w:rFonts w:eastAsia="Calibri" w:cs="Times New Roman"/>
        </w:rPr>
        <w:t xml:space="preserve"> </w:t>
      </w:r>
      <w:r w:rsidRPr="008C1489">
        <w:rPr>
          <w:rFonts w:eastAsia="Calibri" w:cs="Times New Roman"/>
        </w:rPr>
        <w:t xml:space="preserve">Naopak, výnos z dividend z podnikov </w:t>
      </w:r>
      <w:r w:rsidR="003E789E">
        <w:rPr>
          <w:rFonts w:eastAsia="Calibri" w:cs="Times New Roman"/>
        </w:rPr>
        <w:t>s majetkovou účasťou</w:t>
      </w:r>
      <w:r w:rsidRPr="008C1489">
        <w:rPr>
          <w:rFonts w:eastAsia="Calibri" w:cs="Times New Roman"/>
        </w:rPr>
        <w:t xml:space="preserve"> štát</w:t>
      </w:r>
      <w:r w:rsidR="003E789E">
        <w:rPr>
          <w:rFonts w:eastAsia="Calibri" w:cs="Times New Roman"/>
        </w:rPr>
        <w:t>u</w:t>
      </w:r>
      <w:r w:rsidRPr="008C1489">
        <w:rPr>
          <w:rFonts w:eastAsia="Calibri" w:cs="Times New Roman"/>
        </w:rPr>
        <w:t xml:space="preserve"> medziročne poklesol najmä vplyvom skupiny SPP, ktorá v roku 2023 nevyplatila žiadne dividendy</w:t>
      </w:r>
      <w:r>
        <w:rPr>
          <w:rStyle w:val="Odkaznapoznmkupodiarou"/>
          <w:rFonts w:eastAsia="Calibri"/>
        </w:rPr>
        <w:footnoteReference w:id="3"/>
      </w:r>
      <w:r w:rsidRPr="008C1489">
        <w:rPr>
          <w:rFonts w:eastAsia="Calibri" w:cs="Times New Roman"/>
        </w:rPr>
        <w:t>.</w:t>
      </w:r>
    </w:p>
    <w:p w14:paraId="11070453" w14:textId="572B8196" w:rsidR="009A2A34" w:rsidRDefault="009A2A34" w:rsidP="009A2A34">
      <w:pPr>
        <w:spacing w:after="120"/>
        <w:jc w:val="both"/>
        <w:rPr>
          <w:rFonts w:eastAsia="Calibri" w:cs="Times New Roman"/>
          <w:bCs/>
        </w:rPr>
      </w:pPr>
      <w:r>
        <w:rPr>
          <w:rFonts w:eastAsia="Calibri" w:cs="Times New Roman"/>
          <w:b/>
        </w:rPr>
        <w:t>Výdavková strana rozpočtu rástla oproti príjmovej výraznejšie, a to najmä mzdové výdavky s rastom na úrovni 16%</w:t>
      </w:r>
      <w:r w:rsidRPr="00B87418">
        <w:rPr>
          <w:rFonts w:eastAsia="Calibri" w:cs="Times New Roman"/>
          <w:b/>
        </w:rPr>
        <w:t xml:space="preserve">. </w:t>
      </w:r>
      <w:r w:rsidRPr="00B87418">
        <w:rPr>
          <w:rFonts w:eastAsia="Calibri" w:cs="Times New Roman"/>
          <w:bCs/>
        </w:rPr>
        <w:t xml:space="preserve">Hlavným faktorom rastu </w:t>
      </w:r>
      <w:r>
        <w:rPr>
          <w:rFonts w:eastAsia="Calibri" w:cs="Times New Roman"/>
          <w:bCs/>
        </w:rPr>
        <w:t>kompenzácii bola</w:t>
      </w:r>
      <w:r w:rsidRPr="00B87418">
        <w:rPr>
          <w:rFonts w:eastAsia="Calibri" w:cs="Times New Roman"/>
          <w:bCs/>
        </w:rPr>
        <w:t xml:space="preserve"> valorizácia miezd, ktorá sa dotkla najmä učiteľov</w:t>
      </w:r>
      <w:r>
        <w:rPr>
          <w:rFonts w:eastAsia="Calibri" w:cs="Times New Roman"/>
          <w:bCs/>
        </w:rPr>
        <w:t>, ale aj</w:t>
      </w:r>
      <w:r w:rsidRPr="00B87418">
        <w:rPr>
          <w:rFonts w:eastAsia="Calibri" w:cs="Times New Roman"/>
          <w:bCs/>
        </w:rPr>
        <w:t xml:space="preserve"> ostatných zamestnancov verejnej správy. Učiteľom sa mzdy zvýšili</w:t>
      </w:r>
      <w:r>
        <w:rPr>
          <w:rFonts w:eastAsia="Calibri" w:cs="Times New Roman"/>
          <w:bCs/>
        </w:rPr>
        <w:t xml:space="preserve"> najskôr</w:t>
      </w:r>
      <w:r w:rsidRPr="00B87418">
        <w:rPr>
          <w:rFonts w:eastAsia="Calibri" w:cs="Times New Roman"/>
          <w:bCs/>
        </w:rPr>
        <w:t xml:space="preserve"> o 10 % v januári a</w:t>
      </w:r>
      <w:r>
        <w:rPr>
          <w:rFonts w:eastAsia="Calibri" w:cs="Times New Roman"/>
          <w:bCs/>
        </w:rPr>
        <w:t xml:space="preserve"> neskôr</w:t>
      </w:r>
      <w:r w:rsidRPr="00B87418">
        <w:rPr>
          <w:rFonts w:eastAsia="Calibri" w:cs="Times New Roman"/>
          <w:bCs/>
        </w:rPr>
        <w:t xml:space="preserve"> o 12 % v septembri. Ostatní zamestnanci verejnej správy zažili dvojitú valorizáciu v nižšej miere – </w:t>
      </w:r>
      <w:r>
        <w:rPr>
          <w:rFonts w:eastAsia="Calibri" w:cs="Times New Roman"/>
          <w:bCs/>
        </w:rPr>
        <w:t xml:space="preserve">nárast miezd </w:t>
      </w:r>
      <w:r w:rsidRPr="00B87418">
        <w:rPr>
          <w:rFonts w:eastAsia="Calibri" w:cs="Times New Roman"/>
          <w:bCs/>
        </w:rPr>
        <w:t>o 7 % v januári a</w:t>
      </w:r>
      <w:r>
        <w:rPr>
          <w:rFonts w:eastAsia="Calibri" w:cs="Times New Roman"/>
          <w:bCs/>
        </w:rPr>
        <w:t> o ďalších</w:t>
      </w:r>
      <w:r w:rsidRPr="00B87418">
        <w:rPr>
          <w:rFonts w:eastAsia="Calibri" w:cs="Times New Roman"/>
          <w:bCs/>
        </w:rPr>
        <w:t xml:space="preserve"> 10 % v septembri.</w:t>
      </w:r>
      <w:r>
        <w:rPr>
          <w:rFonts w:eastAsia="Calibri" w:cs="Times New Roman"/>
          <w:bCs/>
        </w:rPr>
        <w:t xml:space="preserve"> K rastu mzdového balíka mierne prispel aj nárast počtu zamestnancov vo verejnej správe</w:t>
      </w:r>
      <w:r>
        <w:rPr>
          <w:rStyle w:val="Odkaznapoznmkupodiarou"/>
          <w:rFonts w:eastAsia="Calibri"/>
          <w:bCs/>
        </w:rPr>
        <w:footnoteReference w:id="4"/>
      </w:r>
      <w:r>
        <w:rPr>
          <w:rFonts w:eastAsia="Calibri" w:cs="Times New Roman"/>
          <w:bCs/>
        </w:rPr>
        <w:t>.</w:t>
      </w:r>
    </w:p>
    <w:p w14:paraId="553D90CF" w14:textId="0CBE3C9B" w:rsidR="009A2A34" w:rsidRDefault="009A2A34" w:rsidP="009A2A34">
      <w:pPr>
        <w:spacing w:after="120"/>
        <w:jc w:val="both"/>
        <w:rPr>
          <w:rFonts w:eastAsia="Calibri" w:cs="Times New Roman"/>
          <w:b/>
        </w:rPr>
      </w:pPr>
      <w:r>
        <w:rPr>
          <w:rFonts w:eastAsia="Calibri" w:cs="Times New Roman"/>
          <w:b/>
        </w:rPr>
        <w:t xml:space="preserve">Naopak, </w:t>
      </w:r>
      <w:r w:rsidRPr="00E007D2">
        <w:rPr>
          <w:rFonts w:eastAsia="Calibri" w:cs="Times New Roman"/>
          <w:b/>
        </w:rPr>
        <w:t xml:space="preserve">náklady na tovary a služby </w:t>
      </w:r>
      <w:r>
        <w:rPr>
          <w:rFonts w:eastAsia="Calibri" w:cs="Times New Roman"/>
          <w:b/>
        </w:rPr>
        <w:t xml:space="preserve">rástli pod úrovňou inflácie. </w:t>
      </w:r>
      <w:r>
        <w:rPr>
          <w:rFonts w:eastAsia="Calibri" w:cs="Times New Roman"/>
          <w:bCs/>
        </w:rPr>
        <w:t>Vysoký nárast zaznamenali náklady na</w:t>
      </w:r>
      <w:r w:rsidRPr="00A6361D">
        <w:rPr>
          <w:rFonts w:eastAsia="Calibri" w:cs="Times New Roman"/>
          <w:bCs/>
        </w:rPr>
        <w:t xml:space="preserve"> energie, ktorých </w:t>
      </w:r>
      <w:r>
        <w:rPr>
          <w:rFonts w:eastAsia="Calibri" w:cs="Times New Roman"/>
          <w:bCs/>
        </w:rPr>
        <w:t>cena</w:t>
      </w:r>
      <w:r w:rsidRPr="00A6361D">
        <w:rPr>
          <w:rFonts w:eastAsia="Calibri" w:cs="Times New Roman"/>
          <w:bCs/>
        </w:rPr>
        <w:t xml:space="preserve"> medziročne narástla o desiatky percent</w:t>
      </w:r>
      <w:r>
        <w:rPr>
          <w:rStyle w:val="Odkaznapoznmkupodiarou"/>
          <w:rFonts w:eastAsia="Calibri"/>
          <w:bCs/>
        </w:rPr>
        <w:footnoteReference w:id="5"/>
      </w:r>
      <w:r w:rsidRPr="00A6361D">
        <w:rPr>
          <w:rFonts w:eastAsia="Calibri" w:cs="Times New Roman"/>
          <w:bCs/>
        </w:rPr>
        <w:t xml:space="preserve">. </w:t>
      </w:r>
      <w:r>
        <w:rPr>
          <w:rFonts w:eastAsia="Calibri" w:cs="Times New Roman"/>
          <w:bCs/>
        </w:rPr>
        <w:t>Tento nárast však čiastočne kompenzoval výrazný pokles výdavkov na COVID-19 (v minulom roku len 0,1 % HDP). Rast medzispotreby tlmili aj nižšie nákupy spotrebného tovaru a zníženie nákladov na dopravu</w:t>
      </w:r>
      <w:r w:rsidR="00BD6E6C">
        <w:rPr>
          <w:rStyle w:val="Odkaznapoznmkupodiarou"/>
          <w:rFonts w:eastAsia="Calibri"/>
          <w:bCs/>
        </w:rPr>
        <w:footnoteReference w:id="6"/>
      </w:r>
      <w:r>
        <w:rPr>
          <w:rFonts w:eastAsia="Calibri" w:cs="Times New Roman"/>
          <w:bCs/>
        </w:rPr>
        <w:t>.</w:t>
      </w:r>
    </w:p>
    <w:bookmarkEnd w:id="123"/>
    <w:p w14:paraId="35E938EE" w14:textId="58700D65" w:rsidR="009A2A34" w:rsidRDefault="009A2A34" w:rsidP="009A2A34">
      <w:pPr>
        <w:spacing w:after="120"/>
        <w:jc w:val="both"/>
        <w:rPr>
          <w:rFonts w:cs="ArialNarrow"/>
          <w:color w:val="000000"/>
          <w:highlight w:val="yellow"/>
        </w:rPr>
      </w:pPr>
      <w:r>
        <w:rPr>
          <w:rFonts w:eastAsia="Calibri" w:cs="Times New Roman"/>
          <w:b/>
        </w:rPr>
        <w:t>Subvencie vzrástli medziročne takmer 2,5-násobne</w:t>
      </w:r>
      <w:r w:rsidRPr="00E007D2">
        <w:rPr>
          <w:rFonts w:eastAsia="Calibri" w:cs="Times New Roman"/>
          <w:b/>
        </w:rPr>
        <w:t>.</w:t>
      </w:r>
      <w:r>
        <w:rPr>
          <w:rFonts w:eastAsia="Calibri" w:cs="Times New Roman"/>
          <w:bCs/>
        </w:rPr>
        <w:t xml:space="preserve"> Vysoký rast bol spôsobený predovšetkým</w:t>
      </w:r>
      <w:r w:rsidRPr="006B22CE">
        <w:rPr>
          <w:rFonts w:eastAsia="Calibri" w:cs="Times New Roman"/>
          <w:bCs/>
        </w:rPr>
        <w:t xml:space="preserve"> energetick</w:t>
      </w:r>
      <w:r>
        <w:rPr>
          <w:rFonts w:eastAsia="Calibri" w:cs="Times New Roman"/>
          <w:bCs/>
        </w:rPr>
        <w:t>ou</w:t>
      </w:r>
      <w:r w:rsidRPr="006B22CE">
        <w:rPr>
          <w:rFonts w:eastAsia="Calibri" w:cs="Times New Roman"/>
          <w:bCs/>
        </w:rPr>
        <w:t xml:space="preserve"> pomoc</w:t>
      </w:r>
      <w:r>
        <w:rPr>
          <w:rFonts w:eastAsia="Calibri" w:cs="Times New Roman"/>
          <w:bCs/>
        </w:rPr>
        <w:t>ou</w:t>
      </w:r>
      <w:r w:rsidRPr="006B22CE">
        <w:rPr>
          <w:rFonts w:eastAsia="Calibri" w:cs="Times New Roman"/>
          <w:bCs/>
        </w:rPr>
        <w:t xml:space="preserve"> pre firmy  a</w:t>
      </w:r>
      <w:r>
        <w:rPr>
          <w:rFonts w:eastAsia="Calibri" w:cs="Times New Roman"/>
          <w:bCs/>
        </w:rPr>
        <w:t> </w:t>
      </w:r>
      <w:r w:rsidRPr="006B22CE">
        <w:rPr>
          <w:rFonts w:eastAsia="Calibri" w:cs="Times New Roman"/>
          <w:bCs/>
        </w:rPr>
        <w:t>domácnosti</w:t>
      </w:r>
      <w:r>
        <w:rPr>
          <w:rFonts w:eastAsia="Calibri" w:cs="Times New Roman"/>
          <w:bCs/>
        </w:rPr>
        <w:t>, táto pomoc sa</w:t>
      </w:r>
      <w:r w:rsidRPr="006B22CE">
        <w:rPr>
          <w:rFonts w:eastAsia="Calibri" w:cs="Times New Roman"/>
          <w:bCs/>
        </w:rPr>
        <w:t xml:space="preserve"> vyšplh</w:t>
      </w:r>
      <w:r>
        <w:rPr>
          <w:rFonts w:eastAsia="Calibri" w:cs="Times New Roman"/>
          <w:bCs/>
        </w:rPr>
        <w:t>ala</w:t>
      </w:r>
      <w:r w:rsidRPr="006B22CE">
        <w:rPr>
          <w:rFonts w:eastAsia="Calibri" w:cs="Times New Roman"/>
          <w:bCs/>
        </w:rPr>
        <w:t xml:space="preserve"> až na 2,</w:t>
      </w:r>
      <w:r>
        <w:rPr>
          <w:rFonts w:eastAsia="Calibri" w:cs="Times New Roman"/>
          <w:bCs/>
        </w:rPr>
        <w:t>5</w:t>
      </w:r>
      <w:r w:rsidRPr="006B22CE">
        <w:rPr>
          <w:rFonts w:eastAsia="Calibri" w:cs="Times New Roman"/>
          <w:bCs/>
        </w:rPr>
        <w:t xml:space="preserve"> % HDP</w:t>
      </w:r>
      <w:r>
        <w:rPr>
          <w:rFonts w:eastAsia="Calibri" w:cs="Times New Roman"/>
          <w:bCs/>
        </w:rPr>
        <w:t xml:space="preserve">. </w:t>
      </w:r>
      <w:r w:rsidRPr="009A25FC">
        <w:rPr>
          <w:rFonts w:cs="ArialNarrow"/>
          <w:color w:val="000000"/>
        </w:rPr>
        <w:t xml:space="preserve">V porovnaní </w:t>
      </w:r>
      <w:r>
        <w:rPr>
          <w:rFonts w:cs="ArialNarrow"/>
          <w:color w:val="000000"/>
        </w:rPr>
        <w:t>s</w:t>
      </w:r>
      <w:r w:rsidRPr="009A25FC">
        <w:rPr>
          <w:rFonts w:cs="ArialNarrow"/>
          <w:color w:val="000000"/>
        </w:rPr>
        <w:t xml:space="preserve"> inflačnou pomocou v</w:t>
      </w:r>
      <w:r>
        <w:rPr>
          <w:rFonts w:cs="ArialNarrow"/>
          <w:color w:val="000000"/>
        </w:rPr>
        <w:t xml:space="preserve"> roku 2022 v </w:t>
      </w:r>
      <w:r w:rsidRPr="009A25FC">
        <w:rPr>
          <w:rFonts w:cs="ArialNarrow"/>
          <w:color w:val="000000"/>
        </w:rPr>
        <w:t>objeme 0,4 % HDP</w:t>
      </w:r>
      <w:r w:rsidR="001A5166">
        <w:rPr>
          <w:rFonts w:cs="ArialNarrow"/>
          <w:color w:val="000000"/>
        </w:rPr>
        <w:t xml:space="preserve"> to</w:t>
      </w:r>
      <w:r w:rsidRPr="009A25FC">
        <w:rPr>
          <w:rFonts w:cs="ArialNarrow"/>
          <w:color w:val="000000"/>
        </w:rPr>
        <w:t xml:space="preserve"> </w:t>
      </w:r>
      <w:r>
        <w:rPr>
          <w:rFonts w:cs="ArialNarrow"/>
          <w:color w:val="000000"/>
        </w:rPr>
        <w:t>znamenalo</w:t>
      </w:r>
      <w:r w:rsidRPr="009A25FC">
        <w:rPr>
          <w:rFonts w:cs="ArialNarrow"/>
          <w:color w:val="000000"/>
        </w:rPr>
        <w:t xml:space="preserve"> viac ako päťnásobné navýšenie (viď </w:t>
      </w:r>
      <w:r w:rsidRPr="009A25FC">
        <w:rPr>
          <w:rFonts w:cs="ArialNarrow,Bold"/>
          <w:b/>
          <w:bCs/>
          <w:color w:val="2C9BDD"/>
        </w:rPr>
        <w:t xml:space="preserve">BOX </w:t>
      </w:r>
      <w:r w:rsidR="00084939">
        <w:rPr>
          <w:rFonts w:cs="ArialNarrow,Bold"/>
          <w:b/>
          <w:bCs/>
          <w:color w:val="2C9BDD"/>
        </w:rPr>
        <w:t>3</w:t>
      </w:r>
      <w:r w:rsidR="00084939">
        <w:rPr>
          <w:rFonts w:cs="ArialNarrow"/>
          <w:color w:val="000000"/>
        </w:rPr>
        <w:t>)</w:t>
      </w:r>
      <w:r w:rsidRPr="009A25FC">
        <w:rPr>
          <w:rFonts w:cs="ArialNarrow"/>
          <w:color w:val="000000"/>
        </w:rPr>
        <w:t>.</w:t>
      </w:r>
    </w:p>
    <w:tbl>
      <w:tblPr>
        <w:tblW w:w="9107" w:type="dxa"/>
        <w:jc w:val="center"/>
        <w:shd w:val="clear" w:color="auto" w:fill="AAD3F2"/>
        <w:tblLayout w:type="fixed"/>
        <w:tblCellMar>
          <w:left w:w="70" w:type="dxa"/>
          <w:right w:w="70" w:type="dxa"/>
        </w:tblCellMar>
        <w:tblLook w:val="01E0" w:firstRow="1" w:lastRow="1" w:firstColumn="1" w:lastColumn="1" w:noHBand="0" w:noVBand="0"/>
      </w:tblPr>
      <w:tblGrid>
        <w:gridCol w:w="9107"/>
      </w:tblGrid>
      <w:tr w:rsidR="009A2A34" w:rsidRPr="00B23F05" w14:paraId="61E81056" w14:textId="77777777" w:rsidTr="00CC1F9E">
        <w:trPr>
          <w:trHeight w:val="851"/>
          <w:jc w:val="center"/>
        </w:trPr>
        <w:tc>
          <w:tcPr>
            <w:tcW w:w="9107" w:type="dxa"/>
            <w:shd w:val="clear" w:color="auto" w:fill="AAD3F2"/>
          </w:tcPr>
          <w:p w14:paraId="4F39D33C" w14:textId="3D8B2B38" w:rsidR="009A2A34" w:rsidRDefault="009A2A34" w:rsidP="00706693">
            <w:pPr>
              <w:autoSpaceDE w:val="0"/>
              <w:autoSpaceDN w:val="0"/>
              <w:adjustRightInd w:val="0"/>
              <w:spacing w:before="120" w:after="120"/>
              <w:jc w:val="both"/>
              <w:rPr>
                <w:rFonts w:cs="ArialNarrow,Bold"/>
                <w:b/>
                <w:bCs/>
                <w:color w:val="2C9BDD"/>
              </w:rPr>
            </w:pPr>
            <w:bookmarkStart w:id="124" w:name="_Toc147835708"/>
            <w:bookmarkStart w:id="125" w:name="_Toc164684547"/>
            <w:r w:rsidRPr="008D6A85">
              <w:rPr>
                <w:rFonts w:eastAsiaTheme="majorEastAsia" w:cstheme="majorBidi"/>
                <w:b/>
                <w:bCs/>
                <w:noProof/>
                <w:color w:val="2C9ADC"/>
                <w:szCs w:val="20"/>
                <w:lang w:eastAsia="en-US"/>
              </w:rPr>
              <w:t xml:space="preserve">BOX </w:t>
            </w:r>
            <w:r w:rsidRPr="008D6A85">
              <w:rPr>
                <w:rFonts w:eastAsiaTheme="majorEastAsia" w:cstheme="majorBidi"/>
                <w:b/>
                <w:bCs/>
                <w:noProof/>
                <w:color w:val="2C9ADC"/>
                <w:szCs w:val="20"/>
                <w:lang w:eastAsia="en-US"/>
              </w:rPr>
              <w:fldChar w:fldCharType="begin"/>
            </w:r>
            <w:r w:rsidRPr="008D6A85">
              <w:rPr>
                <w:rFonts w:eastAsiaTheme="majorEastAsia" w:cstheme="majorBidi"/>
                <w:b/>
                <w:bCs/>
                <w:noProof/>
                <w:color w:val="2C9ADC"/>
                <w:szCs w:val="20"/>
                <w:lang w:eastAsia="en-US"/>
              </w:rPr>
              <w:instrText xml:space="preserve"> SEQ BOX \* ARABIC </w:instrText>
            </w:r>
            <w:r w:rsidRPr="008D6A85">
              <w:rPr>
                <w:rFonts w:eastAsiaTheme="majorEastAsia" w:cstheme="majorBidi"/>
                <w:b/>
                <w:bCs/>
                <w:noProof/>
                <w:color w:val="2C9ADC"/>
                <w:szCs w:val="20"/>
                <w:lang w:eastAsia="en-US"/>
              </w:rPr>
              <w:fldChar w:fldCharType="separate"/>
            </w:r>
            <w:r w:rsidR="007435E9">
              <w:rPr>
                <w:rFonts w:eastAsiaTheme="majorEastAsia" w:cstheme="majorBidi"/>
                <w:b/>
                <w:bCs/>
                <w:noProof/>
                <w:color w:val="2C9ADC"/>
                <w:szCs w:val="20"/>
                <w:lang w:eastAsia="en-US"/>
              </w:rPr>
              <w:t>3</w:t>
            </w:r>
            <w:r w:rsidRPr="008D6A85">
              <w:rPr>
                <w:rFonts w:eastAsiaTheme="majorEastAsia" w:cstheme="majorBidi"/>
                <w:b/>
                <w:bCs/>
                <w:noProof/>
                <w:color w:val="2C9ADC"/>
                <w:szCs w:val="20"/>
                <w:lang w:eastAsia="en-US"/>
              </w:rPr>
              <w:fldChar w:fldCharType="end"/>
            </w:r>
            <w:r w:rsidRPr="00632F61">
              <w:rPr>
                <w:rFonts w:cs="ArialNarrow,Bold"/>
                <w:b/>
                <w:bCs/>
                <w:color w:val="2C9BDD"/>
              </w:rPr>
              <w:t xml:space="preserve"> –</w:t>
            </w:r>
            <w:r w:rsidRPr="00B23F05">
              <w:rPr>
                <w:b/>
                <w:color w:val="2C9ADC" w:themeColor="accent1"/>
              </w:rPr>
              <w:t xml:space="preserve"> </w:t>
            </w:r>
            <w:r w:rsidRPr="00B23F05">
              <w:rPr>
                <w:rFonts w:cs="ArialNarrow,Bold"/>
                <w:b/>
                <w:bCs/>
                <w:color w:val="2C9BDD"/>
              </w:rPr>
              <w:t>Opatrenia vlády zamerané na zníženie dopadu cien energií</w:t>
            </w:r>
            <w:bookmarkEnd w:id="124"/>
            <w:bookmarkEnd w:id="125"/>
            <w:r w:rsidRPr="00B23F05">
              <w:rPr>
                <w:rFonts w:cs="ArialNarrow,Bold"/>
                <w:b/>
                <w:bCs/>
                <w:color w:val="2C9BDD"/>
              </w:rPr>
              <w:t xml:space="preserve"> </w:t>
            </w:r>
          </w:p>
          <w:p w14:paraId="01125191" w14:textId="62228660" w:rsidR="009A2A34" w:rsidRPr="00B056DC" w:rsidRDefault="009A2A34" w:rsidP="00CC1F9E">
            <w:pPr>
              <w:autoSpaceDE w:val="0"/>
              <w:autoSpaceDN w:val="0"/>
              <w:adjustRightInd w:val="0"/>
              <w:jc w:val="both"/>
              <w:rPr>
                <w:rFonts w:cs="ArialNarrow,Bold"/>
                <w:b/>
                <w:bCs/>
              </w:rPr>
            </w:pPr>
            <w:r w:rsidRPr="00B056DC">
              <w:rPr>
                <w:rFonts w:cs="ArialNarrow,Bold"/>
                <w:b/>
                <w:bCs/>
              </w:rPr>
              <w:t>Kompenzácie nákladov rastúcich cien energií domácnostiam dosiahli</w:t>
            </w:r>
            <w:r>
              <w:rPr>
                <w:rFonts w:cs="ArialNarrow,Bold"/>
                <w:b/>
                <w:bCs/>
              </w:rPr>
              <w:t xml:space="preserve"> </w:t>
            </w:r>
            <w:r w:rsidRPr="00B056DC">
              <w:rPr>
                <w:rFonts w:cs="ArialNarrow,Bold"/>
                <w:b/>
                <w:bCs/>
              </w:rPr>
              <w:t xml:space="preserve">v minulom roku 1,6 % HDP. </w:t>
            </w:r>
            <w:r w:rsidRPr="00B056DC">
              <w:rPr>
                <w:rFonts w:cs="ArialNarrow"/>
              </w:rPr>
              <w:t>Vláda na rok 2023 zastropovala medziročný rast cien plynu pre domácnosti na úrovni 15 %, rast cien tepla v priemere o 20 %. Rozdiel medzi maximálnym rastom a regulovanou cenou, ktorá je stanovená Úradom pre reguláciou</w:t>
            </w:r>
            <w:r w:rsidRPr="00B056DC">
              <w:rPr>
                <w:rFonts w:cs="ArialNarrow,Bold"/>
                <w:b/>
                <w:bCs/>
              </w:rPr>
              <w:t xml:space="preserve"> </w:t>
            </w:r>
            <w:r w:rsidRPr="00B056DC">
              <w:rPr>
                <w:rFonts w:cs="ArialNarrow"/>
              </w:rPr>
              <w:t>sieťových odvetví (ÚRSO) bol hraden</w:t>
            </w:r>
            <w:r w:rsidR="001A5166">
              <w:rPr>
                <w:rFonts w:cs="ArialNarrow"/>
              </w:rPr>
              <w:t>ý</w:t>
            </w:r>
            <w:r w:rsidRPr="00B056DC">
              <w:rPr>
                <w:rFonts w:cs="ArialNarrow"/>
              </w:rPr>
              <w:t xml:space="preserve"> zo štátneho rozpočtu. V prípade kompenzácie ceny plynu boli náklady na úrovni 1,0 % HDP, resp. 0,3 % v prípade tepla. Ceny plynu a tepla pre domácnosti v roku 2024 ostávajú na úrovni predchádzajúceho roka. Vláda vďaka dohode so Slovenskými elektrárňami nemusí</w:t>
            </w:r>
            <w:r w:rsidRPr="00B056DC">
              <w:rPr>
                <w:rFonts w:cs="ArialNarrow,Bold"/>
                <w:b/>
                <w:bCs/>
              </w:rPr>
              <w:t xml:space="preserve"> </w:t>
            </w:r>
            <w:r w:rsidRPr="00B056DC">
              <w:rPr>
                <w:rFonts w:cs="ArialNarrow"/>
              </w:rPr>
              <w:t>kompenzovať silovú zložku elektrickej energie, ktorá zostáva v rokoch 2023 ako aj 2024 na úrovni roka 2022. Náklady pre verejné financie vznikajú kompenzáciou rastúcich systémových a distribučných poplatkov (0,2 % HDP), keďže vláda</w:t>
            </w:r>
            <w:r w:rsidRPr="00B056DC">
              <w:rPr>
                <w:rFonts w:cs="ArialNarrow,Bold"/>
                <w:b/>
                <w:bCs/>
              </w:rPr>
              <w:t xml:space="preserve"> </w:t>
            </w:r>
            <w:r w:rsidRPr="00B056DC">
              <w:rPr>
                <w:rFonts w:cs="ArialNarrow"/>
              </w:rPr>
              <w:t>garantuje zachovanie celkovej ceny elektriny na úrovni roku 2022. Navyše zmenou legislatívy v roku 2022</w:t>
            </w:r>
            <w:r w:rsidRPr="00B056DC">
              <w:rPr>
                <w:rFonts w:cs="ArialNarrow,Bold"/>
                <w:b/>
                <w:bCs/>
              </w:rPr>
              <w:t xml:space="preserve"> </w:t>
            </w:r>
            <w:r w:rsidRPr="00B056DC">
              <w:rPr>
                <w:rFonts w:cs="ArialNarrow"/>
              </w:rPr>
              <w:t xml:space="preserve">vznikla nová </w:t>
            </w:r>
            <w:r w:rsidRPr="00B056DC">
              <w:rPr>
                <w:rFonts w:cs="ArialNarrow"/>
              </w:rPr>
              <w:lastRenderedPageBreak/>
              <w:t>kategória regulovaných zákazníkov, tzv. „vybraní zraniteľní odberatelia“, ktorá zahŕňa domové</w:t>
            </w:r>
            <w:r w:rsidRPr="00B056DC">
              <w:rPr>
                <w:rFonts w:cs="ArialNarrow,Bold"/>
                <w:b/>
                <w:bCs/>
              </w:rPr>
              <w:t xml:space="preserve"> </w:t>
            </w:r>
            <w:r w:rsidRPr="00B056DC">
              <w:rPr>
                <w:rFonts w:cs="ArialNarrow"/>
              </w:rPr>
              <w:t>kotolne, zariadenia sociálnych služieb, nájomné a sociálne byty. Kompenzácie pre túto skupinu odberateľov za</w:t>
            </w:r>
            <w:r w:rsidRPr="00B056DC">
              <w:rPr>
                <w:rFonts w:cs="ArialNarrow,Bold"/>
                <w:b/>
                <w:bCs/>
              </w:rPr>
              <w:t xml:space="preserve"> </w:t>
            </w:r>
            <w:r w:rsidRPr="00B056DC">
              <w:rPr>
                <w:rFonts w:cs="ArialNarrow"/>
              </w:rPr>
              <w:t xml:space="preserve">všetky energie sú do 0,1 % HDP. </w:t>
            </w:r>
          </w:p>
          <w:p w14:paraId="36CFC892" w14:textId="77777777" w:rsidR="009A2A34" w:rsidRPr="00B23F05" w:rsidRDefault="009A2A34" w:rsidP="00CC1F9E">
            <w:pPr>
              <w:autoSpaceDE w:val="0"/>
              <w:autoSpaceDN w:val="0"/>
              <w:adjustRightInd w:val="0"/>
              <w:jc w:val="both"/>
              <w:rPr>
                <w:rFonts w:cs="ArialNarrow"/>
                <w:highlight w:val="yellow"/>
              </w:rPr>
            </w:pPr>
          </w:p>
          <w:p w14:paraId="5C4E58EA" w14:textId="71F1D78D" w:rsidR="009A2A34" w:rsidRPr="00800135" w:rsidRDefault="009A2A34" w:rsidP="00CC1F9E">
            <w:pPr>
              <w:autoSpaceDE w:val="0"/>
              <w:autoSpaceDN w:val="0"/>
              <w:adjustRightInd w:val="0"/>
              <w:jc w:val="both"/>
              <w:rPr>
                <w:rFonts w:cs="ArialNarrow"/>
              </w:rPr>
            </w:pPr>
            <w:r w:rsidRPr="00800135">
              <w:rPr>
                <w:rFonts w:cs="ArialNarrow,Bold"/>
                <w:b/>
                <w:bCs/>
              </w:rPr>
              <w:t xml:space="preserve">Schémy na podporu firiem kompenzujúce vysoké ceny energií dosiahli v minulom roku 1,0 % HDP. </w:t>
            </w:r>
            <w:r w:rsidRPr="00800135">
              <w:rPr>
                <w:rFonts w:cs="ArialNarrow"/>
              </w:rPr>
              <w:t>Vláda podnikom kompenzovala po celý minulý rok 80 % nákladov</w:t>
            </w:r>
            <w:r w:rsidRPr="00800135">
              <w:rPr>
                <w:rFonts w:cs="ArialNarrow,Bold"/>
                <w:b/>
                <w:bCs/>
              </w:rPr>
              <w:t xml:space="preserve"> </w:t>
            </w:r>
            <w:r w:rsidRPr="00800135">
              <w:rPr>
                <w:rFonts w:cs="ArialNarrow"/>
              </w:rPr>
              <w:t>z ceny energií nad stanovený strop. V prípade silovej zložky elektriny bol strop stanovený na 199 eur bez DPH za MWh, strop na dodávku plynu sa stanovil na 99 eur bez DPH za MWh. Náklady schémy predstavujú 0,2 % HDP. Malé podniky s ročnou spotrebou 30 MWh elektriny a 100 MWh plynu ročne, spadajúc</w:t>
            </w:r>
            <w:r w:rsidR="003412D8">
              <w:rPr>
                <w:rFonts w:cs="ArialNarrow"/>
              </w:rPr>
              <w:t>e</w:t>
            </w:r>
            <w:r w:rsidRPr="00800135">
              <w:rPr>
                <w:rFonts w:cs="ArialNarrow"/>
              </w:rPr>
              <w:t xml:space="preserve"> pod regulované ceny</w:t>
            </w:r>
            <w:r w:rsidR="003412D8">
              <w:rPr>
                <w:rFonts w:cs="ArialNarrow"/>
              </w:rPr>
              <w:t>,</w:t>
            </w:r>
            <w:r w:rsidRPr="00800135">
              <w:rPr>
                <w:rFonts w:cs="ArialNarrow"/>
              </w:rPr>
              <w:t xml:space="preserve"> mali ešte výhodnejšie</w:t>
            </w:r>
            <w:r>
              <w:rPr>
                <w:rFonts w:cs="ArialNarrow"/>
              </w:rPr>
              <w:t xml:space="preserve"> podmienky</w:t>
            </w:r>
            <w:r w:rsidRPr="00800135">
              <w:rPr>
                <w:rFonts w:cs="ArialNarrow"/>
              </w:rPr>
              <w:t>. Vláda kompenz</w:t>
            </w:r>
            <w:r>
              <w:rPr>
                <w:rFonts w:cs="ArialNarrow"/>
              </w:rPr>
              <w:t>ovala</w:t>
            </w:r>
            <w:r w:rsidRPr="00800135">
              <w:rPr>
                <w:rFonts w:cs="ArialNarrow"/>
              </w:rPr>
              <w:t xml:space="preserve"> 100 % nákladov z ceny energií nad stanovený strop</w:t>
            </w:r>
            <w:r>
              <w:rPr>
                <w:rFonts w:cs="ArialNarrow"/>
              </w:rPr>
              <w:t xml:space="preserve"> </w:t>
            </w:r>
            <w:r w:rsidRPr="00800135">
              <w:rPr>
                <w:rFonts w:cs="ArialNarrow"/>
              </w:rPr>
              <w:t>(0,2 % HDP). Strop je totožný ako v prípade neregulovaných firiem na 199 eur za MWh v prípade elektriny, resp. 99 eur za MWh v prípade plynu.</w:t>
            </w:r>
            <w:r>
              <w:rPr>
                <w:rFonts w:cs="ArialNarrow"/>
              </w:rPr>
              <w:t xml:space="preserve"> Schémy sa predĺžili aj na rok 2024, no vzhľadom na pozitívny vývoj cien energií sa v tomto roku očakávajú výrazne nižšie rozpočtové náklady.</w:t>
            </w:r>
            <w:r w:rsidRPr="00800135">
              <w:rPr>
                <w:rFonts w:cs="ArialNarrow"/>
              </w:rPr>
              <w:t xml:space="preserve"> V priebehu minulého roka vláda schválila, rovnako ako pri domácnostiach, kompenzáciu rastúcich systémových a distribučných poplatkov pri elektrine (0,</w:t>
            </w:r>
            <w:r>
              <w:rPr>
                <w:rFonts w:cs="ArialNarrow"/>
              </w:rPr>
              <w:t>6</w:t>
            </w:r>
            <w:r w:rsidRPr="00800135">
              <w:rPr>
                <w:rFonts w:cs="ArialNarrow"/>
              </w:rPr>
              <w:t xml:space="preserve"> % HDP)</w:t>
            </w:r>
            <w:r>
              <w:rPr>
                <w:rFonts w:cs="ArialNarrow"/>
              </w:rPr>
              <w:t>, ktorá je platná aj v aktuálnom roku</w:t>
            </w:r>
            <w:r w:rsidRPr="00800135">
              <w:rPr>
                <w:rFonts w:cs="ArialNarrow"/>
              </w:rPr>
              <w:t>.</w:t>
            </w:r>
          </w:p>
          <w:p w14:paraId="44B5E013" w14:textId="77777777" w:rsidR="009A2A34" w:rsidRPr="00B23F05" w:rsidRDefault="009A2A34" w:rsidP="00CC1F9E">
            <w:pPr>
              <w:autoSpaceDE w:val="0"/>
              <w:autoSpaceDN w:val="0"/>
              <w:adjustRightInd w:val="0"/>
              <w:rPr>
                <w:rFonts w:cs="ArialNarrow"/>
                <w:highlight w:val="yellow"/>
              </w:rPr>
            </w:pPr>
          </w:p>
          <w:p w14:paraId="1062154B" w14:textId="1FFF559C" w:rsidR="009A2A34" w:rsidRPr="009C19FB" w:rsidRDefault="009A2A34" w:rsidP="00CC1F9E">
            <w:pPr>
              <w:autoSpaceDE w:val="0"/>
              <w:autoSpaceDN w:val="0"/>
              <w:adjustRightInd w:val="0"/>
              <w:jc w:val="both"/>
              <w:rPr>
                <w:rFonts w:cs="ArialNarrow"/>
              </w:rPr>
            </w:pPr>
            <w:r w:rsidRPr="009C19FB">
              <w:rPr>
                <w:rFonts w:cs="ArialNarrow,Bold"/>
                <w:b/>
                <w:bCs/>
              </w:rPr>
              <w:t>Náklady na energetické opatrenia boli v minulom roku sčasti kompenzované dočasnými príjmami zo zdanenia nadmerných ziskov a</w:t>
            </w:r>
            <w:r w:rsidR="000A22C5">
              <w:rPr>
                <w:rFonts w:cs="ArialNarrow,Bold"/>
                <w:b/>
                <w:bCs/>
              </w:rPr>
              <w:t> </w:t>
            </w:r>
            <w:r w:rsidRPr="009C19FB">
              <w:rPr>
                <w:rFonts w:cs="ArialNarrow,Bold"/>
                <w:b/>
                <w:bCs/>
              </w:rPr>
              <w:t>fondov</w:t>
            </w:r>
            <w:r w:rsidR="000A22C5">
              <w:rPr>
                <w:rFonts w:cs="ArialNarrow,Bold"/>
                <w:b/>
                <w:bCs/>
              </w:rPr>
              <w:t xml:space="preserve"> EÚ</w:t>
            </w:r>
            <w:r w:rsidRPr="009C19FB">
              <w:rPr>
                <w:rFonts w:cs="ArialNarrow,Bold"/>
                <w:b/>
                <w:bCs/>
              </w:rPr>
              <w:t xml:space="preserve"> (1,2 % HDP)</w:t>
            </w:r>
            <w:r w:rsidRPr="009C19FB">
              <w:rPr>
                <w:rFonts w:cs="ArialNarrow"/>
              </w:rPr>
              <w:t>. Európska únia v reakcii na vysoké ceny energii prijala nariadenie, ktoré sa týka solidárneho príspevku z nadmerného zisku spoločností plynúce z energetickej krízy</w:t>
            </w:r>
            <w:r w:rsidRPr="009C19FB">
              <w:rPr>
                <w:rStyle w:val="Odkaznapoznmkupodiarou"/>
              </w:rPr>
              <w:footnoteReference w:id="7"/>
            </w:r>
            <w:r w:rsidRPr="009C19FB">
              <w:rPr>
                <w:rFonts w:cs="ArialNarrow"/>
              </w:rPr>
              <w:t xml:space="preserve">. Na Slovensku sa tento príspevok stanovil na úrovni 55 % z nadziskov vytvorených v roku 2022, resp. 70 % pre rok 2023 a 2024. Príjem v minulom roku bol na úrovni 0,3 % HDP. Na národnej úrovni v súlade s EÚ nariadením tiež došlo k zastropovaniu príjmov z výroby elektrickej energie. Zisky firiem, ktoré predajú elektrickú energiu nad stanovenú cenu, </w:t>
            </w:r>
            <w:r w:rsidR="00F62AAD">
              <w:rPr>
                <w:rFonts w:cs="ArialNarrow"/>
              </w:rPr>
              <w:t>sú</w:t>
            </w:r>
            <w:r w:rsidRPr="009C19FB">
              <w:rPr>
                <w:rFonts w:cs="ArialNarrow"/>
              </w:rPr>
              <w:t xml:space="preserve"> zdanené 90 % sadzbou (do 0,1 % HDP). Nad rámec EÚ nariadenia sa ustanovil odvod pre štátny podnik Vodohospodárska výstavba (0,1 % HDP). Toto opatrenie je tiež zamerané na zdanenie nadmerného zisku z predaja elektriny. Ďalšie zdroje na krytie výdavkov spojených s rastom cien energií predstavuje realokácia nečerpaných fondov</w:t>
            </w:r>
            <w:r w:rsidR="000A22C5">
              <w:rPr>
                <w:rFonts w:cs="ArialNarrow"/>
              </w:rPr>
              <w:t xml:space="preserve"> EÚ</w:t>
            </w:r>
            <w:r w:rsidRPr="009C19FB">
              <w:rPr>
                <w:rFonts w:cs="ArialNarrow"/>
              </w:rPr>
              <w:t xml:space="preserve"> z III. programového obdobia, odhadovaná na úrovni 0,8 % HDP.</w:t>
            </w:r>
          </w:p>
          <w:p w14:paraId="1DD7904D" w14:textId="77777777" w:rsidR="009A2A34" w:rsidRPr="00B23F05" w:rsidRDefault="009A2A34" w:rsidP="00CC1F9E">
            <w:pPr>
              <w:autoSpaceDE w:val="0"/>
              <w:autoSpaceDN w:val="0"/>
              <w:adjustRightInd w:val="0"/>
              <w:jc w:val="both"/>
              <w:rPr>
                <w:rFonts w:cs="ArialNarrow"/>
                <w:highlight w:val="yellow"/>
              </w:rPr>
            </w:pPr>
          </w:p>
          <w:p w14:paraId="71C79A55" w14:textId="101D1C22" w:rsidR="009A2A34" w:rsidRPr="00664E8C" w:rsidRDefault="009A2A34" w:rsidP="00664E8C">
            <w:pPr>
              <w:pStyle w:val="Obyajntext"/>
              <w:spacing w:before="120" w:line="276" w:lineRule="auto"/>
              <w:jc w:val="both"/>
              <w:rPr>
                <w:rFonts w:cs="ArialNarrow,Bold"/>
                <w:b/>
                <w:bCs/>
                <w:color w:val="2C9BDD"/>
                <w:sz w:val="20"/>
                <w:szCs w:val="20"/>
                <w:lang w:val="sk-SK"/>
              </w:rPr>
            </w:pPr>
            <w:bookmarkStart w:id="126" w:name="_Toc147835711"/>
            <w:bookmarkStart w:id="127" w:name="_Toc164684552"/>
            <w:r w:rsidRPr="00664E8C">
              <w:rPr>
                <w:rFonts w:eastAsia="Times New Roman" w:cs="Times New Roman"/>
                <w:b/>
                <w:bCs/>
                <w:color w:val="2C9ADC"/>
                <w:sz w:val="20"/>
                <w:szCs w:val="20"/>
                <w:lang w:val="sk-SK" w:eastAsia="sk-SK"/>
              </w:rPr>
              <w:t xml:space="preserve">TABUĽKA </w:t>
            </w:r>
            <w:r w:rsidRPr="00800135">
              <w:rPr>
                <w:b/>
                <w:color w:val="2C9ADC" w:themeColor="accent1"/>
                <w:sz w:val="20"/>
                <w:szCs w:val="20"/>
              </w:rPr>
              <w:fldChar w:fldCharType="begin"/>
            </w:r>
            <w:r w:rsidRPr="00664E8C">
              <w:rPr>
                <w:b/>
                <w:color w:val="2C9ADC" w:themeColor="accent1"/>
                <w:sz w:val="20"/>
                <w:szCs w:val="20"/>
                <w:lang w:val="sk-SK"/>
              </w:rPr>
              <w:instrText xml:space="preserve"> SEQ TABUĽKA \* ARABIC </w:instrText>
            </w:r>
            <w:r w:rsidRPr="00800135">
              <w:rPr>
                <w:b/>
                <w:color w:val="2C9ADC" w:themeColor="accent1"/>
                <w:sz w:val="20"/>
                <w:szCs w:val="20"/>
              </w:rPr>
              <w:fldChar w:fldCharType="separate"/>
            </w:r>
            <w:r w:rsidR="007435E9">
              <w:rPr>
                <w:b/>
                <w:noProof/>
                <w:color w:val="2C9ADC" w:themeColor="accent1"/>
                <w:sz w:val="20"/>
                <w:szCs w:val="20"/>
                <w:lang w:val="sk-SK"/>
              </w:rPr>
              <w:t>3</w:t>
            </w:r>
            <w:r w:rsidRPr="00800135">
              <w:rPr>
                <w:b/>
                <w:color w:val="2C9ADC" w:themeColor="accent1"/>
                <w:sz w:val="20"/>
                <w:szCs w:val="20"/>
              </w:rPr>
              <w:fldChar w:fldCharType="end"/>
            </w:r>
            <w:r w:rsidRPr="00664E8C">
              <w:rPr>
                <w:rFonts w:eastAsia="Times New Roman" w:cs="Times New Roman"/>
                <w:b/>
                <w:bCs/>
                <w:color w:val="2C9ADC"/>
                <w:sz w:val="20"/>
                <w:szCs w:val="20"/>
                <w:lang w:val="sk-SK" w:eastAsia="sk-SK"/>
              </w:rPr>
              <w:t xml:space="preserve"> – </w:t>
            </w:r>
            <w:r w:rsidRPr="00664E8C">
              <w:rPr>
                <w:rFonts w:cs="ArialNarrow,Bold"/>
                <w:b/>
                <w:bCs/>
                <w:color w:val="2C9BDD"/>
                <w:sz w:val="20"/>
                <w:szCs w:val="20"/>
                <w:lang w:val="sk-SK"/>
              </w:rPr>
              <w:t>Opatrenia prijaté vládou v boji s energetickou krízou s vplyvom na rozpočet (v mil. eur)</w:t>
            </w:r>
            <w:bookmarkEnd w:id="126"/>
            <w:bookmarkEnd w:id="127"/>
            <w:r w:rsidRPr="00664E8C">
              <w:rPr>
                <w:rFonts w:cs="ArialNarrow,Bold"/>
                <w:b/>
                <w:bCs/>
                <w:color w:val="2C9BDD"/>
                <w:sz w:val="20"/>
                <w:szCs w:val="20"/>
                <w:lang w:val="sk-SK"/>
              </w:rPr>
              <w:t xml:space="preserve"> </w:t>
            </w:r>
          </w:p>
          <w:tbl>
            <w:tblPr>
              <w:tblW w:w="8998" w:type="dxa"/>
              <w:tblLayout w:type="fixed"/>
              <w:tblCellMar>
                <w:left w:w="70" w:type="dxa"/>
                <w:right w:w="70" w:type="dxa"/>
              </w:tblCellMar>
              <w:tblLook w:val="04A0" w:firstRow="1" w:lastRow="0" w:firstColumn="1" w:lastColumn="0" w:noHBand="0" w:noVBand="1"/>
            </w:tblPr>
            <w:tblGrid>
              <w:gridCol w:w="375"/>
              <w:gridCol w:w="5572"/>
              <w:gridCol w:w="958"/>
              <w:gridCol w:w="1076"/>
              <w:gridCol w:w="1017"/>
            </w:tblGrid>
            <w:tr w:rsidR="009A2A34" w:rsidRPr="00735F3D" w14:paraId="4B2F11C8" w14:textId="77777777" w:rsidTr="00CC1F9E">
              <w:trPr>
                <w:trHeight w:val="255"/>
              </w:trPr>
              <w:tc>
                <w:tcPr>
                  <w:tcW w:w="375" w:type="dxa"/>
                  <w:tcBorders>
                    <w:top w:val="nil"/>
                    <w:left w:val="nil"/>
                    <w:bottom w:val="single" w:sz="8" w:space="0" w:color="auto"/>
                    <w:right w:val="nil"/>
                  </w:tcBorders>
                  <w:shd w:val="clear" w:color="auto" w:fill="auto"/>
                  <w:noWrap/>
                  <w:vAlign w:val="center"/>
                  <w:hideMark/>
                </w:tcPr>
                <w:p w14:paraId="1178B035" w14:textId="77777777" w:rsidR="009A2A34" w:rsidRPr="00632F61" w:rsidRDefault="009A2A34" w:rsidP="00CC1F9E">
                  <w:pPr>
                    <w:rPr>
                      <w:rFonts w:cs="Calibri"/>
                      <w:b/>
                      <w:bCs/>
                      <w:color w:val="000000"/>
                      <w:sz w:val="20"/>
                      <w:szCs w:val="20"/>
                    </w:rPr>
                  </w:pPr>
                  <w:r w:rsidRPr="00632F61">
                    <w:rPr>
                      <w:rFonts w:cs="Calibri"/>
                      <w:b/>
                      <w:bCs/>
                      <w:color w:val="000000"/>
                      <w:sz w:val="20"/>
                      <w:szCs w:val="20"/>
                    </w:rPr>
                    <w:t> </w:t>
                  </w:r>
                </w:p>
              </w:tc>
              <w:tc>
                <w:tcPr>
                  <w:tcW w:w="5572" w:type="dxa"/>
                  <w:tcBorders>
                    <w:top w:val="nil"/>
                    <w:left w:val="nil"/>
                    <w:bottom w:val="single" w:sz="8" w:space="0" w:color="auto"/>
                    <w:right w:val="nil"/>
                  </w:tcBorders>
                  <w:shd w:val="clear" w:color="auto" w:fill="auto"/>
                  <w:noWrap/>
                  <w:vAlign w:val="center"/>
                  <w:hideMark/>
                </w:tcPr>
                <w:p w14:paraId="5E0CA882" w14:textId="77777777" w:rsidR="009A2A34" w:rsidRPr="00632F61" w:rsidRDefault="009A2A34" w:rsidP="00CC1F9E">
                  <w:pPr>
                    <w:rPr>
                      <w:rFonts w:cs="Calibri"/>
                      <w:b/>
                      <w:bCs/>
                      <w:color w:val="000000"/>
                      <w:sz w:val="20"/>
                      <w:szCs w:val="20"/>
                    </w:rPr>
                  </w:pPr>
                  <w:r w:rsidRPr="00632F61">
                    <w:rPr>
                      <w:rFonts w:cs="Calibri"/>
                      <w:b/>
                      <w:bCs/>
                      <w:color w:val="000000"/>
                      <w:sz w:val="20"/>
                      <w:szCs w:val="20"/>
                    </w:rPr>
                    <w:t>Opatrenie</w:t>
                  </w:r>
                </w:p>
              </w:tc>
              <w:tc>
                <w:tcPr>
                  <w:tcW w:w="958" w:type="dxa"/>
                  <w:tcBorders>
                    <w:top w:val="nil"/>
                    <w:left w:val="nil"/>
                    <w:bottom w:val="single" w:sz="8" w:space="0" w:color="auto"/>
                    <w:right w:val="nil"/>
                  </w:tcBorders>
                  <w:shd w:val="clear" w:color="auto" w:fill="auto"/>
                  <w:noWrap/>
                  <w:vAlign w:val="center"/>
                  <w:hideMark/>
                </w:tcPr>
                <w:p w14:paraId="26A97977" w14:textId="77777777" w:rsidR="009A2A34" w:rsidRPr="00632F61" w:rsidRDefault="009A2A34" w:rsidP="00CC1F9E">
                  <w:pPr>
                    <w:jc w:val="center"/>
                    <w:rPr>
                      <w:rFonts w:cs="Calibri"/>
                      <w:b/>
                      <w:bCs/>
                      <w:color w:val="000000"/>
                      <w:sz w:val="20"/>
                      <w:szCs w:val="20"/>
                    </w:rPr>
                  </w:pPr>
                  <w:r w:rsidRPr="00632F61">
                    <w:rPr>
                      <w:rFonts w:cs="Calibri"/>
                      <w:b/>
                      <w:bCs/>
                      <w:color w:val="000000"/>
                      <w:sz w:val="20"/>
                      <w:szCs w:val="20"/>
                    </w:rPr>
                    <w:t>2023</w:t>
                  </w:r>
                </w:p>
              </w:tc>
              <w:tc>
                <w:tcPr>
                  <w:tcW w:w="1076" w:type="dxa"/>
                  <w:tcBorders>
                    <w:top w:val="nil"/>
                    <w:left w:val="nil"/>
                    <w:bottom w:val="single" w:sz="8" w:space="0" w:color="auto"/>
                    <w:right w:val="nil"/>
                  </w:tcBorders>
                </w:tcPr>
                <w:p w14:paraId="4EA595D5" w14:textId="77777777" w:rsidR="009A2A34" w:rsidRPr="00632F61" w:rsidRDefault="009A2A34" w:rsidP="00CC1F9E">
                  <w:pPr>
                    <w:jc w:val="center"/>
                    <w:rPr>
                      <w:rFonts w:cs="Calibri"/>
                      <w:b/>
                      <w:bCs/>
                      <w:color w:val="000000"/>
                      <w:sz w:val="20"/>
                      <w:szCs w:val="20"/>
                    </w:rPr>
                  </w:pPr>
                  <w:r w:rsidRPr="00632F61">
                    <w:rPr>
                      <w:rFonts w:cs="Calibri"/>
                      <w:b/>
                      <w:bCs/>
                      <w:color w:val="000000"/>
                      <w:sz w:val="20"/>
                      <w:szCs w:val="20"/>
                    </w:rPr>
                    <w:t>2024</w:t>
                  </w:r>
                  <w:r>
                    <w:rPr>
                      <w:rFonts w:cs="Calibri"/>
                      <w:b/>
                      <w:bCs/>
                      <w:color w:val="000000"/>
                      <w:sz w:val="20"/>
                      <w:szCs w:val="20"/>
                    </w:rPr>
                    <w:t xml:space="preserve"> Odhad celý rok</w:t>
                  </w:r>
                </w:p>
              </w:tc>
              <w:tc>
                <w:tcPr>
                  <w:tcW w:w="1017" w:type="dxa"/>
                  <w:tcBorders>
                    <w:top w:val="nil"/>
                    <w:left w:val="nil"/>
                    <w:bottom w:val="single" w:sz="8" w:space="0" w:color="auto"/>
                    <w:right w:val="nil"/>
                  </w:tcBorders>
                </w:tcPr>
                <w:p w14:paraId="4171F0C8" w14:textId="77777777" w:rsidR="009A2A34" w:rsidRPr="00632F61" w:rsidRDefault="009A2A34" w:rsidP="00CC1F9E">
                  <w:pPr>
                    <w:jc w:val="center"/>
                    <w:rPr>
                      <w:rFonts w:cs="Calibri"/>
                      <w:b/>
                      <w:bCs/>
                      <w:color w:val="000000"/>
                      <w:sz w:val="20"/>
                      <w:szCs w:val="20"/>
                    </w:rPr>
                  </w:pPr>
                  <w:r>
                    <w:rPr>
                      <w:rFonts w:cs="Calibri"/>
                      <w:b/>
                      <w:bCs/>
                      <w:color w:val="000000"/>
                      <w:sz w:val="20"/>
                      <w:szCs w:val="20"/>
                    </w:rPr>
                    <w:t>Čerpanie 1Q 2024</w:t>
                  </w:r>
                </w:p>
              </w:tc>
            </w:tr>
            <w:tr w:rsidR="009A2A34" w:rsidRPr="00735F3D" w14:paraId="49F59628" w14:textId="77777777" w:rsidTr="00CC1F9E">
              <w:trPr>
                <w:trHeight w:val="255"/>
              </w:trPr>
              <w:tc>
                <w:tcPr>
                  <w:tcW w:w="375" w:type="dxa"/>
                  <w:tcBorders>
                    <w:top w:val="nil"/>
                    <w:left w:val="nil"/>
                    <w:bottom w:val="single" w:sz="8" w:space="0" w:color="auto"/>
                    <w:right w:val="nil"/>
                  </w:tcBorders>
                  <w:shd w:val="clear" w:color="auto" w:fill="auto"/>
                  <w:noWrap/>
                  <w:vAlign w:val="center"/>
                </w:tcPr>
                <w:p w14:paraId="67C9F96D" w14:textId="77777777" w:rsidR="009A2A34" w:rsidRPr="00632F61" w:rsidRDefault="009A2A34" w:rsidP="00CC1F9E">
                  <w:pPr>
                    <w:rPr>
                      <w:rFonts w:cs="Calibri"/>
                      <w:b/>
                      <w:bCs/>
                      <w:color w:val="000000"/>
                      <w:sz w:val="20"/>
                      <w:szCs w:val="20"/>
                    </w:rPr>
                  </w:pPr>
                </w:p>
              </w:tc>
              <w:tc>
                <w:tcPr>
                  <w:tcW w:w="5572" w:type="dxa"/>
                  <w:tcBorders>
                    <w:top w:val="nil"/>
                    <w:left w:val="nil"/>
                    <w:bottom w:val="single" w:sz="8" w:space="0" w:color="auto"/>
                    <w:right w:val="nil"/>
                  </w:tcBorders>
                  <w:shd w:val="clear" w:color="auto" w:fill="auto"/>
                  <w:noWrap/>
                  <w:vAlign w:val="center"/>
                </w:tcPr>
                <w:p w14:paraId="4A72A749" w14:textId="77777777" w:rsidR="009A2A34" w:rsidRPr="00632F61" w:rsidRDefault="009A2A34" w:rsidP="00CC1F9E">
                  <w:pPr>
                    <w:rPr>
                      <w:rFonts w:cs="Calibri"/>
                      <w:b/>
                      <w:bCs/>
                      <w:color w:val="000000"/>
                      <w:sz w:val="20"/>
                      <w:szCs w:val="20"/>
                    </w:rPr>
                  </w:pPr>
                  <w:r>
                    <w:rPr>
                      <w:rFonts w:cs="Calibri"/>
                      <w:b/>
                      <w:bCs/>
                      <w:color w:val="000000"/>
                      <w:sz w:val="20"/>
                      <w:szCs w:val="20"/>
                    </w:rPr>
                    <w:t>Výdavkové opatrenia spolu</w:t>
                  </w:r>
                </w:p>
              </w:tc>
              <w:tc>
                <w:tcPr>
                  <w:tcW w:w="958" w:type="dxa"/>
                  <w:tcBorders>
                    <w:top w:val="nil"/>
                    <w:left w:val="nil"/>
                    <w:bottom w:val="single" w:sz="8" w:space="0" w:color="auto"/>
                    <w:right w:val="nil"/>
                  </w:tcBorders>
                  <w:shd w:val="clear" w:color="auto" w:fill="auto"/>
                  <w:noWrap/>
                  <w:vAlign w:val="center"/>
                </w:tcPr>
                <w:p w14:paraId="2B886972" w14:textId="77777777" w:rsidR="009A2A34" w:rsidRPr="00632F61" w:rsidRDefault="009A2A34" w:rsidP="00CC1F9E">
                  <w:pPr>
                    <w:rPr>
                      <w:rFonts w:cs="Calibri"/>
                      <w:b/>
                      <w:bCs/>
                      <w:color w:val="000000"/>
                      <w:sz w:val="20"/>
                      <w:szCs w:val="20"/>
                    </w:rPr>
                  </w:pPr>
                  <w:r>
                    <w:rPr>
                      <w:rFonts w:cs="Calibri"/>
                      <w:b/>
                      <w:bCs/>
                      <w:color w:val="000000"/>
                      <w:sz w:val="20"/>
                      <w:szCs w:val="20"/>
                    </w:rPr>
                    <w:t xml:space="preserve">   -3116</w:t>
                  </w:r>
                </w:p>
              </w:tc>
              <w:tc>
                <w:tcPr>
                  <w:tcW w:w="1076" w:type="dxa"/>
                  <w:tcBorders>
                    <w:top w:val="nil"/>
                    <w:left w:val="nil"/>
                    <w:bottom w:val="single" w:sz="8" w:space="0" w:color="auto"/>
                    <w:right w:val="nil"/>
                  </w:tcBorders>
                </w:tcPr>
                <w:p w14:paraId="2B4210A8" w14:textId="77777777" w:rsidR="009A2A34" w:rsidRPr="00632F61" w:rsidRDefault="009A2A34" w:rsidP="00CC1F9E">
                  <w:pPr>
                    <w:jc w:val="center"/>
                    <w:rPr>
                      <w:rFonts w:cs="Calibri"/>
                      <w:b/>
                      <w:bCs/>
                      <w:color w:val="000000"/>
                      <w:sz w:val="20"/>
                      <w:szCs w:val="20"/>
                    </w:rPr>
                  </w:pPr>
                  <w:r>
                    <w:rPr>
                      <w:rFonts w:cs="Calibri"/>
                      <w:b/>
                      <w:bCs/>
                      <w:color w:val="000000"/>
                      <w:sz w:val="20"/>
                      <w:szCs w:val="20"/>
                    </w:rPr>
                    <w:t>-800</w:t>
                  </w:r>
                </w:p>
              </w:tc>
              <w:tc>
                <w:tcPr>
                  <w:tcW w:w="1017" w:type="dxa"/>
                  <w:tcBorders>
                    <w:top w:val="nil"/>
                    <w:left w:val="nil"/>
                    <w:bottom w:val="single" w:sz="8" w:space="0" w:color="auto"/>
                    <w:right w:val="nil"/>
                  </w:tcBorders>
                </w:tcPr>
                <w:p w14:paraId="2085D97F" w14:textId="77777777" w:rsidR="009A2A34" w:rsidRDefault="009A2A34" w:rsidP="00CC1F9E">
                  <w:pPr>
                    <w:jc w:val="center"/>
                    <w:rPr>
                      <w:rFonts w:cs="Calibri"/>
                      <w:b/>
                      <w:bCs/>
                      <w:color w:val="000000"/>
                      <w:sz w:val="20"/>
                      <w:szCs w:val="20"/>
                    </w:rPr>
                  </w:pPr>
                  <w:r>
                    <w:rPr>
                      <w:rFonts w:cs="Calibri"/>
                      <w:b/>
                      <w:bCs/>
                      <w:color w:val="000000"/>
                      <w:sz w:val="20"/>
                      <w:szCs w:val="20"/>
                    </w:rPr>
                    <w:t>-437</w:t>
                  </w:r>
                </w:p>
              </w:tc>
            </w:tr>
            <w:tr w:rsidR="009A2A34" w:rsidRPr="00735F3D" w14:paraId="3F2A9336" w14:textId="77777777" w:rsidTr="00CC1F9E">
              <w:trPr>
                <w:trHeight w:val="245"/>
              </w:trPr>
              <w:tc>
                <w:tcPr>
                  <w:tcW w:w="375" w:type="dxa"/>
                  <w:vMerge w:val="restart"/>
                  <w:tcBorders>
                    <w:top w:val="nil"/>
                    <w:left w:val="nil"/>
                    <w:bottom w:val="single" w:sz="8" w:space="0" w:color="000000"/>
                    <w:right w:val="nil"/>
                  </w:tcBorders>
                  <w:shd w:val="clear" w:color="auto" w:fill="auto"/>
                  <w:noWrap/>
                  <w:textDirection w:val="btLr"/>
                  <w:vAlign w:val="center"/>
                  <w:hideMark/>
                </w:tcPr>
                <w:p w14:paraId="6D8E5F22" w14:textId="77777777" w:rsidR="009A2A34" w:rsidRPr="00632F61" w:rsidRDefault="009A2A34" w:rsidP="00CC1F9E">
                  <w:pPr>
                    <w:jc w:val="center"/>
                    <w:rPr>
                      <w:rFonts w:cs="Calibri"/>
                      <w:color w:val="000000"/>
                      <w:sz w:val="20"/>
                      <w:szCs w:val="20"/>
                    </w:rPr>
                  </w:pPr>
                  <w:r w:rsidRPr="00632F61">
                    <w:rPr>
                      <w:rFonts w:cs="Calibri"/>
                      <w:color w:val="000000"/>
                      <w:sz w:val="20"/>
                      <w:szCs w:val="20"/>
                    </w:rPr>
                    <w:t>Podniky</w:t>
                  </w:r>
                </w:p>
              </w:tc>
              <w:tc>
                <w:tcPr>
                  <w:tcW w:w="5572" w:type="dxa"/>
                  <w:tcBorders>
                    <w:top w:val="nil"/>
                    <w:left w:val="nil"/>
                    <w:bottom w:val="nil"/>
                    <w:right w:val="nil"/>
                  </w:tcBorders>
                  <w:shd w:val="clear" w:color="auto" w:fill="auto"/>
                  <w:noWrap/>
                  <w:vAlign w:val="center"/>
                  <w:hideMark/>
                </w:tcPr>
                <w:p w14:paraId="09E49D0E" w14:textId="77777777" w:rsidR="009A2A34" w:rsidRPr="00632F61" w:rsidRDefault="009A2A34" w:rsidP="00CC1F9E">
                  <w:pPr>
                    <w:rPr>
                      <w:rFonts w:cs="Calibri"/>
                      <w:color w:val="000000"/>
                      <w:sz w:val="20"/>
                      <w:szCs w:val="20"/>
                    </w:rPr>
                  </w:pPr>
                  <w:r w:rsidRPr="00632F61">
                    <w:rPr>
                      <w:rFonts w:cs="Calibri"/>
                      <w:color w:val="000000"/>
                      <w:sz w:val="20"/>
                      <w:szCs w:val="20"/>
                    </w:rPr>
                    <w:t xml:space="preserve">Zastropovanie cien elektriny a plynu pre neregulované podniky </w:t>
                  </w:r>
                </w:p>
              </w:tc>
              <w:tc>
                <w:tcPr>
                  <w:tcW w:w="958" w:type="dxa"/>
                  <w:tcBorders>
                    <w:top w:val="nil"/>
                    <w:left w:val="nil"/>
                    <w:bottom w:val="nil"/>
                    <w:right w:val="nil"/>
                  </w:tcBorders>
                  <w:shd w:val="clear" w:color="auto" w:fill="auto"/>
                  <w:noWrap/>
                  <w:vAlign w:val="center"/>
                  <w:hideMark/>
                </w:tcPr>
                <w:p w14:paraId="2269E5C0" w14:textId="77777777" w:rsidR="009A2A34" w:rsidRPr="00632F61" w:rsidRDefault="009A2A34" w:rsidP="00CC1F9E">
                  <w:pPr>
                    <w:ind w:right="320"/>
                    <w:jc w:val="right"/>
                    <w:rPr>
                      <w:rFonts w:cs="Calibri"/>
                      <w:color w:val="000000"/>
                      <w:sz w:val="20"/>
                      <w:szCs w:val="20"/>
                    </w:rPr>
                  </w:pPr>
                  <w:r w:rsidRPr="00735F3D">
                    <w:rPr>
                      <w:rFonts w:cs="Calibri"/>
                      <w:sz w:val="20"/>
                      <w:szCs w:val="20"/>
                    </w:rPr>
                    <w:t>-283</w:t>
                  </w:r>
                </w:p>
              </w:tc>
              <w:tc>
                <w:tcPr>
                  <w:tcW w:w="1076" w:type="dxa"/>
                  <w:tcBorders>
                    <w:top w:val="nil"/>
                    <w:left w:val="nil"/>
                    <w:bottom w:val="nil"/>
                    <w:right w:val="nil"/>
                  </w:tcBorders>
                </w:tcPr>
                <w:p w14:paraId="539FAB0D"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nil"/>
                    <w:right w:val="nil"/>
                  </w:tcBorders>
                </w:tcPr>
                <w:p w14:paraId="2F71E352" w14:textId="77777777" w:rsidR="009A2A34" w:rsidRPr="00735F3D" w:rsidRDefault="009A2A34" w:rsidP="00CC1F9E">
                  <w:pPr>
                    <w:ind w:right="320"/>
                    <w:jc w:val="right"/>
                    <w:rPr>
                      <w:rFonts w:cs="Calibri"/>
                      <w:color w:val="000000"/>
                      <w:sz w:val="20"/>
                      <w:szCs w:val="20"/>
                    </w:rPr>
                  </w:pPr>
                  <w:r>
                    <w:rPr>
                      <w:rFonts w:cs="Calibri"/>
                      <w:color w:val="000000"/>
                      <w:sz w:val="20"/>
                      <w:szCs w:val="20"/>
                    </w:rPr>
                    <w:t>-3</w:t>
                  </w:r>
                </w:p>
              </w:tc>
            </w:tr>
            <w:tr w:rsidR="009A2A34" w:rsidRPr="00735F3D" w14:paraId="7D3DA2AD" w14:textId="77777777" w:rsidTr="00CC1F9E">
              <w:trPr>
                <w:trHeight w:val="245"/>
              </w:trPr>
              <w:tc>
                <w:tcPr>
                  <w:tcW w:w="375" w:type="dxa"/>
                  <w:vMerge/>
                  <w:tcBorders>
                    <w:top w:val="nil"/>
                    <w:left w:val="nil"/>
                    <w:bottom w:val="single" w:sz="8" w:space="0" w:color="000000"/>
                    <w:right w:val="nil"/>
                  </w:tcBorders>
                  <w:vAlign w:val="center"/>
                  <w:hideMark/>
                </w:tcPr>
                <w:p w14:paraId="5F5E50F6" w14:textId="77777777" w:rsidR="009A2A34" w:rsidRPr="00632F61" w:rsidRDefault="009A2A34" w:rsidP="00CC1F9E">
                  <w:pPr>
                    <w:rPr>
                      <w:rFonts w:cs="Calibri"/>
                      <w:color w:val="000000"/>
                      <w:sz w:val="20"/>
                      <w:szCs w:val="20"/>
                    </w:rPr>
                  </w:pPr>
                </w:p>
              </w:tc>
              <w:tc>
                <w:tcPr>
                  <w:tcW w:w="5572" w:type="dxa"/>
                  <w:tcBorders>
                    <w:top w:val="nil"/>
                    <w:left w:val="nil"/>
                    <w:bottom w:val="nil"/>
                    <w:right w:val="nil"/>
                  </w:tcBorders>
                  <w:shd w:val="clear" w:color="auto" w:fill="auto"/>
                  <w:noWrap/>
                  <w:vAlign w:val="center"/>
                  <w:hideMark/>
                </w:tcPr>
                <w:p w14:paraId="4054DF1C" w14:textId="77777777" w:rsidR="009A2A34" w:rsidRPr="00632F61" w:rsidRDefault="009A2A34" w:rsidP="00CC1F9E">
                  <w:pPr>
                    <w:rPr>
                      <w:rFonts w:cs="Calibri"/>
                      <w:color w:val="000000"/>
                      <w:sz w:val="20"/>
                      <w:szCs w:val="20"/>
                    </w:rPr>
                  </w:pPr>
                  <w:r w:rsidRPr="00632F61">
                    <w:rPr>
                      <w:rFonts w:cs="Calibri"/>
                      <w:color w:val="000000"/>
                      <w:sz w:val="20"/>
                      <w:szCs w:val="20"/>
                    </w:rPr>
                    <w:t xml:space="preserve">Zastropovanie cien elektriny a plynu pre regulované podniky </w:t>
                  </w:r>
                </w:p>
              </w:tc>
              <w:tc>
                <w:tcPr>
                  <w:tcW w:w="958" w:type="dxa"/>
                  <w:tcBorders>
                    <w:top w:val="nil"/>
                    <w:left w:val="nil"/>
                    <w:bottom w:val="nil"/>
                    <w:right w:val="nil"/>
                  </w:tcBorders>
                  <w:shd w:val="clear" w:color="auto" w:fill="auto"/>
                  <w:noWrap/>
                  <w:vAlign w:val="center"/>
                  <w:hideMark/>
                </w:tcPr>
                <w:p w14:paraId="130004AD" w14:textId="77777777" w:rsidR="009A2A34" w:rsidRPr="00632F61" w:rsidRDefault="009A2A34" w:rsidP="00CC1F9E">
                  <w:pPr>
                    <w:ind w:right="320"/>
                    <w:jc w:val="right"/>
                    <w:rPr>
                      <w:rFonts w:cs="Calibri"/>
                      <w:color w:val="000000"/>
                      <w:sz w:val="20"/>
                      <w:szCs w:val="20"/>
                    </w:rPr>
                  </w:pPr>
                  <w:r w:rsidRPr="00735F3D">
                    <w:rPr>
                      <w:rFonts w:cs="Calibri"/>
                      <w:sz w:val="20"/>
                      <w:szCs w:val="20"/>
                    </w:rPr>
                    <w:t>-237</w:t>
                  </w:r>
                </w:p>
              </w:tc>
              <w:tc>
                <w:tcPr>
                  <w:tcW w:w="1076" w:type="dxa"/>
                  <w:tcBorders>
                    <w:top w:val="nil"/>
                    <w:left w:val="nil"/>
                    <w:bottom w:val="nil"/>
                    <w:right w:val="nil"/>
                  </w:tcBorders>
                </w:tcPr>
                <w:p w14:paraId="02C0099D"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nil"/>
                    <w:right w:val="nil"/>
                  </w:tcBorders>
                </w:tcPr>
                <w:p w14:paraId="1C3D7852" w14:textId="0DDC240F" w:rsidR="009A2A34" w:rsidRPr="00735F3D" w:rsidRDefault="003F0435" w:rsidP="00CC1F9E">
                  <w:pPr>
                    <w:ind w:right="320"/>
                    <w:jc w:val="right"/>
                    <w:rPr>
                      <w:rFonts w:cs="Calibri"/>
                      <w:color w:val="000000"/>
                      <w:sz w:val="20"/>
                      <w:szCs w:val="20"/>
                    </w:rPr>
                  </w:pPr>
                  <w:r>
                    <w:rPr>
                      <w:rFonts w:cs="Calibri"/>
                      <w:color w:val="000000"/>
                      <w:sz w:val="20"/>
                      <w:szCs w:val="20"/>
                    </w:rPr>
                    <w:t>-</w:t>
                  </w:r>
                </w:p>
              </w:tc>
            </w:tr>
            <w:tr w:rsidR="009A2A34" w:rsidRPr="00735F3D" w14:paraId="6B234797" w14:textId="77777777" w:rsidTr="00CC1F9E">
              <w:trPr>
                <w:trHeight w:val="255"/>
              </w:trPr>
              <w:tc>
                <w:tcPr>
                  <w:tcW w:w="375" w:type="dxa"/>
                  <w:vMerge/>
                  <w:tcBorders>
                    <w:top w:val="nil"/>
                    <w:left w:val="nil"/>
                    <w:bottom w:val="single" w:sz="8" w:space="0" w:color="000000"/>
                    <w:right w:val="nil"/>
                  </w:tcBorders>
                  <w:vAlign w:val="center"/>
                  <w:hideMark/>
                </w:tcPr>
                <w:p w14:paraId="4096C33B" w14:textId="77777777" w:rsidR="009A2A34" w:rsidRPr="00632F61" w:rsidRDefault="009A2A34" w:rsidP="00CC1F9E">
                  <w:pPr>
                    <w:rPr>
                      <w:rFonts w:cs="Calibri"/>
                      <w:color w:val="000000"/>
                      <w:sz w:val="20"/>
                      <w:szCs w:val="20"/>
                    </w:rPr>
                  </w:pPr>
                </w:p>
              </w:tc>
              <w:tc>
                <w:tcPr>
                  <w:tcW w:w="5572" w:type="dxa"/>
                  <w:tcBorders>
                    <w:top w:val="nil"/>
                    <w:left w:val="nil"/>
                    <w:bottom w:val="single" w:sz="8" w:space="0" w:color="auto"/>
                    <w:right w:val="nil"/>
                  </w:tcBorders>
                  <w:shd w:val="clear" w:color="auto" w:fill="auto"/>
                  <w:noWrap/>
                  <w:vAlign w:val="center"/>
                  <w:hideMark/>
                </w:tcPr>
                <w:p w14:paraId="72CC75FD" w14:textId="77777777" w:rsidR="009A2A34" w:rsidRPr="00632F61" w:rsidRDefault="009A2A34" w:rsidP="00CC1F9E">
                  <w:pPr>
                    <w:rPr>
                      <w:rFonts w:cs="Calibri"/>
                      <w:color w:val="000000"/>
                      <w:sz w:val="20"/>
                      <w:szCs w:val="20"/>
                    </w:rPr>
                  </w:pPr>
                  <w:r w:rsidRPr="00632F61">
                    <w:rPr>
                      <w:rFonts w:cs="Calibri"/>
                      <w:color w:val="000000"/>
                      <w:sz w:val="20"/>
                      <w:szCs w:val="20"/>
                    </w:rPr>
                    <w:t>Zastropovanie cien distribučných a systémových poplatkov elektriny pre podniky</w:t>
                  </w:r>
                </w:p>
              </w:tc>
              <w:tc>
                <w:tcPr>
                  <w:tcW w:w="958" w:type="dxa"/>
                  <w:tcBorders>
                    <w:top w:val="nil"/>
                    <w:left w:val="nil"/>
                    <w:bottom w:val="single" w:sz="8" w:space="0" w:color="auto"/>
                    <w:right w:val="nil"/>
                  </w:tcBorders>
                  <w:shd w:val="clear" w:color="auto" w:fill="auto"/>
                  <w:noWrap/>
                  <w:vAlign w:val="center"/>
                  <w:hideMark/>
                </w:tcPr>
                <w:p w14:paraId="28D756A9" w14:textId="77777777" w:rsidR="009A2A34" w:rsidRPr="00632F61" w:rsidRDefault="009A2A34" w:rsidP="00CC1F9E">
                  <w:pPr>
                    <w:ind w:right="320"/>
                    <w:jc w:val="right"/>
                    <w:rPr>
                      <w:rFonts w:cs="Calibri"/>
                      <w:color w:val="000000"/>
                      <w:sz w:val="20"/>
                      <w:szCs w:val="20"/>
                    </w:rPr>
                  </w:pPr>
                  <w:r w:rsidRPr="00735F3D">
                    <w:rPr>
                      <w:rFonts w:cs="Calibri"/>
                      <w:sz w:val="20"/>
                      <w:szCs w:val="20"/>
                    </w:rPr>
                    <w:t>-676</w:t>
                  </w:r>
                </w:p>
              </w:tc>
              <w:tc>
                <w:tcPr>
                  <w:tcW w:w="1076" w:type="dxa"/>
                  <w:tcBorders>
                    <w:top w:val="nil"/>
                    <w:left w:val="nil"/>
                    <w:bottom w:val="single" w:sz="8" w:space="0" w:color="auto"/>
                    <w:right w:val="nil"/>
                  </w:tcBorders>
                </w:tcPr>
                <w:p w14:paraId="68244CA9"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single" w:sz="8" w:space="0" w:color="auto"/>
                    <w:right w:val="nil"/>
                  </w:tcBorders>
                </w:tcPr>
                <w:p w14:paraId="539DE33C" w14:textId="05DF2C25" w:rsidR="009A2A34" w:rsidRPr="00735F3D" w:rsidRDefault="003F0435" w:rsidP="00CC1F9E">
                  <w:pPr>
                    <w:ind w:right="320"/>
                    <w:jc w:val="right"/>
                    <w:rPr>
                      <w:rFonts w:cs="Calibri"/>
                      <w:color w:val="000000"/>
                      <w:sz w:val="20"/>
                      <w:szCs w:val="20"/>
                    </w:rPr>
                  </w:pPr>
                  <w:r>
                    <w:rPr>
                      <w:rFonts w:cs="Calibri"/>
                      <w:color w:val="000000"/>
                      <w:sz w:val="20"/>
                      <w:szCs w:val="20"/>
                    </w:rPr>
                    <w:t>-</w:t>
                  </w:r>
                </w:p>
              </w:tc>
            </w:tr>
            <w:tr w:rsidR="009A2A34" w:rsidRPr="00735F3D" w14:paraId="5F3A97A5" w14:textId="77777777" w:rsidTr="00CC1F9E">
              <w:trPr>
                <w:trHeight w:val="245"/>
              </w:trPr>
              <w:tc>
                <w:tcPr>
                  <w:tcW w:w="375" w:type="dxa"/>
                  <w:vMerge w:val="restart"/>
                  <w:tcBorders>
                    <w:top w:val="nil"/>
                    <w:left w:val="nil"/>
                    <w:bottom w:val="single" w:sz="8" w:space="0" w:color="000000"/>
                    <w:right w:val="nil"/>
                  </w:tcBorders>
                  <w:shd w:val="clear" w:color="auto" w:fill="auto"/>
                  <w:noWrap/>
                  <w:textDirection w:val="btLr"/>
                  <w:vAlign w:val="center"/>
                  <w:hideMark/>
                </w:tcPr>
                <w:p w14:paraId="437E610B" w14:textId="77777777" w:rsidR="009A2A34" w:rsidRPr="00632F61" w:rsidRDefault="009A2A34" w:rsidP="00CC1F9E">
                  <w:pPr>
                    <w:jc w:val="center"/>
                    <w:rPr>
                      <w:rFonts w:cs="Calibri"/>
                      <w:color w:val="000000"/>
                      <w:sz w:val="20"/>
                      <w:szCs w:val="20"/>
                    </w:rPr>
                  </w:pPr>
                  <w:r w:rsidRPr="00632F61">
                    <w:rPr>
                      <w:rFonts w:cs="Calibri"/>
                      <w:color w:val="000000"/>
                      <w:sz w:val="20"/>
                      <w:szCs w:val="20"/>
                    </w:rPr>
                    <w:t>Domácnosti</w:t>
                  </w:r>
                </w:p>
              </w:tc>
              <w:tc>
                <w:tcPr>
                  <w:tcW w:w="5572" w:type="dxa"/>
                  <w:tcBorders>
                    <w:top w:val="nil"/>
                    <w:left w:val="nil"/>
                    <w:bottom w:val="nil"/>
                    <w:right w:val="nil"/>
                  </w:tcBorders>
                  <w:shd w:val="clear" w:color="auto" w:fill="auto"/>
                  <w:noWrap/>
                  <w:vAlign w:val="center"/>
                  <w:hideMark/>
                </w:tcPr>
                <w:p w14:paraId="625DC021" w14:textId="77777777" w:rsidR="009A2A34" w:rsidRPr="00632F61" w:rsidRDefault="009A2A34" w:rsidP="00CC1F9E">
                  <w:pPr>
                    <w:rPr>
                      <w:rFonts w:cs="Calibri"/>
                      <w:color w:val="000000"/>
                      <w:sz w:val="20"/>
                      <w:szCs w:val="20"/>
                    </w:rPr>
                  </w:pPr>
                  <w:r w:rsidRPr="00632F61">
                    <w:rPr>
                      <w:rFonts w:cs="Calibri"/>
                      <w:color w:val="000000"/>
                      <w:sz w:val="20"/>
                      <w:szCs w:val="20"/>
                    </w:rPr>
                    <w:t>Zastropovanie cien  plynu pre domácnosti</w:t>
                  </w:r>
                </w:p>
              </w:tc>
              <w:tc>
                <w:tcPr>
                  <w:tcW w:w="958" w:type="dxa"/>
                  <w:tcBorders>
                    <w:top w:val="nil"/>
                    <w:left w:val="nil"/>
                    <w:bottom w:val="nil"/>
                    <w:right w:val="nil"/>
                  </w:tcBorders>
                  <w:shd w:val="clear" w:color="auto" w:fill="auto"/>
                  <w:noWrap/>
                  <w:vAlign w:val="center"/>
                  <w:hideMark/>
                </w:tcPr>
                <w:p w14:paraId="41A0A9B9" w14:textId="77777777" w:rsidR="009A2A34" w:rsidRPr="00632F61" w:rsidRDefault="009A2A34" w:rsidP="00CC1F9E">
                  <w:pPr>
                    <w:ind w:right="320"/>
                    <w:jc w:val="right"/>
                    <w:rPr>
                      <w:rFonts w:cs="Calibri"/>
                      <w:color w:val="000000"/>
                      <w:sz w:val="20"/>
                      <w:szCs w:val="20"/>
                    </w:rPr>
                  </w:pPr>
                  <w:r w:rsidRPr="00735F3D">
                    <w:rPr>
                      <w:rFonts w:cs="Calibri"/>
                      <w:sz w:val="20"/>
                      <w:szCs w:val="20"/>
                    </w:rPr>
                    <w:t>-1237</w:t>
                  </w:r>
                </w:p>
              </w:tc>
              <w:tc>
                <w:tcPr>
                  <w:tcW w:w="1076" w:type="dxa"/>
                  <w:tcBorders>
                    <w:top w:val="nil"/>
                    <w:left w:val="nil"/>
                    <w:bottom w:val="nil"/>
                    <w:right w:val="nil"/>
                  </w:tcBorders>
                </w:tcPr>
                <w:p w14:paraId="4B9C0216"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nil"/>
                    <w:right w:val="nil"/>
                  </w:tcBorders>
                </w:tcPr>
                <w:p w14:paraId="3B08E4B4" w14:textId="77777777" w:rsidR="009A2A34" w:rsidRPr="00735F3D" w:rsidRDefault="009A2A34" w:rsidP="00CC1F9E">
                  <w:pPr>
                    <w:ind w:right="320"/>
                    <w:jc w:val="right"/>
                    <w:rPr>
                      <w:rFonts w:cs="Calibri"/>
                      <w:color w:val="000000"/>
                      <w:sz w:val="20"/>
                      <w:szCs w:val="20"/>
                    </w:rPr>
                  </w:pPr>
                  <w:r>
                    <w:rPr>
                      <w:rFonts w:cs="Calibri"/>
                      <w:color w:val="000000"/>
                      <w:sz w:val="20"/>
                      <w:szCs w:val="20"/>
                    </w:rPr>
                    <w:t>-310</w:t>
                  </w:r>
                </w:p>
              </w:tc>
            </w:tr>
            <w:tr w:rsidR="009A2A34" w:rsidRPr="00735F3D" w14:paraId="053B0CC1" w14:textId="77777777" w:rsidTr="00CC1F9E">
              <w:trPr>
                <w:trHeight w:val="245"/>
              </w:trPr>
              <w:tc>
                <w:tcPr>
                  <w:tcW w:w="375" w:type="dxa"/>
                  <w:vMerge/>
                  <w:tcBorders>
                    <w:top w:val="nil"/>
                    <w:left w:val="nil"/>
                    <w:bottom w:val="single" w:sz="8" w:space="0" w:color="000000"/>
                    <w:right w:val="nil"/>
                  </w:tcBorders>
                  <w:vAlign w:val="center"/>
                </w:tcPr>
                <w:p w14:paraId="65D86F01" w14:textId="77777777" w:rsidR="009A2A34" w:rsidRPr="00632F61" w:rsidRDefault="009A2A34" w:rsidP="00CC1F9E">
                  <w:pPr>
                    <w:rPr>
                      <w:rFonts w:cs="Calibri"/>
                      <w:color w:val="000000"/>
                      <w:sz w:val="20"/>
                      <w:szCs w:val="20"/>
                    </w:rPr>
                  </w:pPr>
                </w:p>
              </w:tc>
              <w:tc>
                <w:tcPr>
                  <w:tcW w:w="5572" w:type="dxa"/>
                  <w:tcBorders>
                    <w:top w:val="nil"/>
                    <w:left w:val="nil"/>
                    <w:bottom w:val="nil"/>
                    <w:right w:val="nil"/>
                  </w:tcBorders>
                  <w:shd w:val="clear" w:color="auto" w:fill="auto"/>
                  <w:noWrap/>
                  <w:vAlign w:val="center"/>
                </w:tcPr>
                <w:p w14:paraId="3B275FF1" w14:textId="77777777" w:rsidR="009A2A34" w:rsidRPr="00632F61" w:rsidRDefault="009A2A34" w:rsidP="00CC1F9E">
                  <w:pPr>
                    <w:rPr>
                      <w:rFonts w:cs="Calibri"/>
                      <w:color w:val="000000"/>
                      <w:sz w:val="20"/>
                      <w:szCs w:val="20"/>
                    </w:rPr>
                  </w:pPr>
                  <w:r w:rsidRPr="00735F3D">
                    <w:rPr>
                      <w:rFonts w:cs="Calibri"/>
                      <w:color w:val="000000"/>
                      <w:sz w:val="20"/>
                      <w:szCs w:val="20"/>
                    </w:rPr>
                    <w:t>Zastropovanie cien distribučných a systémových poplatkov plynu</w:t>
                  </w:r>
                </w:p>
              </w:tc>
              <w:tc>
                <w:tcPr>
                  <w:tcW w:w="958" w:type="dxa"/>
                  <w:tcBorders>
                    <w:top w:val="nil"/>
                    <w:left w:val="nil"/>
                    <w:bottom w:val="nil"/>
                    <w:right w:val="nil"/>
                  </w:tcBorders>
                  <w:shd w:val="clear" w:color="auto" w:fill="auto"/>
                  <w:noWrap/>
                  <w:vAlign w:val="center"/>
                </w:tcPr>
                <w:p w14:paraId="70986D93" w14:textId="77777777" w:rsidR="009A2A34" w:rsidRPr="00632F61" w:rsidRDefault="009A2A34" w:rsidP="00CC1F9E">
                  <w:pPr>
                    <w:ind w:right="320"/>
                    <w:jc w:val="right"/>
                    <w:rPr>
                      <w:rFonts w:cs="Calibri"/>
                      <w:color w:val="000000"/>
                      <w:sz w:val="20"/>
                      <w:szCs w:val="20"/>
                    </w:rPr>
                  </w:pPr>
                  <w:r w:rsidRPr="00735F3D">
                    <w:rPr>
                      <w:rFonts w:cs="Calibri"/>
                      <w:sz w:val="20"/>
                      <w:szCs w:val="20"/>
                    </w:rPr>
                    <w:t>-</w:t>
                  </w:r>
                </w:p>
              </w:tc>
              <w:tc>
                <w:tcPr>
                  <w:tcW w:w="1076" w:type="dxa"/>
                  <w:tcBorders>
                    <w:top w:val="nil"/>
                    <w:left w:val="nil"/>
                    <w:bottom w:val="nil"/>
                    <w:right w:val="nil"/>
                  </w:tcBorders>
                </w:tcPr>
                <w:p w14:paraId="22B0961E"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nil"/>
                    <w:right w:val="nil"/>
                  </w:tcBorders>
                </w:tcPr>
                <w:p w14:paraId="6B7BBE29" w14:textId="77777777" w:rsidR="009A2A34" w:rsidRPr="00735F3D" w:rsidRDefault="009A2A34" w:rsidP="00CC1F9E">
                  <w:pPr>
                    <w:ind w:right="320"/>
                    <w:jc w:val="right"/>
                    <w:rPr>
                      <w:rFonts w:cs="Calibri"/>
                      <w:color w:val="000000"/>
                      <w:sz w:val="20"/>
                      <w:szCs w:val="20"/>
                    </w:rPr>
                  </w:pPr>
                  <w:r>
                    <w:rPr>
                      <w:rFonts w:cs="Calibri"/>
                      <w:color w:val="000000"/>
                      <w:sz w:val="20"/>
                      <w:szCs w:val="20"/>
                    </w:rPr>
                    <w:t>-10</w:t>
                  </w:r>
                </w:p>
              </w:tc>
            </w:tr>
            <w:tr w:rsidR="009A2A34" w:rsidRPr="00735F3D" w14:paraId="6A942070" w14:textId="77777777" w:rsidTr="00CC1F9E">
              <w:trPr>
                <w:trHeight w:val="245"/>
              </w:trPr>
              <w:tc>
                <w:tcPr>
                  <w:tcW w:w="375" w:type="dxa"/>
                  <w:vMerge/>
                  <w:tcBorders>
                    <w:top w:val="nil"/>
                    <w:left w:val="nil"/>
                    <w:bottom w:val="single" w:sz="8" w:space="0" w:color="000000"/>
                    <w:right w:val="nil"/>
                  </w:tcBorders>
                  <w:vAlign w:val="center"/>
                  <w:hideMark/>
                </w:tcPr>
                <w:p w14:paraId="45650448" w14:textId="77777777" w:rsidR="009A2A34" w:rsidRPr="00632F61" w:rsidRDefault="009A2A34" w:rsidP="00CC1F9E">
                  <w:pPr>
                    <w:rPr>
                      <w:rFonts w:cs="Calibri"/>
                      <w:color w:val="000000"/>
                      <w:sz w:val="20"/>
                      <w:szCs w:val="20"/>
                    </w:rPr>
                  </w:pPr>
                </w:p>
              </w:tc>
              <w:tc>
                <w:tcPr>
                  <w:tcW w:w="5572" w:type="dxa"/>
                  <w:tcBorders>
                    <w:top w:val="nil"/>
                    <w:left w:val="nil"/>
                    <w:bottom w:val="nil"/>
                    <w:right w:val="nil"/>
                  </w:tcBorders>
                  <w:shd w:val="clear" w:color="auto" w:fill="auto"/>
                  <w:noWrap/>
                  <w:vAlign w:val="center"/>
                  <w:hideMark/>
                </w:tcPr>
                <w:p w14:paraId="4F621286" w14:textId="77777777" w:rsidR="009A2A34" w:rsidRPr="00632F61" w:rsidRDefault="009A2A34" w:rsidP="00CC1F9E">
                  <w:pPr>
                    <w:rPr>
                      <w:rFonts w:cs="Calibri"/>
                      <w:color w:val="000000"/>
                      <w:sz w:val="20"/>
                      <w:szCs w:val="20"/>
                    </w:rPr>
                  </w:pPr>
                  <w:r w:rsidRPr="00632F61">
                    <w:rPr>
                      <w:rFonts w:cs="Calibri"/>
                      <w:color w:val="000000"/>
                      <w:sz w:val="20"/>
                      <w:szCs w:val="20"/>
                    </w:rPr>
                    <w:t>Zastropovanie cien tepla pre domácnosti</w:t>
                  </w:r>
                </w:p>
              </w:tc>
              <w:tc>
                <w:tcPr>
                  <w:tcW w:w="958" w:type="dxa"/>
                  <w:tcBorders>
                    <w:top w:val="nil"/>
                    <w:left w:val="nil"/>
                    <w:bottom w:val="nil"/>
                    <w:right w:val="nil"/>
                  </w:tcBorders>
                  <w:shd w:val="clear" w:color="auto" w:fill="auto"/>
                  <w:noWrap/>
                  <w:vAlign w:val="center"/>
                  <w:hideMark/>
                </w:tcPr>
                <w:p w14:paraId="006D8CC1" w14:textId="77777777" w:rsidR="009A2A34" w:rsidRPr="00632F61" w:rsidRDefault="009A2A34" w:rsidP="00CC1F9E">
                  <w:pPr>
                    <w:ind w:right="320"/>
                    <w:jc w:val="right"/>
                    <w:rPr>
                      <w:rFonts w:cs="Calibri"/>
                      <w:color w:val="000000"/>
                      <w:sz w:val="20"/>
                      <w:szCs w:val="20"/>
                    </w:rPr>
                  </w:pPr>
                  <w:r w:rsidRPr="00735F3D">
                    <w:rPr>
                      <w:rFonts w:cs="Calibri"/>
                      <w:sz w:val="20"/>
                      <w:szCs w:val="20"/>
                    </w:rPr>
                    <w:t>-371</w:t>
                  </w:r>
                </w:p>
              </w:tc>
              <w:tc>
                <w:tcPr>
                  <w:tcW w:w="1076" w:type="dxa"/>
                  <w:tcBorders>
                    <w:top w:val="nil"/>
                    <w:left w:val="nil"/>
                    <w:bottom w:val="nil"/>
                    <w:right w:val="nil"/>
                  </w:tcBorders>
                </w:tcPr>
                <w:p w14:paraId="05BD7513"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nil"/>
                    <w:right w:val="nil"/>
                  </w:tcBorders>
                </w:tcPr>
                <w:p w14:paraId="50410CC7" w14:textId="77777777" w:rsidR="009A2A34" w:rsidRPr="00735F3D" w:rsidRDefault="009A2A34" w:rsidP="00CC1F9E">
                  <w:pPr>
                    <w:ind w:right="320"/>
                    <w:jc w:val="right"/>
                    <w:rPr>
                      <w:rFonts w:cs="Calibri"/>
                      <w:color w:val="000000"/>
                      <w:sz w:val="20"/>
                      <w:szCs w:val="20"/>
                    </w:rPr>
                  </w:pPr>
                  <w:r>
                    <w:rPr>
                      <w:rFonts w:cs="Calibri"/>
                      <w:color w:val="000000"/>
                      <w:sz w:val="20"/>
                      <w:szCs w:val="20"/>
                    </w:rPr>
                    <w:t>-112</w:t>
                  </w:r>
                </w:p>
              </w:tc>
            </w:tr>
            <w:tr w:rsidR="009A2A34" w:rsidRPr="00735F3D" w14:paraId="2F49AE96" w14:textId="77777777" w:rsidTr="00CC1F9E">
              <w:trPr>
                <w:trHeight w:val="245"/>
              </w:trPr>
              <w:tc>
                <w:tcPr>
                  <w:tcW w:w="375" w:type="dxa"/>
                  <w:vMerge/>
                  <w:tcBorders>
                    <w:top w:val="nil"/>
                    <w:left w:val="nil"/>
                    <w:bottom w:val="single" w:sz="8" w:space="0" w:color="000000"/>
                    <w:right w:val="nil"/>
                  </w:tcBorders>
                  <w:vAlign w:val="center"/>
                  <w:hideMark/>
                </w:tcPr>
                <w:p w14:paraId="4FAD6A17" w14:textId="77777777" w:rsidR="009A2A34" w:rsidRPr="00632F61" w:rsidRDefault="009A2A34" w:rsidP="00CC1F9E">
                  <w:pPr>
                    <w:rPr>
                      <w:rFonts w:cs="Calibri"/>
                      <w:color w:val="000000"/>
                      <w:sz w:val="20"/>
                      <w:szCs w:val="20"/>
                    </w:rPr>
                  </w:pPr>
                </w:p>
              </w:tc>
              <w:tc>
                <w:tcPr>
                  <w:tcW w:w="5572" w:type="dxa"/>
                  <w:tcBorders>
                    <w:top w:val="nil"/>
                    <w:left w:val="nil"/>
                    <w:bottom w:val="nil"/>
                    <w:right w:val="nil"/>
                  </w:tcBorders>
                  <w:shd w:val="clear" w:color="auto" w:fill="auto"/>
                  <w:noWrap/>
                  <w:vAlign w:val="center"/>
                  <w:hideMark/>
                </w:tcPr>
                <w:p w14:paraId="4ACBC26E" w14:textId="77777777" w:rsidR="009A2A34" w:rsidRPr="00632F61" w:rsidRDefault="009A2A34" w:rsidP="00CC1F9E">
                  <w:pPr>
                    <w:rPr>
                      <w:rFonts w:cs="Calibri"/>
                      <w:color w:val="000000"/>
                      <w:sz w:val="20"/>
                      <w:szCs w:val="20"/>
                    </w:rPr>
                  </w:pPr>
                  <w:r w:rsidRPr="00632F61">
                    <w:rPr>
                      <w:rFonts w:cs="Calibri"/>
                      <w:color w:val="000000"/>
                      <w:sz w:val="20"/>
                      <w:szCs w:val="20"/>
                    </w:rPr>
                    <w:t>Zastropovanie cien elektriny pre dom</w:t>
                  </w:r>
                  <w:r>
                    <w:rPr>
                      <w:rFonts w:cs="Calibri"/>
                      <w:color w:val="000000"/>
                      <w:sz w:val="20"/>
                      <w:szCs w:val="20"/>
                    </w:rPr>
                    <w:t>.</w:t>
                  </w:r>
                  <w:r w:rsidRPr="00632F61">
                    <w:rPr>
                      <w:rFonts w:cs="Calibri"/>
                      <w:color w:val="000000"/>
                      <w:sz w:val="20"/>
                      <w:szCs w:val="20"/>
                    </w:rPr>
                    <w:t xml:space="preserve"> (distribučné a systémové poplatky)</w:t>
                  </w:r>
                </w:p>
              </w:tc>
              <w:tc>
                <w:tcPr>
                  <w:tcW w:w="958" w:type="dxa"/>
                  <w:tcBorders>
                    <w:top w:val="nil"/>
                    <w:left w:val="nil"/>
                    <w:bottom w:val="nil"/>
                    <w:right w:val="nil"/>
                  </w:tcBorders>
                  <w:shd w:val="clear" w:color="auto" w:fill="auto"/>
                  <w:noWrap/>
                  <w:vAlign w:val="center"/>
                  <w:hideMark/>
                </w:tcPr>
                <w:p w14:paraId="05EEDA25" w14:textId="77777777" w:rsidR="009A2A34" w:rsidRPr="00632F61" w:rsidRDefault="009A2A34" w:rsidP="00CC1F9E">
                  <w:pPr>
                    <w:ind w:right="320"/>
                    <w:jc w:val="right"/>
                    <w:rPr>
                      <w:rFonts w:cs="Calibri"/>
                      <w:color w:val="000000"/>
                      <w:sz w:val="20"/>
                      <w:szCs w:val="20"/>
                    </w:rPr>
                  </w:pPr>
                  <w:r w:rsidRPr="00735F3D">
                    <w:rPr>
                      <w:rFonts w:cs="Calibri"/>
                      <w:sz w:val="20"/>
                      <w:szCs w:val="20"/>
                    </w:rPr>
                    <w:t>-238</w:t>
                  </w:r>
                </w:p>
              </w:tc>
              <w:tc>
                <w:tcPr>
                  <w:tcW w:w="1076" w:type="dxa"/>
                  <w:tcBorders>
                    <w:top w:val="nil"/>
                    <w:left w:val="nil"/>
                    <w:bottom w:val="nil"/>
                    <w:right w:val="nil"/>
                  </w:tcBorders>
                </w:tcPr>
                <w:p w14:paraId="37336B4C"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nil"/>
                    <w:right w:val="nil"/>
                  </w:tcBorders>
                </w:tcPr>
                <w:p w14:paraId="4AA822BE" w14:textId="5DAD29C2" w:rsidR="009A2A34" w:rsidRPr="00735F3D" w:rsidRDefault="003F0435" w:rsidP="00CC1F9E">
                  <w:pPr>
                    <w:ind w:right="320"/>
                    <w:jc w:val="right"/>
                    <w:rPr>
                      <w:rFonts w:cs="Calibri"/>
                      <w:sz w:val="20"/>
                      <w:szCs w:val="20"/>
                    </w:rPr>
                  </w:pPr>
                  <w:r>
                    <w:rPr>
                      <w:rFonts w:cs="Calibri"/>
                      <w:sz w:val="20"/>
                      <w:szCs w:val="20"/>
                    </w:rPr>
                    <w:t>-</w:t>
                  </w:r>
                </w:p>
              </w:tc>
            </w:tr>
            <w:tr w:rsidR="009A2A34" w:rsidRPr="00735F3D" w14:paraId="202C7D20" w14:textId="77777777" w:rsidTr="00CC1F9E">
              <w:trPr>
                <w:trHeight w:val="255"/>
              </w:trPr>
              <w:tc>
                <w:tcPr>
                  <w:tcW w:w="375" w:type="dxa"/>
                  <w:vMerge/>
                  <w:tcBorders>
                    <w:top w:val="nil"/>
                    <w:left w:val="nil"/>
                    <w:bottom w:val="single" w:sz="8" w:space="0" w:color="000000"/>
                    <w:right w:val="nil"/>
                  </w:tcBorders>
                  <w:vAlign w:val="center"/>
                  <w:hideMark/>
                </w:tcPr>
                <w:p w14:paraId="38BB88FC" w14:textId="77777777" w:rsidR="009A2A34" w:rsidRPr="00632F61" w:rsidRDefault="009A2A34" w:rsidP="00CC1F9E">
                  <w:pPr>
                    <w:rPr>
                      <w:rFonts w:cs="Calibri"/>
                      <w:color w:val="000000"/>
                      <w:sz w:val="20"/>
                      <w:szCs w:val="20"/>
                    </w:rPr>
                  </w:pPr>
                </w:p>
              </w:tc>
              <w:tc>
                <w:tcPr>
                  <w:tcW w:w="5572" w:type="dxa"/>
                  <w:tcBorders>
                    <w:top w:val="nil"/>
                    <w:left w:val="nil"/>
                    <w:bottom w:val="single" w:sz="8" w:space="0" w:color="auto"/>
                    <w:right w:val="nil"/>
                  </w:tcBorders>
                  <w:shd w:val="clear" w:color="auto" w:fill="auto"/>
                  <w:noWrap/>
                  <w:vAlign w:val="center"/>
                  <w:hideMark/>
                </w:tcPr>
                <w:p w14:paraId="0D82F2E2" w14:textId="77777777" w:rsidR="009A2A34" w:rsidRPr="00632F61" w:rsidRDefault="009A2A34" w:rsidP="00CC1F9E">
                  <w:pPr>
                    <w:rPr>
                      <w:rFonts w:cs="Calibri"/>
                      <w:color w:val="000000"/>
                      <w:sz w:val="20"/>
                      <w:szCs w:val="20"/>
                    </w:rPr>
                  </w:pPr>
                  <w:r w:rsidRPr="00632F61">
                    <w:rPr>
                      <w:rFonts w:cs="Calibri"/>
                      <w:color w:val="000000"/>
                      <w:sz w:val="20"/>
                      <w:szCs w:val="20"/>
                    </w:rPr>
                    <w:t>Podpora vybraných zraniteľných odberateľov (plyn + elektrina)</w:t>
                  </w:r>
                </w:p>
              </w:tc>
              <w:tc>
                <w:tcPr>
                  <w:tcW w:w="958" w:type="dxa"/>
                  <w:tcBorders>
                    <w:top w:val="nil"/>
                    <w:left w:val="nil"/>
                    <w:bottom w:val="single" w:sz="8" w:space="0" w:color="auto"/>
                    <w:right w:val="nil"/>
                  </w:tcBorders>
                  <w:shd w:val="clear" w:color="auto" w:fill="auto"/>
                  <w:noWrap/>
                  <w:vAlign w:val="center"/>
                  <w:hideMark/>
                </w:tcPr>
                <w:p w14:paraId="73AC7894" w14:textId="77777777" w:rsidR="009A2A34" w:rsidRPr="00632F61" w:rsidRDefault="009A2A34" w:rsidP="00CC1F9E">
                  <w:pPr>
                    <w:ind w:right="320"/>
                    <w:jc w:val="right"/>
                    <w:rPr>
                      <w:rFonts w:cs="Calibri"/>
                      <w:color w:val="000000"/>
                      <w:sz w:val="20"/>
                      <w:szCs w:val="20"/>
                    </w:rPr>
                  </w:pPr>
                  <w:r w:rsidRPr="00735F3D">
                    <w:rPr>
                      <w:rFonts w:cs="Calibri"/>
                      <w:color w:val="000000"/>
                      <w:sz w:val="20"/>
                      <w:szCs w:val="20"/>
                    </w:rPr>
                    <w:t>-76</w:t>
                  </w:r>
                </w:p>
              </w:tc>
              <w:tc>
                <w:tcPr>
                  <w:tcW w:w="1076" w:type="dxa"/>
                  <w:tcBorders>
                    <w:top w:val="nil"/>
                    <w:left w:val="nil"/>
                    <w:bottom w:val="single" w:sz="8" w:space="0" w:color="auto"/>
                    <w:right w:val="nil"/>
                  </w:tcBorders>
                </w:tcPr>
                <w:p w14:paraId="3A9AB39C" w14:textId="77777777" w:rsidR="009A2A34" w:rsidRPr="00632F61" w:rsidRDefault="009A2A34" w:rsidP="00CC1F9E">
                  <w:pPr>
                    <w:ind w:right="320"/>
                    <w:jc w:val="right"/>
                    <w:rPr>
                      <w:rFonts w:cs="Calibri"/>
                      <w:color w:val="000000"/>
                      <w:sz w:val="20"/>
                      <w:szCs w:val="20"/>
                    </w:rPr>
                  </w:pPr>
                  <w:r w:rsidRPr="00164A17">
                    <w:rPr>
                      <w:rFonts w:cs="Calibri"/>
                      <w:sz w:val="20"/>
                      <w:szCs w:val="20"/>
                    </w:rPr>
                    <w:t>-</w:t>
                  </w:r>
                </w:p>
              </w:tc>
              <w:tc>
                <w:tcPr>
                  <w:tcW w:w="1017" w:type="dxa"/>
                  <w:tcBorders>
                    <w:top w:val="nil"/>
                    <w:left w:val="nil"/>
                    <w:bottom w:val="single" w:sz="8" w:space="0" w:color="auto"/>
                    <w:right w:val="nil"/>
                  </w:tcBorders>
                </w:tcPr>
                <w:p w14:paraId="5BE94C99" w14:textId="77777777" w:rsidR="009A2A34" w:rsidRPr="00735F3D" w:rsidRDefault="009A2A34" w:rsidP="00CC1F9E">
                  <w:pPr>
                    <w:ind w:right="320"/>
                    <w:jc w:val="right"/>
                    <w:rPr>
                      <w:rFonts w:cs="Calibri"/>
                      <w:color w:val="000000"/>
                      <w:sz w:val="20"/>
                      <w:szCs w:val="20"/>
                    </w:rPr>
                  </w:pPr>
                  <w:r>
                    <w:rPr>
                      <w:rFonts w:cs="Calibri"/>
                      <w:color w:val="000000"/>
                      <w:sz w:val="20"/>
                      <w:szCs w:val="20"/>
                    </w:rPr>
                    <w:t>-1</w:t>
                  </w:r>
                </w:p>
              </w:tc>
            </w:tr>
            <w:tr w:rsidR="009A2A34" w:rsidRPr="00735F3D" w14:paraId="00D9F2C7" w14:textId="77777777" w:rsidTr="00CC1F9E">
              <w:trPr>
                <w:trHeight w:val="245"/>
              </w:trPr>
              <w:tc>
                <w:tcPr>
                  <w:tcW w:w="375" w:type="dxa"/>
                  <w:vMerge w:val="restart"/>
                  <w:tcBorders>
                    <w:top w:val="single" w:sz="4" w:space="0" w:color="auto"/>
                    <w:left w:val="nil"/>
                    <w:bottom w:val="single" w:sz="8" w:space="0" w:color="000000"/>
                    <w:right w:val="nil"/>
                  </w:tcBorders>
                  <w:shd w:val="clear" w:color="auto" w:fill="auto"/>
                  <w:noWrap/>
                  <w:textDirection w:val="btLr"/>
                  <w:vAlign w:val="center"/>
                  <w:hideMark/>
                </w:tcPr>
                <w:p w14:paraId="65C8EB8C" w14:textId="77777777" w:rsidR="009A2A34" w:rsidRPr="00632F61" w:rsidRDefault="009A2A34" w:rsidP="00CC1F9E">
                  <w:pPr>
                    <w:jc w:val="center"/>
                    <w:rPr>
                      <w:rFonts w:cs="Calibri"/>
                      <w:color w:val="000000"/>
                      <w:sz w:val="20"/>
                      <w:szCs w:val="20"/>
                    </w:rPr>
                  </w:pPr>
                  <w:r w:rsidRPr="00632F61">
                    <w:rPr>
                      <w:rFonts w:cs="Calibri"/>
                      <w:color w:val="000000"/>
                      <w:sz w:val="20"/>
                      <w:szCs w:val="20"/>
                    </w:rPr>
                    <w:t>Zdroje krytia</w:t>
                  </w:r>
                </w:p>
              </w:tc>
              <w:tc>
                <w:tcPr>
                  <w:tcW w:w="5572" w:type="dxa"/>
                  <w:tcBorders>
                    <w:top w:val="nil"/>
                    <w:left w:val="nil"/>
                    <w:bottom w:val="nil"/>
                    <w:right w:val="nil"/>
                  </w:tcBorders>
                  <w:shd w:val="clear" w:color="auto" w:fill="auto"/>
                  <w:noWrap/>
                  <w:vAlign w:val="center"/>
                  <w:hideMark/>
                </w:tcPr>
                <w:p w14:paraId="6801392B" w14:textId="6CBB9E2F" w:rsidR="009A2A34" w:rsidRPr="00632F61" w:rsidRDefault="009A2A34" w:rsidP="00CC1F9E">
                  <w:pPr>
                    <w:rPr>
                      <w:rFonts w:cs="Calibri"/>
                      <w:color w:val="000000"/>
                      <w:sz w:val="20"/>
                      <w:szCs w:val="20"/>
                    </w:rPr>
                  </w:pPr>
                  <w:r w:rsidRPr="00632F61">
                    <w:rPr>
                      <w:rFonts w:cs="Calibri"/>
                      <w:color w:val="000000"/>
                      <w:sz w:val="20"/>
                      <w:szCs w:val="20"/>
                    </w:rPr>
                    <w:t>Preplatenie nákladov schém z nevyužitých fondov</w:t>
                  </w:r>
                  <w:r w:rsidR="000A22C5">
                    <w:rPr>
                      <w:rFonts w:cs="Calibri"/>
                      <w:color w:val="000000"/>
                      <w:sz w:val="20"/>
                      <w:szCs w:val="20"/>
                    </w:rPr>
                    <w:t xml:space="preserve"> EÚ</w:t>
                  </w:r>
                </w:p>
              </w:tc>
              <w:tc>
                <w:tcPr>
                  <w:tcW w:w="958" w:type="dxa"/>
                  <w:tcBorders>
                    <w:top w:val="nil"/>
                    <w:left w:val="nil"/>
                    <w:bottom w:val="nil"/>
                    <w:right w:val="nil"/>
                  </w:tcBorders>
                  <w:shd w:val="clear" w:color="auto" w:fill="auto"/>
                  <w:noWrap/>
                  <w:vAlign w:val="center"/>
                  <w:hideMark/>
                </w:tcPr>
                <w:p w14:paraId="11FB0243" w14:textId="77777777" w:rsidR="009A2A34" w:rsidRPr="00632F61" w:rsidRDefault="009A2A34" w:rsidP="00CC1F9E">
                  <w:pPr>
                    <w:ind w:right="320"/>
                    <w:jc w:val="right"/>
                    <w:rPr>
                      <w:rFonts w:cs="Calibri"/>
                      <w:color w:val="000000"/>
                      <w:sz w:val="20"/>
                      <w:szCs w:val="20"/>
                    </w:rPr>
                  </w:pPr>
                  <w:r w:rsidRPr="00735F3D">
                    <w:rPr>
                      <w:rFonts w:cs="Calibri"/>
                      <w:color w:val="000000"/>
                      <w:sz w:val="20"/>
                      <w:szCs w:val="20"/>
                    </w:rPr>
                    <w:t>937</w:t>
                  </w:r>
                </w:p>
              </w:tc>
              <w:tc>
                <w:tcPr>
                  <w:tcW w:w="1076" w:type="dxa"/>
                  <w:tcBorders>
                    <w:top w:val="nil"/>
                    <w:left w:val="nil"/>
                    <w:bottom w:val="nil"/>
                    <w:right w:val="nil"/>
                  </w:tcBorders>
                  <w:vAlign w:val="center"/>
                </w:tcPr>
                <w:p w14:paraId="65927D6F" w14:textId="77777777" w:rsidR="009A2A34" w:rsidRPr="00632F61" w:rsidRDefault="009A2A34" w:rsidP="00CC1F9E">
                  <w:pPr>
                    <w:ind w:right="320"/>
                    <w:jc w:val="right"/>
                    <w:rPr>
                      <w:rFonts w:cs="Calibri"/>
                      <w:color w:val="000000"/>
                      <w:sz w:val="20"/>
                      <w:szCs w:val="20"/>
                    </w:rPr>
                  </w:pPr>
                  <w:r w:rsidRPr="00735F3D">
                    <w:rPr>
                      <w:rFonts w:cs="Calibri"/>
                      <w:sz w:val="20"/>
                      <w:szCs w:val="20"/>
                    </w:rPr>
                    <w:t>-</w:t>
                  </w:r>
                </w:p>
              </w:tc>
              <w:tc>
                <w:tcPr>
                  <w:tcW w:w="1017" w:type="dxa"/>
                  <w:tcBorders>
                    <w:top w:val="nil"/>
                    <w:left w:val="nil"/>
                    <w:bottom w:val="nil"/>
                    <w:right w:val="nil"/>
                  </w:tcBorders>
                </w:tcPr>
                <w:p w14:paraId="3FE2F4E6" w14:textId="77777777" w:rsidR="009A2A34" w:rsidRPr="00632F61" w:rsidRDefault="009A2A34" w:rsidP="00CC1F9E">
                  <w:pPr>
                    <w:ind w:right="320"/>
                    <w:jc w:val="right"/>
                    <w:rPr>
                      <w:rFonts w:cs="Calibri"/>
                      <w:color w:val="000000"/>
                      <w:sz w:val="20"/>
                      <w:szCs w:val="20"/>
                    </w:rPr>
                  </w:pPr>
                  <w:r w:rsidRPr="00201789">
                    <w:rPr>
                      <w:rFonts w:cs="Calibri"/>
                      <w:sz w:val="20"/>
                      <w:szCs w:val="20"/>
                    </w:rPr>
                    <w:t>-</w:t>
                  </w:r>
                </w:p>
              </w:tc>
            </w:tr>
            <w:tr w:rsidR="009A2A34" w:rsidRPr="00735F3D" w14:paraId="76BCB8B9" w14:textId="77777777" w:rsidTr="00CC1F9E">
              <w:trPr>
                <w:trHeight w:val="245"/>
              </w:trPr>
              <w:tc>
                <w:tcPr>
                  <w:tcW w:w="375" w:type="dxa"/>
                  <w:vMerge/>
                  <w:tcBorders>
                    <w:top w:val="nil"/>
                    <w:left w:val="nil"/>
                    <w:bottom w:val="single" w:sz="8" w:space="0" w:color="000000"/>
                    <w:right w:val="nil"/>
                  </w:tcBorders>
                  <w:vAlign w:val="center"/>
                  <w:hideMark/>
                </w:tcPr>
                <w:p w14:paraId="444359E4" w14:textId="77777777" w:rsidR="009A2A34" w:rsidRPr="00632F61" w:rsidRDefault="009A2A34" w:rsidP="00CC1F9E">
                  <w:pPr>
                    <w:rPr>
                      <w:rFonts w:cs="Calibri"/>
                      <w:color w:val="000000"/>
                      <w:sz w:val="20"/>
                      <w:szCs w:val="20"/>
                    </w:rPr>
                  </w:pPr>
                </w:p>
              </w:tc>
              <w:tc>
                <w:tcPr>
                  <w:tcW w:w="5572" w:type="dxa"/>
                  <w:tcBorders>
                    <w:top w:val="nil"/>
                    <w:left w:val="nil"/>
                    <w:bottom w:val="nil"/>
                    <w:right w:val="nil"/>
                  </w:tcBorders>
                  <w:shd w:val="clear" w:color="auto" w:fill="auto"/>
                  <w:noWrap/>
                  <w:vAlign w:val="center"/>
                  <w:hideMark/>
                </w:tcPr>
                <w:p w14:paraId="66DC5000" w14:textId="77777777" w:rsidR="009A2A34" w:rsidRPr="00632F61" w:rsidRDefault="009A2A34" w:rsidP="00CC1F9E">
                  <w:pPr>
                    <w:rPr>
                      <w:rFonts w:cs="Calibri"/>
                      <w:color w:val="000000"/>
                      <w:sz w:val="20"/>
                      <w:szCs w:val="20"/>
                    </w:rPr>
                  </w:pPr>
                  <w:r w:rsidRPr="00632F61">
                    <w:rPr>
                      <w:rFonts w:cs="Calibri"/>
                      <w:color w:val="000000"/>
                      <w:sz w:val="20"/>
                      <w:szCs w:val="20"/>
                    </w:rPr>
                    <w:t>Dočasné príjmy z nariadenia EÚ ohľadom nadmerných ziskov</w:t>
                  </w:r>
                </w:p>
              </w:tc>
              <w:tc>
                <w:tcPr>
                  <w:tcW w:w="958" w:type="dxa"/>
                  <w:tcBorders>
                    <w:top w:val="nil"/>
                    <w:left w:val="nil"/>
                    <w:bottom w:val="nil"/>
                    <w:right w:val="nil"/>
                  </w:tcBorders>
                  <w:shd w:val="clear" w:color="auto" w:fill="auto"/>
                  <w:noWrap/>
                  <w:vAlign w:val="center"/>
                  <w:hideMark/>
                </w:tcPr>
                <w:p w14:paraId="2CF602F1" w14:textId="77777777" w:rsidR="009A2A34" w:rsidRPr="00632F61" w:rsidRDefault="009A2A34" w:rsidP="00CC1F9E">
                  <w:pPr>
                    <w:ind w:right="320"/>
                    <w:jc w:val="right"/>
                    <w:rPr>
                      <w:rFonts w:cs="Calibri"/>
                      <w:color w:val="000000"/>
                      <w:sz w:val="20"/>
                      <w:szCs w:val="20"/>
                    </w:rPr>
                  </w:pPr>
                  <w:r w:rsidRPr="00735F3D">
                    <w:rPr>
                      <w:rFonts w:cs="Calibri"/>
                      <w:color w:val="000000"/>
                      <w:sz w:val="20"/>
                      <w:szCs w:val="20"/>
                    </w:rPr>
                    <w:t>329</w:t>
                  </w:r>
                </w:p>
              </w:tc>
              <w:tc>
                <w:tcPr>
                  <w:tcW w:w="1076" w:type="dxa"/>
                  <w:tcBorders>
                    <w:top w:val="nil"/>
                    <w:left w:val="nil"/>
                    <w:bottom w:val="nil"/>
                    <w:right w:val="nil"/>
                  </w:tcBorders>
                  <w:vAlign w:val="center"/>
                </w:tcPr>
                <w:p w14:paraId="74DBA373" w14:textId="77777777" w:rsidR="009A2A34" w:rsidRPr="00632F61" w:rsidRDefault="009A2A34" w:rsidP="00CC1F9E">
                  <w:pPr>
                    <w:ind w:right="320"/>
                    <w:jc w:val="right"/>
                    <w:rPr>
                      <w:rFonts w:cs="Calibri"/>
                      <w:color w:val="000000"/>
                      <w:sz w:val="20"/>
                      <w:szCs w:val="20"/>
                    </w:rPr>
                  </w:pPr>
                  <w:r w:rsidRPr="00735F3D">
                    <w:rPr>
                      <w:rFonts w:cs="Calibri"/>
                      <w:color w:val="000000"/>
                      <w:sz w:val="20"/>
                      <w:szCs w:val="20"/>
                    </w:rPr>
                    <w:t>129</w:t>
                  </w:r>
                </w:p>
              </w:tc>
              <w:tc>
                <w:tcPr>
                  <w:tcW w:w="1017" w:type="dxa"/>
                  <w:tcBorders>
                    <w:top w:val="nil"/>
                    <w:left w:val="nil"/>
                    <w:bottom w:val="nil"/>
                    <w:right w:val="nil"/>
                  </w:tcBorders>
                </w:tcPr>
                <w:p w14:paraId="291A730E" w14:textId="77777777" w:rsidR="009A2A34" w:rsidRPr="00735F3D" w:rsidRDefault="009A2A34" w:rsidP="00CC1F9E">
                  <w:pPr>
                    <w:ind w:right="320"/>
                    <w:jc w:val="right"/>
                    <w:rPr>
                      <w:rFonts w:cs="Calibri"/>
                      <w:color w:val="000000"/>
                      <w:sz w:val="20"/>
                      <w:szCs w:val="20"/>
                    </w:rPr>
                  </w:pPr>
                  <w:r w:rsidRPr="00201789">
                    <w:rPr>
                      <w:rFonts w:cs="Calibri"/>
                      <w:sz w:val="20"/>
                      <w:szCs w:val="20"/>
                    </w:rPr>
                    <w:t>-</w:t>
                  </w:r>
                </w:p>
              </w:tc>
            </w:tr>
            <w:tr w:rsidR="009A2A34" w:rsidRPr="00735F3D" w14:paraId="6B686CA8" w14:textId="77777777" w:rsidTr="00CC1F9E">
              <w:trPr>
                <w:trHeight w:val="245"/>
              </w:trPr>
              <w:tc>
                <w:tcPr>
                  <w:tcW w:w="375" w:type="dxa"/>
                  <w:vMerge/>
                  <w:tcBorders>
                    <w:top w:val="nil"/>
                    <w:left w:val="nil"/>
                    <w:bottom w:val="single" w:sz="8" w:space="0" w:color="000000"/>
                    <w:right w:val="nil"/>
                  </w:tcBorders>
                  <w:vAlign w:val="center"/>
                  <w:hideMark/>
                </w:tcPr>
                <w:p w14:paraId="41078CD7" w14:textId="77777777" w:rsidR="009A2A34" w:rsidRPr="00632F61" w:rsidRDefault="009A2A34" w:rsidP="00CC1F9E">
                  <w:pPr>
                    <w:rPr>
                      <w:rFonts w:cs="Calibri"/>
                      <w:color w:val="000000"/>
                      <w:sz w:val="20"/>
                      <w:szCs w:val="20"/>
                    </w:rPr>
                  </w:pPr>
                </w:p>
              </w:tc>
              <w:tc>
                <w:tcPr>
                  <w:tcW w:w="5572" w:type="dxa"/>
                  <w:tcBorders>
                    <w:top w:val="nil"/>
                    <w:left w:val="nil"/>
                    <w:bottom w:val="nil"/>
                    <w:right w:val="nil"/>
                  </w:tcBorders>
                  <w:shd w:val="clear" w:color="auto" w:fill="auto"/>
                  <w:noWrap/>
                  <w:vAlign w:val="center"/>
                  <w:hideMark/>
                </w:tcPr>
                <w:p w14:paraId="59B2E2DB" w14:textId="77777777" w:rsidR="009A2A34" w:rsidRPr="00632F61" w:rsidRDefault="009A2A34" w:rsidP="00CC1F9E">
                  <w:pPr>
                    <w:rPr>
                      <w:rFonts w:cs="Calibri"/>
                      <w:color w:val="000000"/>
                      <w:sz w:val="20"/>
                      <w:szCs w:val="20"/>
                    </w:rPr>
                  </w:pPr>
                  <w:r w:rsidRPr="00632F61">
                    <w:rPr>
                      <w:rFonts w:cs="Calibri"/>
                      <w:color w:val="000000"/>
                      <w:sz w:val="20"/>
                      <w:szCs w:val="20"/>
                    </w:rPr>
                    <w:t>Cenové stropy pre výrobcov elektrickej energie</w:t>
                  </w:r>
                </w:p>
              </w:tc>
              <w:tc>
                <w:tcPr>
                  <w:tcW w:w="958" w:type="dxa"/>
                  <w:tcBorders>
                    <w:top w:val="nil"/>
                    <w:left w:val="nil"/>
                    <w:bottom w:val="nil"/>
                    <w:right w:val="nil"/>
                  </w:tcBorders>
                  <w:shd w:val="clear" w:color="auto" w:fill="auto"/>
                  <w:noWrap/>
                  <w:vAlign w:val="center"/>
                  <w:hideMark/>
                </w:tcPr>
                <w:p w14:paraId="3EB5C1BA" w14:textId="77777777" w:rsidR="009A2A34" w:rsidRPr="00632F61" w:rsidRDefault="009A2A34" w:rsidP="00CC1F9E">
                  <w:pPr>
                    <w:ind w:right="320"/>
                    <w:jc w:val="right"/>
                    <w:rPr>
                      <w:rFonts w:cs="Calibri"/>
                      <w:color w:val="000000"/>
                      <w:sz w:val="20"/>
                      <w:szCs w:val="20"/>
                    </w:rPr>
                  </w:pPr>
                  <w:r w:rsidRPr="00735F3D">
                    <w:rPr>
                      <w:rFonts w:cs="Calibri"/>
                      <w:color w:val="000000"/>
                      <w:sz w:val="20"/>
                      <w:szCs w:val="20"/>
                    </w:rPr>
                    <w:t>30</w:t>
                  </w:r>
                </w:p>
              </w:tc>
              <w:tc>
                <w:tcPr>
                  <w:tcW w:w="1076" w:type="dxa"/>
                  <w:tcBorders>
                    <w:top w:val="nil"/>
                    <w:left w:val="nil"/>
                    <w:bottom w:val="nil"/>
                    <w:right w:val="nil"/>
                  </w:tcBorders>
                  <w:vAlign w:val="center"/>
                </w:tcPr>
                <w:p w14:paraId="5DD5D210" w14:textId="77777777" w:rsidR="009A2A34" w:rsidRPr="00632F61" w:rsidRDefault="009A2A34" w:rsidP="00CC1F9E">
                  <w:pPr>
                    <w:ind w:right="320"/>
                    <w:jc w:val="right"/>
                    <w:rPr>
                      <w:rFonts w:cs="Calibri"/>
                      <w:color w:val="000000"/>
                      <w:sz w:val="20"/>
                      <w:szCs w:val="20"/>
                    </w:rPr>
                  </w:pPr>
                  <w:r w:rsidRPr="00735F3D">
                    <w:rPr>
                      <w:rFonts w:cs="Calibri"/>
                      <w:color w:val="000000"/>
                      <w:sz w:val="20"/>
                      <w:szCs w:val="20"/>
                    </w:rPr>
                    <w:t>5</w:t>
                  </w:r>
                </w:p>
              </w:tc>
              <w:tc>
                <w:tcPr>
                  <w:tcW w:w="1017" w:type="dxa"/>
                  <w:tcBorders>
                    <w:top w:val="nil"/>
                    <w:left w:val="nil"/>
                    <w:bottom w:val="nil"/>
                    <w:right w:val="nil"/>
                  </w:tcBorders>
                </w:tcPr>
                <w:p w14:paraId="6EE89351" w14:textId="77777777" w:rsidR="009A2A34" w:rsidRPr="00735F3D" w:rsidRDefault="009A2A34" w:rsidP="00CC1F9E">
                  <w:pPr>
                    <w:ind w:right="320"/>
                    <w:jc w:val="right"/>
                    <w:rPr>
                      <w:rFonts w:cs="Calibri"/>
                      <w:color w:val="000000"/>
                      <w:sz w:val="20"/>
                      <w:szCs w:val="20"/>
                    </w:rPr>
                  </w:pPr>
                  <w:r w:rsidRPr="00201789">
                    <w:rPr>
                      <w:rFonts w:cs="Calibri"/>
                      <w:sz w:val="20"/>
                      <w:szCs w:val="20"/>
                    </w:rPr>
                    <w:t>-</w:t>
                  </w:r>
                </w:p>
              </w:tc>
            </w:tr>
            <w:tr w:rsidR="009A2A34" w:rsidRPr="00B23F05" w14:paraId="69EB3E75" w14:textId="77777777" w:rsidTr="00CC1F9E">
              <w:trPr>
                <w:trHeight w:val="255"/>
              </w:trPr>
              <w:tc>
                <w:tcPr>
                  <w:tcW w:w="375" w:type="dxa"/>
                  <w:vMerge/>
                  <w:tcBorders>
                    <w:top w:val="nil"/>
                    <w:left w:val="nil"/>
                    <w:bottom w:val="single" w:sz="8" w:space="0" w:color="000000"/>
                    <w:right w:val="nil"/>
                  </w:tcBorders>
                  <w:vAlign w:val="center"/>
                  <w:hideMark/>
                </w:tcPr>
                <w:p w14:paraId="201D47F8" w14:textId="77777777" w:rsidR="009A2A34" w:rsidRPr="00632F61" w:rsidRDefault="009A2A34" w:rsidP="00CC1F9E">
                  <w:pPr>
                    <w:rPr>
                      <w:rFonts w:cs="Calibri"/>
                      <w:color w:val="000000"/>
                      <w:sz w:val="20"/>
                      <w:szCs w:val="20"/>
                    </w:rPr>
                  </w:pPr>
                </w:p>
              </w:tc>
              <w:tc>
                <w:tcPr>
                  <w:tcW w:w="5572" w:type="dxa"/>
                  <w:tcBorders>
                    <w:top w:val="nil"/>
                    <w:left w:val="nil"/>
                    <w:bottom w:val="single" w:sz="8" w:space="0" w:color="auto"/>
                    <w:right w:val="nil"/>
                  </w:tcBorders>
                  <w:shd w:val="clear" w:color="auto" w:fill="auto"/>
                  <w:noWrap/>
                  <w:vAlign w:val="center"/>
                  <w:hideMark/>
                </w:tcPr>
                <w:p w14:paraId="1E5EADF7" w14:textId="77777777" w:rsidR="009A2A34" w:rsidRPr="00632F61" w:rsidRDefault="009A2A34" w:rsidP="00CC1F9E">
                  <w:pPr>
                    <w:rPr>
                      <w:rFonts w:cs="Calibri"/>
                      <w:color w:val="000000"/>
                      <w:sz w:val="20"/>
                      <w:szCs w:val="20"/>
                    </w:rPr>
                  </w:pPr>
                  <w:r w:rsidRPr="00632F61">
                    <w:rPr>
                      <w:rFonts w:cs="Calibri"/>
                      <w:color w:val="000000"/>
                      <w:sz w:val="20"/>
                      <w:szCs w:val="20"/>
                    </w:rPr>
                    <w:t xml:space="preserve">Dočasné príjmy z osobitného odvodu pre Vodohospodársku výstavbu </w:t>
                  </w:r>
                </w:p>
              </w:tc>
              <w:tc>
                <w:tcPr>
                  <w:tcW w:w="958" w:type="dxa"/>
                  <w:tcBorders>
                    <w:top w:val="nil"/>
                    <w:left w:val="nil"/>
                    <w:bottom w:val="single" w:sz="8" w:space="0" w:color="auto"/>
                    <w:right w:val="nil"/>
                  </w:tcBorders>
                  <w:shd w:val="clear" w:color="auto" w:fill="auto"/>
                  <w:noWrap/>
                  <w:vAlign w:val="center"/>
                  <w:hideMark/>
                </w:tcPr>
                <w:p w14:paraId="3144B167" w14:textId="77777777" w:rsidR="009A2A34" w:rsidRPr="00502292" w:rsidRDefault="009A2A34" w:rsidP="00CC1F9E">
                  <w:pPr>
                    <w:ind w:right="320"/>
                    <w:jc w:val="right"/>
                    <w:rPr>
                      <w:rFonts w:cs="Calibri"/>
                      <w:color w:val="000000"/>
                      <w:sz w:val="20"/>
                      <w:szCs w:val="20"/>
                    </w:rPr>
                  </w:pPr>
                  <w:r w:rsidRPr="00502292">
                    <w:rPr>
                      <w:rFonts w:cs="Calibri"/>
                      <w:color w:val="000000"/>
                      <w:sz w:val="20"/>
                      <w:szCs w:val="20"/>
                    </w:rPr>
                    <w:t>152</w:t>
                  </w:r>
                </w:p>
              </w:tc>
              <w:tc>
                <w:tcPr>
                  <w:tcW w:w="1076" w:type="dxa"/>
                  <w:tcBorders>
                    <w:top w:val="nil"/>
                    <w:left w:val="nil"/>
                    <w:bottom w:val="single" w:sz="8" w:space="0" w:color="auto"/>
                    <w:right w:val="nil"/>
                  </w:tcBorders>
                  <w:vAlign w:val="center"/>
                </w:tcPr>
                <w:p w14:paraId="335679A3" w14:textId="77777777" w:rsidR="009A2A34" w:rsidRPr="00820EFB" w:rsidRDefault="009A2A34" w:rsidP="00CC1F9E">
                  <w:pPr>
                    <w:ind w:right="320"/>
                    <w:jc w:val="right"/>
                    <w:rPr>
                      <w:rFonts w:cs="Calibri"/>
                      <w:color w:val="000000"/>
                      <w:sz w:val="20"/>
                      <w:szCs w:val="20"/>
                    </w:rPr>
                  </w:pPr>
                  <w:r w:rsidRPr="00820EFB">
                    <w:rPr>
                      <w:rFonts w:cs="Calibri"/>
                      <w:color w:val="000000"/>
                      <w:sz w:val="20"/>
                      <w:szCs w:val="20"/>
                    </w:rPr>
                    <w:t>83</w:t>
                  </w:r>
                </w:p>
              </w:tc>
              <w:tc>
                <w:tcPr>
                  <w:tcW w:w="1017" w:type="dxa"/>
                  <w:tcBorders>
                    <w:top w:val="nil"/>
                    <w:left w:val="nil"/>
                    <w:bottom w:val="single" w:sz="8" w:space="0" w:color="auto"/>
                    <w:right w:val="nil"/>
                  </w:tcBorders>
                </w:tcPr>
                <w:p w14:paraId="1785250E" w14:textId="77777777" w:rsidR="009A2A34" w:rsidRPr="00632F61" w:rsidRDefault="009A2A34" w:rsidP="00CC1F9E">
                  <w:pPr>
                    <w:ind w:right="320"/>
                    <w:jc w:val="right"/>
                    <w:rPr>
                      <w:rFonts w:cs="Calibri"/>
                      <w:color w:val="000000"/>
                      <w:sz w:val="20"/>
                      <w:szCs w:val="20"/>
                      <w:highlight w:val="yellow"/>
                    </w:rPr>
                  </w:pPr>
                  <w:r w:rsidRPr="00201789">
                    <w:rPr>
                      <w:rFonts w:cs="Calibri"/>
                      <w:sz w:val="20"/>
                      <w:szCs w:val="20"/>
                    </w:rPr>
                    <w:t>-</w:t>
                  </w:r>
                </w:p>
              </w:tc>
            </w:tr>
            <w:tr w:rsidR="009A2A34" w:rsidRPr="00B23F05" w14:paraId="45D3FB50" w14:textId="77777777" w:rsidTr="00CC1F9E">
              <w:trPr>
                <w:trHeight w:val="255"/>
              </w:trPr>
              <w:tc>
                <w:tcPr>
                  <w:tcW w:w="375" w:type="dxa"/>
                  <w:tcBorders>
                    <w:top w:val="nil"/>
                    <w:left w:val="nil"/>
                    <w:bottom w:val="single" w:sz="8" w:space="0" w:color="auto"/>
                    <w:right w:val="nil"/>
                  </w:tcBorders>
                  <w:shd w:val="clear" w:color="auto" w:fill="auto"/>
                  <w:noWrap/>
                  <w:textDirection w:val="btLr"/>
                  <w:vAlign w:val="center"/>
                  <w:hideMark/>
                </w:tcPr>
                <w:p w14:paraId="00C80D70" w14:textId="77777777" w:rsidR="009A2A34" w:rsidRPr="00632F61" w:rsidRDefault="009A2A34" w:rsidP="00CC1F9E">
                  <w:pPr>
                    <w:rPr>
                      <w:rFonts w:cs="Calibri"/>
                      <w:color w:val="000000"/>
                      <w:sz w:val="20"/>
                      <w:szCs w:val="20"/>
                    </w:rPr>
                  </w:pPr>
                  <w:r w:rsidRPr="00632F61">
                    <w:rPr>
                      <w:rFonts w:cs="Calibri"/>
                      <w:color w:val="000000"/>
                      <w:sz w:val="20"/>
                      <w:szCs w:val="20"/>
                    </w:rPr>
                    <w:t> </w:t>
                  </w:r>
                </w:p>
              </w:tc>
              <w:tc>
                <w:tcPr>
                  <w:tcW w:w="5572" w:type="dxa"/>
                  <w:tcBorders>
                    <w:top w:val="nil"/>
                    <w:left w:val="nil"/>
                    <w:bottom w:val="single" w:sz="8" w:space="0" w:color="auto"/>
                    <w:right w:val="nil"/>
                  </w:tcBorders>
                  <w:shd w:val="clear" w:color="auto" w:fill="auto"/>
                  <w:noWrap/>
                  <w:vAlign w:val="center"/>
                  <w:hideMark/>
                </w:tcPr>
                <w:p w14:paraId="15B829A1" w14:textId="77777777" w:rsidR="009A2A34" w:rsidRPr="00632F61" w:rsidRDefault="009A2A34" w:rsidP="00CC1F9E">
                  <w:pPr>
                    <w:rPr>
                      <w:rFonts w:cs="Calibri"/>
                      <w:b/>
                      <w:bCs/>
                      <w:color w:val="000000"/>
                      <w:sz w:val="20"/>
                      <w:szCs w:val="20"/>
                    </w:rPr>
                  </w:pPr>
                  <w:r w:rsidRPr="00632F61">
                    <w:rPr>
                      <w:rFonts w:cs="Calibri"/>
                      <w:b/>
                      <w:bCs/>
                      <w:color w:val="000000"/>
                      <w:sz w:val="20"/>
                      <w:szCs w:val="20"/>
                    </w:rPr>
                    <w:t>Spolu</w:t>
                  </w:r>
                  <w:r>
                    <w:rPr>
                      <w:rFonts w:cs="Calibri"/>
                      <w:b/>
                      <w:bCs/>
                      <w:color w:val="000000"/>
                      <w:sz w:val="20"/>
                      <w:szCs w:val="20"/>
                    </w:rPr>
                    <w:t xml:space="preserve"> čistý vplyv</w:t>
                  </w:r>
                </w:p>
              </w:tc>
              <w:tc>
                <w:tcPr>
                  <w:tcW w:w="958" w:type="dxa"/>
                  <w:tcBorders>
                    <w:top w:val="nil"/>
                    <w:left w:val="nil"/>
                    <w:bottom w:val="single" w:sz="8" w:space="0" w:color="auto"/>
                    <w:right w:val="nil"/>
                  </w:tcBorders>
                  <w:shd w:val="clear" w:color="auto" w:fill="auto"/>
                  <w:noWrap/>
                  <w:vAlign w:val="center"/>
                  <w:hideMark/>
                </w:tcPr>
                <w:p w14:paraId="5521B1D9" w14:textId="77777777" w:rsidR="009A2A34" w:rsidRPr="00502292" w:rsidRDefault="009A2A34" w:rsidP="00CC1F9E">
                  <w:pPr>
                    <w:ind w:right="320"/>
                    <w:jc w:val="right"/>
                    <w:rPr>
                      <w:rFonts w:cs="Calibri"/>
                      <w:b/>
                      <w:bCs/>
                      <w:color w:val="000000"/>
                      <w:sz w:val="20"/>
                      <w:szCs w:val="20"/>
                    </w:rPr>
                  </w:pPr>
                  <w:r w:rsidRPr="00502292">
                    <w:rPr>
                      <w:rFonts w:cs="Calibri"/>
                      <w:b/>
                      <w:bCs/>
                      <w:color w:val="000000"/>
                      <w:sz w:val="20"/>
                      <w:szCs w:val="20"/>
                    </w:rPr>
                    <w:t>-2032</w:t>
                  </w:r>
                </w:p>
              </w:tc>
              <w:tc>
                <w:tcPr>
                  <w:tcW w:w="1076" w:type="dxa"/>
                  <w:tcBorders>
                    <w:top w:val="nil"/>
                    <w:left w:val="nil"/>
                    <w:bottom w:val="single" w:sz="8" w:space="0" w:color="auto"/>
                    <w:right w:val="nil"/>
                  </w:tcBorders>
                </w:tcPr>
                <w:p w14:paraId="08B0A532" w14:textId="77777777" w:rsidR="009A2A34" w:rsidRPr="00820EFB" w:rsidRDefault="009A2A34" w:rsidP="00CC1F9E">
                  <w:pPr>
                    <w:ind w:right="320"/>
                    <w:jc w:val="right"/>
                    <w:rPr>
                      <w:rFonts w:cs="Calibri"/>
                      <w:b/>
                      <w:bCs/>
                      <w:color w:val="000000"/>
                      <w:sz w:val="20"/>
                      <w:szCs w:val="20"/>
                    </w:rPr>
                  </w:pPr>
                  <w:r w:rsidRPr="00820EFB">
                    <w:rPr>
                      <w:rFonts w:cs="Calibri"/>
                      <w:b/>
                      <w:bCs/>
                      <w:color w:val="000000"/>
                      <w:sz w:val="20"/>
                      <w:szCs w:val="20"/>
                    </w:rPr>
                    <w:t>-583</w:t>
                  </w:r>
                </w:p>
              </w:tc>
              <w:tc>
                <w:tcPr>
                  <w:tcW w:w="1017" w:type="dxa"/>
                  <w:tcBorders>
                    <w:top w:val="nil"/>
                    <w:left w:val="nil"/>
                    <w:bottom w:val="single" w:sz="8" w:space="0" w:color="auto"/>
                    <w:right w:val="nil"/>
                  </w:tcBorders>
                </w:tcPr>
                <w:p w14:paraId="7BBE1261" w14:textId="77777777" w:rsidR="009A2A34" w:rsidRDefault="009A2A34" w:rsidP="00CC1F9E">
                  <w:pPr>
                    <w:ind w:right="320"/>
                    <w:jc w:val="right"/>
                    <w:rPr>
                      <w:rFonts w:cs="Calibri"/>
                      <w:b/>
                      <w:bCs/>
                      <w:color w:val="000000"/>
                      <w:sz w:val="20"/>
                      <w:szCs w:val="20"/>
                      <w:highlight w:val="yellow"/>
                    </w:rPr>
                  </w:pPr>
                </w:p>
              </w:tc>
            </w:tr>
          </w:tbl>
          <w:p w14:paraId="705D1170" w14:textId="77777777" w:rsidR="009A2A34" w:rsidRPr="00F22A16" w:rsidRDefault="009A2A34" w:rsidP="00CC1F9E">
            <w:pPr>
              <w:autoSpaceDE w:val="0"/>
              <w:autoSpaceDN w:val="0"/>
              <w:adjustRightInd w:val="0"/>
              <w:jc w:val="right"/>
              <w:rPr>
                <w:rFonts w:cs="ArialNarrow"/>
                <w:i/>
                <w:iCs/>
                <w:sz w:val="16"/>
                <w:szCs w:val="16"/>
              </w:rPr>
            </w:pPr>
            <w:r w:rsidRPr="00F22A16">
              <w:rPr>
                <w:rFonts w:cs="ArialNarrow"/>
                <w:i/>
                <w:iCs/>
                <w:sz w:val="16"/>
                <w:szCs w:val="16"/>
              </w:rPr>
              <w:t>Zdroj: MF SR a MH SR</w:t>
            </w:r>
          </w:p>
          <w:p w14:paraId="3D72ECAD" w14:textId="77777777" w:rsidR="009A2A34" w:rsidRPr="00F22A16" w:rsidRDefault="009A2A34" w:rsidP="00CC1F9E">
            <w:pPr>
              <w:autoSpaceDE w:val="0"/>
              <w:autoSpaceDN w:val="0"/>
              <w:adjustRightInd w:val="0"/>
              <w:jc w:val="both"/>
              <w:rPr>
                <w:rFonts w:cs="ArialNarrow"/>
                <w:i/>
                <w:iCs/>
                <w:sz w:val="16"/>
                <w:szCs w:val="16"/>
              </w:rPr>
            </w:pPr>
            <w:r w:rsidRPr="00F22A16">
              <w:rPr>
                <w:rFonts w:cs="ArialNarrow"/>
                <w:i/>
                <w:iCs/>
                <w:sz w:val="16"/>
                <w:szCs w:val="16"/>
              </w:rPr>
              <w:t>Poznámka: Hodnoty za rok 2023 predstavujú vyplatené hotovostné pomoci bez očistenia o vratky (približne 79 mil. eur). K hotovostnému vyplateniu sú pripočítané vyplatené finančné prostriedky ku koncu marca 2024, ktoré sa vzťahujú na schémy platné v roku 2023 (hodnoty za rok 2023 sú teda akrualizované).</w:t>
            </w:r>
          </w:p>
          <w:p w14:paraId="2AE9B4E6" w14:textId="77777777" w:rsidR="00F22A16" w:rsidRDefault="00F22A16" w:rsidP="00CC1F9E">
            <w:pPr>
              <w:autoSpaceDE w:val="0"/>
              <w:autoSpaceDN w:val="0"/>
              <w:adjustRightInd w:val="0"/>
              <w:jc w:val="both"/>
              <w:rPr>
                <w:rFonts w:cs="ArialNarrow,Bold"/>
                <w:b/>
                <w:bCs/>
              </w:rPr>
            </w:pPr>
          </w:p>
          <w:p w14:paraId="7CEE6D67" w14:textId="06548EFB" w:rsidR="009A2A34" w:rsidRPr="00B23F05" w:rsidRDefault="009A2A34" w:rsidP="00CC1F9E">
            <w:pPr>
              <w:autoSpaceDE w:val="0"/>
              <w:autoSpaceDN w:val="0"/>
              <w:adjustRightInd w:val="0"/>
              <w:jc w:val="both"/>
              <w:rPr>
                <w:rFonts w:cs="ArialNarrow"/>
                <w:highlight w:val="yellow"/>
              </w:rPr>
            </w:pPr>
            <w:r w:rsidRPr="00800135">
              <w:rPr>
                <w:rFonts w:cs="ArialNarrow,Bold"/>
                <w:b/>
                <w:bCs/>
              </w:rPr>
              <w:t>Zároveň boli prijaté opatrenia bez priameho vplyvu na verejné financie</w:t>
            </w:r>
            <w:r w:rsidRPr="00800135">
              <w:rPr>
                <w:rFonts w:cs="ArialNarrow"/>
              </w:rPr>
              <w:t xml:space="preserve">. Domácnostiam zabezpečuje stabilné ceny elektriny od roka 2022 dohoda so Slovenskými elektrárňami, a. s. Zastropovanie cien elektriny pre domácnosti v rokoch 2023 a 2024 je na úrovni cien roka 2022, teda približne 61 eur za MWh silovej zložky bez DPH. </w:t>
            </w:r>
          </w:p>
        </w:tc>
      </w:tr>
    </w:tbl>
    <w:p w14:paraId="1EC7A044" w14:textId="4916EF21" w:rsidR="009A2A34" w:rsidRPr="00E168CB" w:rsidRDefault="009A2A34" w:rsidP="009A2A34">
      <w:pPr>
        <w:spacing w:before="240" w:after="120"/>
        <w:jc w:val="both"/>
        <w:rPr>
          <w:rFonts w:eastAsia="Calibri" w:cs="Times New Roman"/>
          <w:bCs/>
        </w:rPr>
      </w:pPr>
      <w:r w:rsidRPr="00E168CB">
        <w:rPr>
          <w:rFonts w:eastAsia="Calibri" w:cs="Times New Roman"/>
          <w:b/>
        </w:rPr>
        <w:lastRenderedPageBreak/>
        <w:t xml:space="preserve">Úrokové náklady celej verejnej správy v predchádzajúcom roku vzrástli </w:t>
      </w:r>
      <w:r>
        <w:rPr>
          <w:rFonts w:eastAsia="Calibri" w:cs="Times New Roman"/>
          <w:b/>
        </w:rPr>
        <w:t xml:space="preserve">medziročne </w:t>
      </w:r>
      <w:r w:rsidRPr="00E168CB">
        <w:rPr>
          <w:rFonts w:eastAsia="Calibri" w:cs="Times New Roman"/>
          <w:b/>
        </w:rPr>
        <w:t>o </w:t>
      </w:r>
      <w:r>
        <w:rPr>
          <w:rFonts w:eastAsia="Calibri" w:cs="Times New Roman"/>
          <w:b/>
        </w:rPr>
        <w:t>štvrtinu</w:t>
      </w:r>
      <w:r w:rsidRPr="00E168CB">
        <w:rPr>
          <w:rFonts w:eastAsia="Calibri" w:cs="Times New Roman"/>
          <w:b/>
        </w:rPr>
        <w:t xml:space="preserve">. </w:t>
      </w:r>
      <w:r w:rsidRPr="00E168CB">
        <w:rPr>
          <w:rFonts w:eastAsia="Calibri" w:cs="Times New Roman"/>
          <w:bCs/>
        </w:rPr>
        <w:t>V roku 2023 sa potreba financovania štátu cez emisie dlhopisov medziročne zdvojnásobila, čo odráža</w:t>
      </w:r>
      <w:r>
        <w:rPr>
          <w:rFonts w:eastAsia="Calibri" w:cs="Times New Roman"/>
          <w:bCs/>
        </w:rPr>
        <w:t>lo</w:t>
      </w:r>
      <w:r w:rsidRPr="00E168CB">
        <w:rPr>
          <w:rFonts w:eastAsia="Calibri" w:cs="Times New Roman"/>
          <w:bCs/>
        </w:rPr>
        <w:t xml:space="preserve"> </w:t>
      </w:r>
      <w:r w:rsidR="007B60B5">
        <w:rPr>
          <w:rFonts w:eastAsia="Calibri" w:cs="Times New Roman"/>
          <w:bCs/>
        </w:rPr>
        <w:t xml:space="preserve">hlavne </w:t>
      </w:r>
      <w:r w:rsidRPr="00E168CB">
        <w:rPr>
          <w:rFonts w:eastAsia="Calibri" w:cs="Times New Roman"/>
          <w:bCs/>
        </w:rPr>
        <w:t xml:space="preserve">potrebu krytia vysokého deficitu ovplyvneného </w:t>
      </w:r>
      <w:r>
        <w:rPr>
          <w:rFonts w:eastAsia="Calibri" w:cs="Times New Roman"/>
          <w:bCs/>
        </w:rPr>
        <w:t xml:space="preserve">vyvolanými výdavkami súvisiacimi s infláciou a </w:t>
      </w:r>
      <w:r w:rsidRPr="00E168CB">
        <w:rPr>
          <w:rFonts w:eastAsia="Calibri" w:cs="Times New Roman"/>
          <w:bCs/>
        </w:rPr>
        <w:t xml:space="preserve">energetickou pomocou. Nárast úrokových sadzieb o 1,4 p. b. oproti roku 2022 </w:t>
      </w:r>
      <w:r w:rsidR="007B60B5">
        <w:rPr>
          <w:rFonts w:eastAsia="Calibri" w:cs="Times New Roman"/>
          <w:bCs/>
        </w:rPr>
        <w:t xml:space="preserve">bol tiež významný faktor, ktorý </w:t>
      </w:r>
      <w:r w:rsidRPr="00E168CB">
        <w:rPr>
          <w:rFonts w:eastAsia="Calibri" w:cs="Times New Roman"/>
          <w:bCs/>
        </w:rPr>
        <w:t>v</w:t>
      </w:r>
      <w:r>
        <w:rPr>
          <w:rFonts w:eastAsia="Calibri" w:cs="Times New Roman"/>
          <w:bCs/>
        </w:rPr>
        <w:t>i</w:t>
      </w:r>
      <w:r w:rsidRPr="00E168CB">
        <w:rPr>
          <w:rFonts w:eastAsia="Calibri" w:cs="Times New Roman"/>
          <w:bCs/>
        </w:rPr>
        <w:t>ed</w:t>
      </w:r>
      <w:r w:rsidR="007B60B5">
        <w:rPr>
          <w:rFonts w:eastAsia="Calibri" w:cs="Times New Roman"/>
          <w:bCs/>
        </w:rPr>
        <w:t>ol</w:t>
      </w:r>
      <w:r w:rsidRPr="00E168CB">
        <w:rPr>
          <w:rFonts w:eastAsia="Calibri" w:cs="Times New Roman"/>
          <w:bCs/>
        </w:rPr>
        <w:t xml:space="preserve"> k rastu úrokových nákladov. </w:t>
      </w:r>
      <w:bookmarkStart w:id="128" w:name="_Hlk163742993"/>
      <w:r w:rsidRPr="00E168CB">
        <w:rPr>
          <w:rFonts w:eastAsia="Calibri" w:cs="Times New Roman"/>
          <w:bCs/>
        </w:rPr>
        <w:t xml:space="preserve">Časť z nich však </w:t>
      </w:r>
      <w:r>
        <w:rPr>
          <w:rFonts w:eastAsia="Calibri" w:cs="Times New Roman"/>
          <w:bCs/>
        </w:rPr>
        <w:t xml:space="preserve">bola </w:t>
      </w:r>
      <w:r w:rsidRPr="00E168CB">
        <w:rPr>
          <w:rFonts w:eastAsia="Calibri" w:cs="Times New Roman"/>
          <w:bCs/>
        </w:rPr>
        <w:t xml:space="preserve">kompenzovaná úrokmi z likvidných zdrojov subjektov verejnej správy v Štátnej </w:t>
      </w:r>
      <w:bookmarkEnd w:id="128"/>
      <w:r w:rsidRPr="00E168CB">
        <w:rPr>
          <w:rFonts w:eastAsia="Calibri" w:cs="Times New Roman"/>
          <w:bCs/>
        </w:rPr>
        <w:t>pokladnici.</w:t>
      </w:r>
      <w:r>
        <w:rPr>
          <w:rFonts w:eastAsia="Calibri" w:cs="Times New Roman"/>
          <w:bCs/>
        </w:rPr>
        <w:t xml:space="preserve"> Tie v minulom roku priniesli výnos takmer 0,1 % HDP.</w:t>
      </w:r>
    </w:p>
    <w:p w14:paraId="6B5C0F31" w14:textId="12A41F79" w:rsidR="009A2A34" w:rsidRPr="00315522" w:rsidRDefault="009A2A34" w:rsidP="009A2A34">
      <w:pPr>
        <w:spacing w:after="120"/>
        <w:jc w:val="both"/>
        <w:rPr>
          <w:rFonts w:eastAsia="Calibri" w:cs="Times New Roman"/>
          <w:bCs/>
        </w:rPr>
      </w:pPr>
      <w:r>
        <w:rPr>
          <w:rFonts w:eastAsia="Calibri" w:cs="Times New Roman"/>
          <w:b/>
        </w:rPr>
        <w:t>O</w:t>
      </w:r>
      <w:r w:rsidRPr="00E168CB">
        <w:rPr>
          <w:rFonts w:eastAsia="Calibri" w:cs="Times New Roman"/>
          <w:b/>
        </w:rPr>
        <w:t xml:space="preserve"> </w:t>
      </w:r>
      <w:r>
        <w:rPr>
          <w:rFonts w:eastAsia="Calibri" w:cs="Times New Roman"/>
          <w:b/>
        </w:rPr>
        <w:t>viac ako štvrtinu</w:t>
      </w:r>
      <w:r w:rsidRPr="00E168CB">
        <w:rPr>
          <w:rFonts w:eastAsia="Calibri" w:cs="Times New Roman"/>
          <w:b/>
        </w:rPr>
        <w:t xml:space="preserve"> </w:t>
      </w:r>
      <w:r>
        <w:rPr>
          <w:rFonts w:eastAsia="Calibri" w:cs="Times New Roman"/>
          <w:b/>
        </w:rPr>
        <w:t>rástli aj s</w:t>
      </w:r>
      <w:r w:rsidRPr="00E168CB">
        <w:rPr>
          <w:rFonts w:eastAsia="Calibri" w:cs="Times New Roman"/>
          <w:b/>
        </w:rPr>
        <w:t>ociálne výdavky</w:t>
      </w:r>
      <w:r>
        <w:rPr>
          <w:rFonts w:eastAsia="Calibri" w:cs="Times New Roman"/>
          <w:b/>
        </w:rPr>
        <w:t xml:space="preserve">, </w:t>
      </w:r>
      <w:r w:rsidRPr="00E168CB">
        <w:rPr>
          <w:rFonts w:eastAsia="Calibri" w:cs="Times New Roman"/>
          <w:b/>
        </w:rPr>
        <w:t xml:space="preserve">najmä z titulu silnej valorizácie dôchodkov, zvyšovania podpory rodín a zavedenia rodičovského bonusu. </w:t>
      </w:r>
      <w:r w:rsidRPr="00E168CB">
        <w:rPr>
          <w:rFonts w:eastAsia="Calibri" w:cs="Times New Roman"/>
          <w:bCs/>
        </w:rPr>
        <w:t xml:space="preserve">Výdavky Sociálnej poisťovne v roku 2023 ovplyvnil </w:t>
      </w:r>
      <w:r>
        <w:rPr>
          <w:rFonts w:eastAsia="Calibri" w:cs="Times New Roman"/>
          <w:bCs/>
        </w:rPr>
        <w:t>hlavne</w:t>
      </w:r>
      <w:r w:rsidRPr="00E168CB">
        <w:rPr>
          <w:rFonts w:eastAsia="Calibri" w:cs="Times New Roman"/>
          <w:bCs/>
        </w:rPr>
        <w:t xml:space="preserve"> rast dôchodkov (22</w:t>
      </w:r>
      <w:r>
        <w:rPr>
          <w:rFonts w:eastAsia="Calibri" w:cs="Times New Roman"/>
          <w:bCs/>
        </w:rPr>
        <w:t xml:space="preserve"> </w:t>
      </w:r>
      <w:r w:rsidRPr="00E168CB">
        <w:rPr>
          <w:rFonts w:eastAsia="Calibri" w:cs="Times New Roman"/>
          <w:bCs/>
        </w:rPr>
        <w:t>%), ktorý bol výsledkom</w:t>
      </w:r>
      <w:r>
        <w:rPr>
          <w:rFonts w:eastAsia="Calibri" w:cs="Times New Roman"/>
          <w:bCs/>
        </w:rPr>
        <w:t xml:space="preserve"> januárovej</w:t>
      </w:r>
      <w:r w:rsidRPr="00E168CB">
        <w:rPr>
          <w:rFonts w:eastAsia="Calibri" w:cs="Times New Roman"/>
          <w:bCs/>
        </w:rPr>
        <w:t xml:space="preserve"> valorizácie</w:t>
      </w:r>
      <w:r>
        <w:rPr>
          <w:rFonts w:eastAsia="Calibri" w:cs="Times New Roman"/>
          <w:bCs/>
        </w:rPr>
        <w:t xml:space="preserve"> dávok</w:t>
      </w:r>
      <w:r w:rsidRPr="00E168CB">
        <w:rPr>
          <w:rFonts w:eastAsia="Calibri" w:cs="Times New Roman"/>
          <w:bCs/>
        </w:rPr>
        <w:t xml:space="preserve"> a</w:t>
      </w:r>
      <w:r>
        <w:rPr>
          <w:rFonts w:eastAsia="Calibri" w:cs="Times New Roman"/>
          <w:bCs/>
        </w:rPr>
        <w:t> následne júlovej</w:t>
      </w:r>
      <w:r w:rsidRPr="00E168CB">
        <w:rPr>
          <w:rFonts w:eastAsia="Calibri" w:cs="Times New Roman"/>
          <w:bCs/>
        </w:rPr>
        <w:t xml:space="preserve"> mimoriadnej valorizácie v reakcii na infláciu. Nárast výdavkov zapríčinili aj legislatívne zmeny: rodičovský </w:t>
      </w:r>
      <w:r>
        <w:rPr>
          <w:rFonts w:eastAsia="Calibri" w:cs="Times New Roman"/>
          <w:bCs/>
        </w:rPr>
        <w:t xml:space="preserve">dôchodok </w:t>
      </w:r>
      <w:r w:rsidRPr="00281FA9">
        <w:rPr>
          <w:rFonts w:eastAsia="Calibri" w:cs="Times New Roman"/>
          <w:bCs/>
        </w:rPr>
        <w:t>umožňuj</w:t>
      </w:r>
      <w:r>
        <w:rPr>
          <w:rFonts w:eastAsia="Calibri" w:cs="Times New Roman"/>
          <w:bCs/>
        </w:rPr>
        <w:t>úci</w:t>
      </w:r>
      <w:r w:rsidRPr="00281FA9">
        <w:rPr>
          <w:rFonts w:eastAsia="Calibri" w:cs="Times New Roman"/>
          <w:bCs/>
        </w:rPr>
        <w:t xml:space="preserve"> zamestnaným deťom prispievať na starobný dôchodok ich rodičov podľa výšky svojej mzdy</w:t>
      </w:r>
      <w:r w:rsidRPr="00281FA9">
        <w:rPr>
          <w:rFonts w:eastAsia="Calibri"/>
          <w:bCs/>
          <w:vertAlign w:val="superscript"/>
        </w:rPr>
        <w:footnoteReference w:id="8"/>
      </w:r>
      <w:r w:rsidRPr="00E168CB">
        <w:rPr>
          <w:rFonts w:eastAsia="Calibri" w:cs="Times New Roman"/>
          <w:bCs/>
        </w:rPr>
        <w:t xml:space="preserve">, </w:t>
      </w:r>
      <w:r>
        <w:rPr>
          <w:rFonts w:eastAsia="Calibri" w:cs="Times New Roman"/>
          <w:bCs/>
        </w:rPr>
        <w:t xml:space="preserve">rozšírenie nároku </w:t>
      </w:r>
      <w:r w:rsidRPr="00E168CB">
        <w:rPr>
          <w:rFonts w:eastAsia="Calibri" w:cs="Times New Roman"/>
          <w:bCs/>
        </w:rPr>
        <w:t xml:space="preserve">na predčasný starobný dôchodok </w:t>
      </w:r>
      <w:r>
        <w:rPr>
          <w:rFonts w:eastAsia="Calibri" w:cs="Times New Roman"/>
          <w:bCs/>
        </w:rPr>
        <w:t xml:space="preserve">po </w:t>
      </w:r>
      <w:r w:rsidRPr="00E168CB">
        <w:rPr>
          <w:rFonts w:eastAsia="Calibri" w:cs="Times New Roman"/>
          <w:bCs/>
        </w:rPr>
        <w:t>40 odpracovaných roko</w:t>
      </w:r>
      <w:r>
        <w:rPr>
          <w:rFonts w:eastAsia="Calibri" w:cs="Times New Roman"/>
          <w:bCs/>
        </w:rPr>
        <w:t>ch</w:t>
      </w:r>
      <w:r w:rsidRPr="00281FA9">
        <w:rPr>
          <w:rFonts w:eastAsia="Calibri"/>
          <w:bCs/>
          <w:vertAlign w:val="superscript"/>
        </w:rPr>
        <w:footnoteReference w:id="9"/>
      </w:r>
      <w:r w:rsidRPr="00E168CB">
        <w:rPr>
          <w:rFonts w:eastAsia="Calibri" w:cs="Times New Roman"/>
          <w:bCs/>
        </w:rPr>
        <w:t>, zvýšenie prídavku na dieťa</w:t>
      </w:r>
      <w:r>
        <w:rPr>
          <w:rFonts w:eastAsia="Calibri" w:cs="Times New Roman"/>
          <w:bCs/>
        </w:rPr>
        <w:t xml:space="preserve"> (zo 40 eur na </w:t>
      </w:r>
      <w:r w:rsidRPr="00E168CB">
        <w:rPr>
          <w:rFonts w:eastAsia="Calibri" w:cs="Times New Roman"/>
          <w:bCs/>
        </w:rPr>
        <w:t xml:space="preserve">60 </w:t>
      </w:r>
      <w:r>
        <w:rPr>
          <w:rFonts w:eastAsia="Calibri" w:cs="Times New Roman"/>
          <w:bCs/>
        </w:rPr>
        <w:t>eur</w:t>
      </w:r>
      <w:r w:rsidRPr="00E168CB">
        <w:rPr>
          <w:rFonts w:eastAsia="Calibri" w:cs="Times New Roman"/>
          <w:bCs/>
        </w:rPr>
        <w:t>/mesiac</w:t>
      </w:r>
      <w:r>
        <w:rPr>
          <w:rFonts w:eastAsia="Calibri" w:cs="Times New Roman"/>
          <w:bCs/>
        </w:rPr>
        <w:t>)</w:t>
      </w:r>
      <w:r w:rsidRPr="00E168CB">
        <w:rPr>
          <w:rFonts w:eastAsia="Calibri" w:cs="Times New Roman"/>
          <w:bCs/>
        </w:rPr>
        <w:t xml:space="preserve"> a daňového bonusu</w:t>
      </w:r>
      <w:r>
        <w:rPr>
          <w:rStyle w:val="Odkaznapoznmkupodiarou"/>
          <w:rFonts w:eastAsia="Calibri"/>
          <w:bCs/>
        </w:rPr>
        <w:footnoteReference w:id="10"/>
      </w:r>
      <w:r>
        <w:rPr>
          <w:rFonts w:eastAsia="Calibri" w:cs="Times New Roman"/>
          <w:bCs/>
        </w:rPr>
        <w:t xml:space="preserve">, </w:t>
      </w:r>
      <w:r w:rsidRPr="00E168CB">
        <w:rPr>
          <w:rFonts w:eastAsia="Calibri" w:cs="Times New Roman"/>
          <w:bCs/>
        </w:rPr>
        <w:t xml:space="preserve">predsunutá valorizácia rodičovského príspevku </w:t>
      </w:r>
      <w:r>
        <w:rPr>
          <w:rFonts w:eastAsia="Calibri" w:cs="Times New Roman"/>
          <w:bCs/>
        </w:rPr>
        <w:t>a</w:t>
      </w:r>
      <w:r w:rsidRPr="00E168CB">
        <w:rPr>
          <w:rFonts w:eastAsia="Calibri" w:cs="Times New Roman"/>
          <w:bCs/>
        </w:rPr>
        <w:t xml:space="preserve"> zvýšené peňažné príspevky na opatrovanie</w:t>
      </w:r>
      <w:r>
        <w:rPr>
          <w:rFonts w:eastAsia="Calibri" w:cs="Times New Roman"/>
          <w:bCs/>
        </w:rPr>
        <w:t xml:space="preserve"> ľudí s ťažkým zdravotným postihnutím, ktorí sú zároveň príjemcami dôchodkových dávok</w:t>
      </w:r>
      <w:r w:rsidRPr="00315522">
        <w:rPr>
          <w:rFonts w:eastAsia="Calibri"/>
          <w:bCs/>
          <w:vertAlign w:val="superscript"/>
        </w:rPr>
        <w:footnoteReference w:id="11"/>
      </w:r>
      <w:r>
        <w:rPr>
          <w:rFonts w:eastAsia="Calibri" w:cs="Times New Roman"/>
          <w:bCs/>
        </w:rPr>
        <w:t xml:space="preserve"> (spolu 0,9 % HDP).</w:t>
      </w:r>
      <w:r w:rsidRPr="00E168CB">
        <w:rPr>
          <w:rFonts w:eastAsia="Calibri" w:cs="Times New Roman"/>
          <w:bCs/>
        </w:rPr>
        <w:t xml:space="preserve"> Nárast priniesl</w:t>
      </w:r>
      <w:r>
        <w:rPr>
          <w:rFonts w:eastAsia="Calibri" w:cs="Times New Roman"/>
          <w:bCs/>
        </w:rPr>
        <w:t>a</w:t>
      </w:r>
      <w:r w:rsidRPr="00E168CB">
        <w:rPr>
          <w:rFonts w:eastAsia="Calibri" w:cs="Times New Roman"/>
          <w:bCs/>
        </w:rPr>
        <w:t xml:space="preserve"> aj jednorazová dávka 300 € pre dôchodcov (0,4 % HDP).</w:t>
      </w:r>
      <w:bookmarkStart w:id="129" w:name="_Hlk162446365"/>
    </w:p>
    <w:bookmarkEnd w:id="129"/>
    <w:p w14:paraId="45BFB75F" w14:textId="4D8430FC" w:rsidR="009A2A34" w:rsidRPr="00315522" w:rsidRDefault="009A2A34" w:rsidP="009A2A34">
      <w:pPr>
        <w:spacing w:after="120"/>
        <w:jc w:val="both"/>
        <w:rPr>
          <w:rFonts w:eastAsia="Calibri" w:cs="Times New Roman"/>
          <w:bCs/>
        </w:rPr>
      </w:pPr>
      <w:r>
        <w:rPr>
          <w:rFonts w:eastAsia="Calibri" w:cs="Times New Roman"/>
          <w:b/>
        </w:rPr>
        <w:t>Dvojciferný rast</w:t>
      </w:r>
      <w:r w:rsidRPr="00315522">
        <w:rPr>
          <w:rFonts w:eastAsia="Calibri" w:cs="Times New Roman"/>
          <w:b/>
        </w:rPr>
        <w:t xml:space="preserve"> výdavkov </w:t>
      </w:r>
      <w:r>
        <w:rPr>
          <w:rFonts w:eastAsia="Calibri" w:cs="Times New Roman"/>
          <w:b/>
        </w:rPr>
        <w:t xml:space="preserve">nastal aj </w:t>
      </w:r>
      <w:r w:rsidRPr="00315522">
        <w:rPr>
          <w:rFonts w:eastAsia="Calibri" w:cs="Times New Roman"/>
          <w:b/>
        </w:rPr>
        <w:t>v</w:t>
      </w:r>
      <w:r>
        <w:rPr>
          <w:rFonts w:eastAsia="Calibri" w:cs="Times New Roman"/>
          <w:b/>
        </w:rPr>
        <w:t> </w:t>
      </w:r>
      <w:r w:rsidRPr="00315522">
        <w:rPr>
          <w:rFonts w:eastAsia="Calibri" w:cs="Times New Roman"/>
          <w:b/>
        </w:rPr>
        <w:t>zdravotníctve</w:t>
      </w:r>
      <w:r>
        <w:rPr>
          <w:rFonts w:eastAsia="Calibri" w:cs="Times New Roman"/>
          <w:b/>
        </w:rPr>
        <w:t xml:space="preserve"> a bol</w:t>
      </w:r>
      <w:r w:rsidRPr="00315522">
        <w:rPr>
          <w:rFonts w:eastAsia="Calibri" w:cs="Times New Roman"/>
          <w:b/>
        </w:rPr>
        <w:t xml:space="preserve"> primárne hnaný skokovým navýšením miezd zdravotníckych pracovníkov.</w:t>
      </w:r>
      <w:r w:rsidRPr="00315522">
        <w:rPr>
          <w:rFonts w:eastAsia="Calibri" w:cs="Times New Roman"/>
          <w:bCs/>
        </w:rPr>
        <w:t xml:space="preserve"> </w:t>
      </w:r>
      <w:r>
        <w:rPr>
          <w:rFonts w:eastAsia="Calibri" w:cs="Times New Roman"/>
          <w:bCs/>
        </w:rPr>
        <w:t>Toto navýšenie pre l</w:t>
      </w:r>
      <w:r w:rsidRPr="000C64B3">
        <w:rPr>
          <w:rFonts w:eastAsia="Calibri" w:cs="Times New Roman"/>
          <w:bCs/>
        </w:rPr>
        <w:t>ekár</w:t>
      </w:r>
      <w:r>
        <w:rPr>
          <w:rFonts w:eastAsia="Calibri" w:cs="Times New Roman"/>
          <w:bCs/>
        </w:rPr>
        <w:t>ov</w:t>
      </w:r>
      <w:r w:rsidRPr="000C64B3">
        <w:rPr>
          <w:rFonts w:eastAsia="Calibri" w:cs="Times New Roman"/>
          <w:bCs/>
        </w:rPr>
        <w:t>, sestry a ostatný</w:t>
      </w:r>
      <w:r>
        <w:rPr>
          <w:rFonts w:eastAsia="Calibri" w:cs="Times New Roman"/>
          <w:bCs/>
        </w:rPr>
        <w:t>ch</w:t>
      </w:r>
      <w:r w:rsidRPr="000C64B3">
        <w:rPr>
          <w:rFonts w:eastAsia="Calibri" w:cs="Times New Roman"/>
          <w:bCs/>
        </w:rPr>
        <w:t xml:space="preserve"> zdravotníck</w:t>
      </w:r>
      <w:r>
        <w:rPr>
          <w:rFonts w:eastAsia="Calibri" w:cs="Times New Roman"/>
          <w:bCs/>
        </w:rPr>
        <w:t>ych</w:t>
      </w:r>
      <w:r w:rsidRPr="000C64B3">
        <w:rPr>
          <w:rFonts w:eastAsia="Calibri" w:cs="Times New Roman"/>
          <w:bCs/>
        </w:rPr>
        <w:t xml:space="preserve"> pracovník</w:t>
      </w:r>
      <w:r>
        <w:rPr>
          <w:rFonts w:eastAsia="Calibri" w:cs="Times New Roman"/>
          <w:bCs/>
        </w:rPr>
        <w:t>ov</w:t>
      </w:r>
      <w:r w:rsidRPr="000C64B3">
        <w:rPr>
          <w:rFonts w:eastAsia="Calibri" w:cs="Times New Roman"/>
          <w:bCs/>
        </w:rPr>
        <w:t xml:space="preserve"> </w:t>
      </w:r>
      <w:r>
        <w:rPr>
          <w:rFonts w:eastAsia="Calibri" w:cs="Times New Roman"/>
          <w:bCs/>
        </w:rPr>
        <w:t>bolo vykonané cez úpravu koeficientov</w:t>
      </w:r>
      <w:r w:rsidRPr="000C64B3">
        <w:rPr>
          <w:rFonts w:eastAsia="Calibri" w:cs="Times New Roman"/>
          <w:bCs/>
        </w:rPr>
        <w:t xml:space="preserve"> ich základn</w:t>
      </w:r>
      <w:r>
        <w:rPr>
          <w:rFonts w:eastAsia="Calibri" w:cs="Times New Roman"/>
          <w:bCs/>
        </w:rPr>
        <w:t>ej</w:t>
      </w:r>
      <w:r w:rsidRPr="000C64B3">
        <w:rPr>
          <w:rFonts w:eastAsia="Calibri" w:cs="Times New Roman"/>
          <w:bCs/>
        </w:rPr>
        <w:t xml:space="preserve"> mzdy v pomere k priemernej mzde v hospodárstve.</w:t>
      </w:r>
      <w:r>
        <w:rPr>
          <w:rFonts w:eastAsia="Calibri" w:cs="Times New Roman"/>
          <w:bCs/>
        </w:rPr>
        <w:t xml:space="preserve"> Významným faktorom bolo aj</w:t>
      </w:r>
      <w:r w:rsidRPr="00315522">
        <w:rPr>
          <w:rFonts w:eastAsia="Calibri" w:cs="Times New Roman"/>
          <w:bCs/>
        </w:rPr>
        <w:t xml:space="preserve"> odmeňovani</w:t>
      </w:r>
      <w:r>
        <w:rPr>
          <w:rFonts w:eastAsia="Calibri" w:cs="Times New Roman"/>
          <w:bCs/>
        </w:rPr>
        <w:t xml:space="preserve">e </w:t>
      </w:r>
      <w:r w:rsidRPr="00315522">
        <w:rPr>
          <w:rFonts w:eastAsia="Calibri" w:cs="Times New Roman"/>
          <w:bCs/>
        </w:rPr>
        <w:t>zdravotníckeho personálu zaveden</w:t>
      </w:r>
      <w:r>
        <w:rPr>
          <w:rFonts w:eastAsia="Calibri" w:cs="Times New Roman"/>
          <w:bCs/>
        </w:rPr>
        <w:t>é</w:t>
      </w:r>
      <w:r w:rsidRPr="00315522">
        <w:rPr>
          <w:rFonts w:eastAsia="Calibri" w:cs="Times New Roman"/>
          <w:bCs/>
        </w:rPr>
        <w:t xml:space="preserve"> automatick</w:t>
      </w:r>
      <w:r>
        <w:rPr>
          <w:rFonts w:eastAsia="Calibri" w:cs="Times New Roman"/>
          <w:bCs/>
        </w:rPr>
        <w:t>ou</w:t>
      </w:r>
      <w:r w:rsidRPr="00315522">
        <w:rPr>
          <w:rFonts w:eastAsia="Calibri" w:cs="Times New Roman"/>
          <w:bCs/>
        </w:rPr>
        <w:t xml:space="preserve"> valorizáci</w:t>
      </w:r>
      <w:r>
        <w:rPr>
          <w:rFonts w:eastAsia="Calibri" w:cs="Times New Roman"/>
          <w:bCs/>
        </w:rPr>
        <w:t>ou</w:t>
      </w:r>
      <w:r w:rsidRPr="00315522">
        <w:rPr>
          <w:rFonts w:eastAsia="Calibri" w:cs="Times New Roman"/>
          <w:bCs/>
        </w:rPr>
        <w:t xml:space="preserve"> platu na základe počtu odpracovaných rokov (spolu 0,3 % HDP), ktorá sa dotkla najmä skúsenejších pracovníkov.</w:t>
      </w:r>
      <w:r>
        <w:rPr>
          <w:rFonts w:eastAsia="Calibri" w:cs="Times New Roman"/>
          <w:bCs/>
        </w:rPr>
        <w:t xml:space="preserve"> </w:t>
      </w:r>
      <w:r w:rsidRPr="00315522">
        <w:rPr>
          <w:rFonts w:eastAsia="Calibri" w:cs="Times New Roman"/>
          <w:bCs/>
        </w:rPr>
        <w:t>V súvislosti s infláciou, mzdovou valorizáciou v nemocniciach a vysokými cenami energií boli navýšené aj finančné zdroje pre ambulantný sektor vo výške 0,2 %</w:t>
      </w:r>
      <w:r w:rsidR="00051A11">
        <w:rPr>
          <w:rFonts w:eastAsia="Calibri" w:cs="Times New Roman"/>
          <w:bCs/>
        </w:rPr>
        <w:t xml:space="preserve"> HDP</w:t>
      </w:r>
      <w:r w:rsidRPr="00315522">
        <w:rPr>
          <w:rFonts w:eastAsia="Calibri" w:cs="Times New Roman"/>
          <w:bCs/>
        </w:rPr>
        <w:t>.</w:t>
      </w:r>
      <w:r>
        <w:rPr>
          <w:rFonts w:eastAsia="Calibri" w:cs="Times New Roman"/>
          <w:bCs/>
        </w:rPr>
        <w:t xml:space="preserve"> K nárastom výdavkov prispela aj lieková reforma z roku 2022, implementácia ktorej zvyšuje výdavky zdravotníctva vo viacerých rokoch (0,1 % HDP).</w:t>
      </w:r>
    </w:p>
    <w:p w14:paraId="66EA98FE" w14:textId="306DFDEE" w:rsidR="009A2A34" w:rsidRPr="00E168CB" w:rsidRDefault="009A2A34" w:rsidP="009A2A34">
      <w:pPr>
        <w:spacing w:after="120"/>
        <w:jc w:val="both"/>
        <w:rPr>
          <w:rFonts w:eastAsia="Calibri" w:cs="Times New Roman"/>
          <w:b/>
        </w:rPr>
      </w:pPr>
      <w:r>
        <w:rPr>
          <w:rFonts w:eastAsia="Calibri" w:cs="Times New Roman"/>
          <w:b/>
        </w:rPr>
        <w:t>Významný rast zaznamenali medziročne aj ostatné bežné transfery.</w:t>
      </w:r>
      <w:r w:rsidRPr="00E168CB">
        <w:rPr>
          <w:rFonts w:eastAsia="Calibri" w:cs="Times New Roman"/>
          <w:b/>
        </w:rPr>
        <w:t xml:space="preserve"> </w:t>
      </w:r>
      <w:r w:rsidRPr="000C64B3">
        <w:rPr>
          <w:rFonts w:eastAsia="Calibri" w:cs="Times New Roman"/>
          <w:bCs/>
        </w:rPr>
        <w:t xml:space="preserve">Tento rast bol spôsobený opätovným zavedením obedov zadarmo v poslednom ročníku materských škôl a na základných školách (0,1 % HDP). K rastu transferov </w:t>
      </w:r>
      <w:r>
        <w:rPr>
          <w:rFonts w:eastAsia="Calibri" w:cs="Times New Roman"/>
          <w:bCs/>
        </w:rPr>
        <w:t>mierne</w:t>
      </w:r>
      <w:r w:rsidRPr="000C64B3">
        <w:rPr>
          <w:rFonts w:eastAsia="Calibri" w:cs="Times New Roman"/>
          <w:bCs/>
        </w:rPr>
        <w:t xml:space="preserve"> prispeli aj príspevky na ubytovanie pre </w:t>
      </w:r>
      <w:r w:rsidR="003E789E">
        <w:rPr>
          <w:rFonts w:eastAsia="Calibri" w:cs="Times New Roman"/>
          <w:bCs/>
        </w:rPr>
        <w:t>odíd</w:t>
      </w:r>
      <w:r w:rsidRPr="000C64B3">
        <w:rPr>
          <w:rFonts w:eastAsia="Calibri" w:cs="Times New Roman"/>
          <w:bCs/>
        </w:rPr>
        <w:t>encov z</w:t>
      </w:r>
      <w:r>
        <w:rPr>
          <w:rFonts w:eastAsia="Calibri" w:cs="Times New Roman"/>
          <w:bCs/>
        </w:rPr>
        <w:t> </w:t>
      </w:r>
      <w:r w:rsidRPr="000C64B3">
        <w:rPr>
          <w:rFonts w:eastAsia="Calibri" w:cs="Times New Roman"/>
          <w:bCs/>
        </w:rPr>
        <w:t xml:space="preserve">Ukrajiny. </w:t>
      </w:r>
      <w:r w:rsidR="00F62AAD">
        <w:rPr>
          <w:rFonts w:eastAsia="Calibri" w:cs="Times New Roman"/>
          <w:bCs/>
        </w:rPr>
        <w:t>Naopak</w:t>
      </w:r>
      <w:r w:rsidRPr="000C64B3">
        <w:rPr>
          <w:rFonts w:eastAsia="Calibri" w:cs="Times New Roman"/>
          <w:bCs/>
        </w:rPr>
        <w:t xml:space="preserve"> mierne</w:t>
      </w:r>
      <w:r w:rsidR="00F62AAD">
        <w:rPr>
          <w:rFonts w:eastAsia="Calibri" w:cs="Times New Roman"/>
          <w:bCs/>
        </w:rPr>
        <w:t xml:space="preserve"> ho</w:t>
      </w:r>
      <w:r w:rsidRPr="000C64B3">
        <w:rPr>
          <w:rFonts w:eastAsia="Calibri" w:cs="Times New Roman"/>
          <w:bCs/>
        </w:rPr>
        <w:t xml:space="preserve"> utlmilo ukončenie dočasných schém kurzarbeitu</w:t>
      </w:r>
      <w:r>
        <w:rPr>
          <w:rFonts w:eastAsia="Calibri" w:cs="Times New Roman"/>
          <w:bCs/>
        </w:rPr>
        <w:t>, ktoré boli platné</w:t>
      </w:r>
      <w:r w:rsidRPr="000C64B3">
        <w:rPr>
          <w:rFonts w:eastAsia="Calibri" w:cs="Times New Roman"/>
          <w:bCs/>
        </w:rPr>
        <w:t xml:space="preserve"> počas pandémie.</w:t>
      </w:r>
    </w:p>
    <w:p w14:paraId="00E884B0" w14:textId="5E9605E2" w:rsidR="00330ADF" w:rsidRPr="00364A1B" w:rsidRDefault="009A2A34" w:rsidP="00364A1B">
      <w:pPr>
        <w:spacing w:after="120"/>
        <w:jc w:val="both"/>
        <w:rPr>
          <w:rFonts w:eastAsia="Calibri" w:cs="Times New Roman"/>
          <w:bCs/>
        </w:rPr>
      </w:pPr>
      <w:bookmarkStart w:id="130" w:name="_Hlk162446404"/>
      <w:r w:rsidRPr="00E168CB">
        <w:rPr>
          <w:rFonts w:eastAsia="Calibri" w:cs="Times New Roman"/>
          <w:b/>
        </w:rPr>
        <w:t>Kapitálové výdavky bez fondov</w:t>
      </w:r>
      <w:r w:rsidR="000A22C5">
        <w:rPr>
          <w:rFonts w:eastAsia="Calibri" w:cs="Times New Roman"/>
          <w:b/>
        </w:rPr>
        <w:t xml:space="preserve"> EÚ</w:t>
      </w:r>
      <w:r w:rsidRPr="00E168CB">
        <w:rPr>
          <w:rFonts w:eastAsia="Calibri" w:cs="Times New Roman"/>
          <w:b/>
        </w:rPr>
        <w:t xml:space="preserve"> a financií z Plánu obnovy </w:t>
      </w:r>
      <w:r w:rsidRPr="0095262A">
        <w:rPr>
          <w:rFonts w:eastAsia="Calibri" w:cs="Times New Roman"/>
          <w:b/>
        </w:rPr>
        <w:t xml:space="preserve">medziročne narástli o 17 </w:t>
      </w:r>
      <w:r w:rsidRPr="0095262A">
        <w:rPr>
          <w:rFonts w:eastAsia="Calibri" w:cs="Times New Roman"/>
          <w:bCs/>
        </w:rPr>
        <w:t xml:space="preserve">%. </w:t>
      </w:r>
      <w:bookmarkEnd w:id="130"/>
      <w:r w:rsidRPr="0095262A">
        <w:rPr>
          <w:rFonts w:eastAsia="Calibri" w:cs="Times New Roman"/>
          <w:bCs/>
        </w:rPr>
        <w:t>V roku 2023 dominovali medzi investičnými projektmi oblasti dopravy</w:t>
      </w:r>
      <w:r w:rsidRPr="003F0435">
        <w:rPr>
          <w:rFonts w:eastAsia="Calibri" w:cs="Times New Roman"/>
          <w:bCs/>
        </w:rPr>
        <w:t xml:space="preserve">. </w:t>
      </w:r>
      <w:r w:rsidRPr="0095262A">
        <w:rPr>
          <w:rFonts w:eastAsia="Calibri" w:cs="Times New Roman"/>
          <w:bCs/>
        </w:rPr>
        <w:t>V dopravnom sektore prebiehali rozsiahle projekty, ako výstavba diaľnice Lietavská Lúčka – Višňové – Dubná Skala a</w:t>
      </w:r>
      <w:r w:rsidR="001327D3" w:rsidRPr="0095262A">
        <w:rPr>
          <w:rFonts w:eastAsia="Calibri" w:cs="Times New Roman"/>
          <w:bCs/>
        </w:rPr>
        <w:t> rýchlostných ciest</w:t>
      </w:r>
      <w:r w:rsidRPr="0095262A">
        <w:rPr>
          <w:rFonts w:eastAsia="Calibri" w:cs="Times New Roman"/>
          <w:bCs/>
        </w:rPr>
        <w:t xml:space="preserve"> (napr. </w:t>
      </w:r>
      <w:r w:rsidR="00CF4616">
        <w:rPr>
          <w:rFonts w:eastAsia="Calibri" w:cs="Times New Roman"/>
          <w:bCs/>
        </w:rPr>
        <w:t>Kriváň - Mýtna</w:t>
      </w:r>
      <w:r w:rsidRPr="0095262A">
        <w:rPr>
          <w:rFonts w:eastAsia="Calibri" w:cs="Times New Roman"/>
          <w:bCs/>
        </w:rPr>
        <w:t>). K rastu investičných výdavkov prispelo aj založenie strategického priemyselného parku v blízkosti Košíc.</w:t>
      </w:r>
    </w:p>
    <w:p w14:paraId="4F2C25B6" w14:textId="77777777" w:rsidR="009A2A34" w:rsidRPr="003C5534" w:rsidRDefault="009A2A34" w:rsidP="003C5534">
      <w:pPr>
        <w:pStyle w:val="Nadpis2"/>
        <w:numPr>
          <w:ilvl w:val="1"/>
          <w:numId w:val="29"/>
        </w:numPr>
        <w:spacing w:after="120"/>
        <w:rPr>
          <w:b/>
          <w:bCs/>
          <w:color w:val="2C9ADC"/>
          <w:szCs w:val="24"/>
        </w:rPr>
      </w:pPr>
      <w:bookmarkStart w:id="131" w:name="_Toc164684482"/>
      <w:r w:rsidRPr="003C5534">
        <w:rPr>
          <w:b/>
          <w:bCs/>
          <w:color w:val="2C9ADC"/>
          <w:szCs w:val="24"/>
        </w:rPr>
        <w:t>Aktuálny vývoj verejných financií</w:t>
      </w:r>
      <w:bookmarkEnd w:id="131"/>
    </w:p>
    <w:p w14:paraId="6BAF9500" w14:textId="07D3ED31" w:rsidR="009A2A34" w:rsidRDefault="009A2A34" w:rsidP="009A2A34">
      <w:pPr>
        <w:jc w:val="both"/>
      </w:pPr>
      <w:r>
        <w:rPr>
          <w:b/>
          <w:bCs/>
        </w:rPr>
        <w:t xml:space="preserve">Daňovo odvodové </w:t>
      </w:r>
      <w:r w:rsidRPr="00885665">
        <w:rPr>
          <w:b/>
          <w:bCs/>
        </w:rPr>
        <w:t>príjmy rastú v tomto roku najmä vďaka konsolidačnému balíčku, bez neho je</w:t>
      </w:r>
      <w:r w:rsidR="0009643B">
        <w:rPr>
          <w:b/>
          <w:bCs/>
        </w:rPr>
        <w:t xml:space="preserve"> však</w:t>
      </w:r>
      <w:r w:rsidRPr="00885665">
        <w:rPr>
          <w:b/>
          <w:bCs/>
        </w:rPr>
        <w:t xml:space="preserve"> </w:t>
      </w:r>
      <w:r w:rsidR="007B60B5">
        <w:rPr>
          <w:b/>
          <w:bCs/>
        </w:rPr>
        <w:t>rast</w:t>
      </w:r>
      <w:r w:rsidR="007B60B5" w:rsidRPr="00885665">
        <w:rPr>
          <w:b/>
          <w:bCs/>
        </w:rPr>
        <w:t xml:space="preserve"> </w:t>
      </w:r>
      <w:r w:rsidR="0009643B">
        <w:rPr>
          <w:b/>
          <w:bCs/>
        </w:rPr>
        <w:t xml:space="preserve">výrazne </w:t>
      </w:r>
      <w:r w:rsidRPr="00885665">
        <w:rPr>
          <w:b/>
          <w:bCs/>
        </w:rPr>
        <w:t xml:space="preserve">pomalší ako </w:t>
      </w:r>
      <w:r w:rsidR="0009643B">
        <w:rPr>
          <w:b/>
          <w:bCs/>
        </w:rPr>
        <w:t>vývoj</w:t>
      </w:r>
      <w:r w:rsidRPr="00885665">
        <w:rPr>
          <w:b/>
          <w:bCs/>
        </w:rPr>
        <w:t xml:space="preserve"> ekonomiky</w:t>
      </w:r>
      <w:r w:rsidR="0009643B">
        <w:rPr>
          <w:b/>
          <w:bCs/>
        </w:rPr>
        <w:t xml:space="preserve"> aj výdavkov</w:t>
      </w:r>
      <w:r w:rsidRPr="00885665">
        <w:rPr>
          <w:b/>
          <w:bCs/>
        </w:rPr>
        <w:t xml:space="preserve">. </w:t>
      </w:r>
      <w:r w:rsidRPr="00885665">
        <w:t>Rast prí</w:t>
      </w:r>
      <w:r w:rsidR="003F0435">
        <w:t>j</w:t>
      </w:r>
      <w:r w:rsidRPr="00885665">
        <w:t>mov je spôsobený hlavne prijatými opatreniami vlády za 1,3 % HDP</w:t>
      </w:r>
      <w:r w:rsidRPr="00885665">
        <w:rPr>
          <w:rStyle w:val="Odkaznapoznmkupodiarou"/>
        </w:rPr>
        <w:footnoteReference w:id="12"/>
      </w:r>
      <w:r w:rsidRPr="00885665">
        <w:t>. Na druhej strane rast daní spomaľuje výnos dane z</w:t>
      </w:r>
      <w:r w:rsidR="007B60B5">
        <w:t> </w:t>
      </w:r>
      <w:r w:rsidRPr="00885665">
        <w:t>príjmov fyzických osôb zo závislej činnosti, kde sa s</w:t>
      </w:r>
      <w:r w:rsidR="007B60B5">
        <w:t> </w:t>
      </w:r>
      <w:r w:rsidRPr="00885665">
        <w:t xml:space="preserve">oneskorením prejavuje vyššia inflácia cez </w:t>
      </w:r>
      <w:r w:rsidR="007B60B5">
        <w:t xml:space="preserve">rast </w:t>
      </w:r>
      <w:r w:rsidRPr="00885665">
        <w:t>nezdaniteľn</w:t>
      </w:r>
      <w:r w:rsidR="007B60B5">
        <w:t>ej</w:t>
      </w:r>
      <w:r w:rsidRPr="00885665">
        <w:t xml:space="preserve"> položky na dani. Nízky rast DPH je ovplyvnený viacerými, jednorazovými faktormi z roku 2023, ktoré sa nezopakujú v takej miere aj v roku 2024</w:t>
      </w:r>
      <w:r>
        <w:t xml:space="preserve"> (</w:t>
      </w:r>
      <w:r w:rsidR="00854C41">
        <w:rPr>
          <w:rFonts w:cs="ArialNarrow,Bold"/>
          <w:b/>
          <w:bCs/>
          <w:color w:val="2C9BDD"/>
        </w:rPr>
        <w:t>GRAF</w:t>
      </w:r>
      <w:r w:rsidR="00854C41" w:rsidRPr="009A25FC">
        <w:rPr>
          <w:rFonts w:cs="ArialNarrow,Bold"/>
          <w:b/>
          <w:bCs/>
          <w:color w:val="2C9BDD"/>
        </w:rPr>
        <w:t xml:space="preserve"> </w:t>
      </w:r>
      <w:r w:rsidR="00854C41">
        <w:rPr>
          <w:rFonts w:cs="ArialNarrow,Bold"/>
          <w:b/>
          <w:bCs/>
          <w:color w:val="2C9BDD"/>
        </w:rPr>
        <w:t>12</w:t>
      </w:r>
      <w:r>
        <w:t>)</w:t>
      </w:r>
      <w:r>
        <w:rPr>
          <w:rStyle w:val="Odkaznapoznmkupodiarou"/>
        </w:rPr>
        <w:footnoteReference w:id="13"/>
      </w:r>
      <w:r w:rsidRPr="0061294A">
        <w:t xml:space="preserve">. </w:t>
      </w:r>
      <w:r>
        <w:t>Rast tlmí aj</w:t>
      </w:r>
      <w:r w:rsidRPr="0061294A">
        <w:t xml:space="preserve"> pokles </w:t>
      </w:r>
      <w:r>
        <w:t>s</w:t>
      </w:r>
      <w:r w:rsidRPr="0061294A">
        <w:t>olidárn</w:t>
      </w:r>
      <w:r>
        <w:t>eho</w:t>
      </w:r>
      <w:r w:rsidRPr="0061294A">
        <w:t xml:space="preserve"> príspevku z činností v odvetviach ropy, zemného plynu, uhlia a</w:t>
      </w:r>
      <w:r>
        <w:t> </w:t>
      </w:r>
      <w:r w:rsidRPr="0061294A">
        <w:t>rafinérií</w:t>
      </w:r>
      <w:r>
        <w:t xml:space="preserve"> a iných menších daní</w:t>
      </w:r>
      <w:r>
        <w:rPr>
          <w:rStyle w:val="Odkaznapoznmkupodiarou"/>
        </w:rPr>
        <w:footnoteReference w:id="14"/>
      </w:r>
      <w:r>
        <w:t>, ako aj</w:t>
      </w:r>
      <w:r w:rsidRPr="0061294A">
        <w:t xml:space="preserve">  medziročne slabšia efektívna daňová sadzba (EDS)</w:t>
      </w:r>
      <w:r w:rsidR="00111273">
        <w:rPr>
          <w:rStyle w:val="Odkaznakomentr"/>
        </w:rPr>
        <w:t xml:space="preserve"> </w:t>
      </w:r>
      <w:r w:rsidRPr="0061294A">
        <w:t xml:space="preserve">. </w:t>
      </w:r>
    </w:p>
    <w:p w14:paraId="3086AED5" w14:textId="77777777" w:rsidR="00111273" w:rsidRDefault="00111273" w:rsidP="009A2A34">
      <w:pPr>
        <w:jc w:val="both"/>
      </w:pPr>
    </w:p>
    <w:p w14:paraId="33579456" w14:textId="77777777" w:rsidR="009A2A34" w:rsidRPr="00530805" w:rsidRDefault="009A2A34" w:rsidP="009A2A34">
      <w:pPr>
        <w:jc w:val="both"/>
        <w:rPr>
          <w:iCs/>
          <w:highlight w:val="yellow"/>
        </w:rPr>
      </w:pPr>
    </w:p>
    <w:tbl>
      <w:tblPr>
        <w:tblW w:w="4976"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373"/>
        <w:gridCol w:w="160"/>
        <w:gridCol w:w="4493"/>
      </w:tblGrid>
      <w:tr w:rsidR="009A2A34" w:rsidRPr="00542144" w14:paraId="5768C883" w14:textId="77777777" w:rsidTr="00CC1F9E">
        <w:trPr>
          <w:trHeight w:val="165"/>
          <w:jc w:val="center"/>
        </w:trPr>
        <w:tc>
          <w:tcPr>
            <w:tcW w:w="4374" w:type="dxa"/>
            <w:tcBorders>
              <w:top w:val="nil"/>
              <w:left w:val="nil"/>
              <w:bottom w:val="single" w:sz="4" w:space="0" w:color="000000"/>
              <w:right w:val="nil"/>
            </w:tcBorders>
            <w:shd w:val="clear" w:color="auto" w:fill="auto"/>
          </w:tcPr>
          <w:p w14:paraId="41E26356" w14:textId="1CF0F3FE" w:rsidR="009A2A34" w:rsidRPr="00542144" w:rsidRDefault="009A2A34" w:rsidP="00664E8C">
            <w:pPr>
              <w:pStyle w:val="Graf"/>
              <w:spacing w:before="120" w:after="0"/>
            </w:pPr>
            <w:bookmarkStart w:id="132" w:name="_Toc164684576"/>
            <w:r w:rsidRPr="00542144">
              <w:lastRenderedPageBreak/>
              <w:t xml:space="preserve">GRAF </w:t>
            </w:r>
            <w:r w:rsidR="00BC482A">
              <w:fldChar w:fldCharType="begin"/>
            </w:r>
            <w:r w:rsidR="00BC482A">
              <w:instrText xml:space="preserve"> SEQ GRAF \* ARABIC </w:instrText>
            </w:r>
            <w:r w:rsidR="00BC482A">
              <w:fldChar w:fldCharType="separate"/>
            </w:r>
            <w:r w:rsidR="007435E9">
              <w:rPr>
                <w:noProof/>
              </w:rPr>
              <w:t>11</w:t>
            </w:r>
            <w:r w:rsidR="00BC482A">
              <w:rPr>
                <w:noProof/>
              </w:rPr>
              <w:fldChar w:fldCharType="end"/>
            </w:r>
            <w:r w:rsidRPr="00542144">
              <w:t xml:space="preserve"> – </w:t>
            </w:r>
            <w:r w:rsidRPr="00170CDA">
              <w:t xml:space="preserve">Medziročná zmena daní </w:t>
            </w:r>
            <w:r>
              <w:t xml:space="preserve">po faktoroch </w:t>
            </w:r>
            <w:r w:rsidRPr="00170CDA">
              <w:t xml:space="preserve">(2024, ESA 2010, </w:t>
            </w:r>
            <w:r>
              <w:t>v p. b.)</w:t>
            </w:r>
            <w:bookmarkEnd w:id="132"/>
          </w:p>
        </w:tc>
        <w:tc>
          <w:tcPr>
            <w:tcW w:w="160" w:type="dxa"/>
            <w:tcBorders>
              <w:top w:val="nil"/>
              <w:left w:val="nil"/>
              <w:bottom w:val="nil"/>
              <w:right w:val="nil"/>
            </w:tcBorders>
            <w:shd w:val="clear" w:color="auto" w:fill="auto"/>
            <w:vAlign w:val="center"/>
          </w:tcPr>
          <w:p w14:paraId="2509A7A5" w14:textId="77777777" w:rsidR="009A2A34" w:rsidRPr="00542144" w:rsidRDefault="009A2A34" w:rsidP="00CC1F9E">
            <w:pPr>
              <w:pStyle w:val="Graf"/>
            </w:pPr>
          </w:p>
        </w:tc>
        <w:tc>
          <w:tcPr>
            <w:tcW w:w="4494" w:type="dxa"/>
            <w:tcBorders>
              <w:top w:val="nil"/>
              <w:left w:val="nil"/>
              <w:bottom w:val="single" w:sz="4" w:space="0" w:color="000000"/>
              <w:right w:val="nil"/>
            </w:tcBorders>
            <w:shd w:val="clear" w:color="auto" w:fill="auto"/>
            <w:vAlign w:val="bottom"/>
          </w:tcPr>
          <w:p w14:paraId="7E7130C4" w14:textId="08605B63" w:rsidR="009A2A34" w:rsidRPr="00542144" w:rsidRDefault="009A2A34" w:rsidP="00664E8C">
            <w:pPr>
              <w:pStyle w:val="Graf"/>
              <w:spacing w:before="120" w:after="0"/>
            </w:pPr>
            <w:bookmarkStart w:id="133" w:name="_Toc164684577"/>
            <w:r w:rsidRPr="00542144">
              <w:t xml:space="preserve">GRAF </w:t>
            </w:r>
            <w:r w:rsidR="00BC482A">
              <w:fldChar w:fldCharType="begin"/>
            </w:r>
            <w:r w:rsidR="00BC482A">
              <w:instrText xml:space="preserve"> SEQ GRAF \* ARABIC </w:instrText>
            </w:r>
            <w:r w:rsidR="00BC482A">
              <w:fldChar w:fldCharType="separate"/>
            </w:r>
            <w:r w:rsidR="007435E9">
              <w:rPr>
                <w:noProof/>
              </w:rPr>
              <w:t>12</w:t>
            </w:r>
            <w:r w:rsidR="00BC482A">
              <w:rPr>
                <w:noProof/>
              </w:rPr>
              <w:fldChar w:fldCharType="end"/>
            </w:r>
            <w:r w:rsidRPr="00542144">
              <w:t xml:space="preserve"> –</w:t>
            </w:r>
            <w:r>
              <w:t xml:space="preserve"> Vply jednotlivých faktorov na rast DPH v roku 2024 </w:t>
            </w:r>
            <w:r w:rsidRPr="00542144">
              <w:t>(2024, ESA 2010, v p. b.)</w:t>
            </w:r>
            <w:bookmarkEnd w:id="133"/>
          </w:p>
        </w:tc>
      </w:tr>
      <w:tr w:rsidR="009A2A34" w:rsidRPr="00542144" w14:paraId="2AD764F0" w14:textId="77777777" w:rsidTr="00CC1F9E">
        <w:trPr>
          <w:trHeight w:val="165"/>
          <w:jc w:val="center"/>
        </w:trPr>
        <w:tc>
          <w:tcPr>
            <w:tcW w:w="4374" w:type="dxa"/>
            <w:tcBorders>
              <w:top w:val="single" w:sz="4" w:space="0" w:color="000000"/>
              <w:left w:val="nil"/>
              <w:bottom w:val="single" w:sz="4" w:space="0" w:color="auto"/>
              <w:right w:val="nil"/>
            </w:tcBorders>
            <w:shd w:val="clear" w:color="auto" w:fill="auto"/>
          </w:tcPr>
          <w:p w14:paraId="69E1266C" w14:textId="77777777" w:rsidR="009A2A34" w:rsidRPr="004C64C5" w:rsidRDefault="009A2A34" w:rsidP="00CC1F9E">
            <w:pPr>
              <w:pStyle w:val="Graf"/>
            </w:pPr>
            <w:r w:rsidRPr="004C64C5">
              <w:rPr>
                <w:noProof/>
                <w:lang w:eastAsia="sk-SK"/>
              </w:rPr>
              <w:drawing>
                <wp:inline distT="0" distB="0" distL="0" distR="0" wp14:anchorId="3C77C817" wp14:editId="6E0F1B9B">
                  <wp:extent cx="2688590" cy="1431290"/>
                  <wp:effectExtent l="0" t="0" r="0" b="0"/>
                  <wp:docPr id="60" name="Graf 60">
                    <a:extLst xmlns:a="http://schemas.openxmlformats.org/drawingml/2006/main">
                      <a:ext uri="{FF2B5EF4-FFF2-40B4-BE49-F238E27FC236}">
                        <a16:creationId xmlns:a16="http://schemas.microsoft.com/office/drawing/2014/main" id="{6304ECAB-6AD4-49A7-997F-543258DAAE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160" w:type="dxa"/>
            <w:tcBorders>
              <w:top w:val="nil"/>
              <w:left w:val="nil"/>
              <w:bottom w:val="single" w:sz="4" w:space="0" w:color="auto"/>
              <w:right w:val="nil"/>
            </w:tcBorders>
            <w:shd w:val="clear" w:color="auto" w:fill="auto"/>
            <w:vAlign w:val="center"/>
          </w:tcPr>
          <w:p w14:paraId="7D8BFF75" w14:textId="77777777" w:rsidR="009A2A34" w:rsidRPr="00542144" w:rsidRDefault="009A2A34" w:rsidP="00CC1F9E">
            <w:pPr>
              <w:pStyle w:val="Graf"/>
            </w:pPr>
          </w:p>
        </w:tc>
        <w:tc>
          <w:tcPr>
            <w:tcW w:w="4494" w:type="dxa"/>
            <w:tcBorders>
              <w:top w:val="nil"/>
              <w:left w:val="nil"/>
              <w:bottom w:val="single" w:sz="4" w:space="0" w:color="auto"/>
              <w:right w:val="nil"/>
            </w:tcBorders>
            <w:shd w:val="clear" w:color="auto" w:fill="auto"/>
            <w:vAlign w:val="center"/>
          </w:tcPr>
          <w:p w14:paraId="7ED41FDD" w14:textId="77777777" w:rsidR="009A2A34" w:rsidRPr="00542144" w:rsidRDefault="009A2A34" w:rsidP="00CC1F9E">
            <w:pPr>
              <w:pStyle w:val="Graf"/>
            </w:pPr>
            <w:r>
              <w:rPr>
                <w:noProof/>
                <w:lang w:eastAsia="sk-SK"/>
              </w:rPr>
              <w:drawing>
                <wp:inline distT="0" distB="0" distL="0" distR="0" wp14:anchorId="7A1349D1" wp14:editId="7C3F437D">
                  <wp:extent cx="2764790" cy="1471930"/>
                  <wp:effectExtent l="0" t="0" r="0" b="0"/>
                  <wp:docPr id="61" name="Graf 61">
                    <a:extLst xmlns:a="http://schemas.openxmlformats.org/drawingml/2006/main">
                      <a:ext uri="{FF2B5EF4-FFF2-40B4-BE49-F238E27FC236}">
                        <a16:creationId xmlns:a16="http://schemas.microsoft.com/office/drawing/2014/main" id="{9179DE64-818E-4FA5-9DB5-8BC63A7A0D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9A2A34" w:rsidRPr="00305EFD" w14:paraId="1CB73401" w14:textId="77777777" w:rsidTr="00F22A16">
        <w:trPr>
          <w:trHeight w:val="165"/>
          <w:jc w:val="center"/>
        </w:trPr>
        <w:tc>
          <w:tcPr>
            <w:tcW w:w="4374" w:type="dxa"/>
            <w:tcBorders>
              <w:top w:val="single" w:sz="4" w:space="0" w:color="auto"/>
              <w:left w:val="nil"/>
              <w:bottom w:val="nil"/>
              <w:right w:val="nil"/>
            </w:tcBorders>
            <w:shd w:val="clear" w:color="auto" w:fill="auto"/>
          </w:tcPr>
          <w:p w14:paraId="24480436" w14:textId="77777777" w:rsidR="009A2A34" w:rsidRPr="00542144" w:rsidRDefault="009A2A34" w:rsidP="00CC1F9E">
            <w:pPr>
              <w:pStyle w:val="Graf"/>
            </w:pPr>
          </w:p>
        </w:tc>
        <w:tc>
          <w:tcPr>
            <w:tcW w:w="160" w:type="dxa"/>
            <w:tcBorders>
              <w:top w:val="single" w:sz="4" w:space="0" w:color="auto"/>
              <w:left w:val="nil"/>
              <w:bottom w:val="nil"/>
              <w:right w:val="nil"/>
            </w:tcBorders>
            <w:shd w:val="clear" w:color="auto" w:fill="auto"/>
            <w:vAlign w:val="center"/>
          </w:tcPr>
          <w:p w14:paraId="79D647DB" w14:textId="77777777" w:rsidR="009A2A34" w:rsidRPr="00542144" w:rsidRDefault="009A2A34" w:rsidP="00CC1F9E">
            <w:pPr>
              <w:pStyle w:val="Graf"/>
            </w:pPr>
          </w:p>
        </w:tc>
        <w:tc>
          <w:tcPr>
            <w:tcW w:w="4494" w:type="dxa"/>
            <w:tcBorders>
              <w:top w:val="single" w:sz="4" w:space="0" w:color="auto"/>
              <w:left w:val="nil"/>
              <w:bottom w:val="nil"/>
              <w:right w:val="nil"/>
            </w:tcBorders>
            <w:shd w:val="clear" w:color="auto" w:fill="auto"/>
          </w:tcPr>
          <w:p w14:paraId="2C8F9E43" w14:textId="77777777" w:rsidR="009A2A34" w:rsidRPr="00305EFD" w:rsidRDefault="009A2A34" w:rsidP="00F22A16">
            <w:pPr>
              <w:jc w:val="right"/>
              <w:rPr>
                <w:i/>
                <w:sz w:val="16"/>
                <w:szCs w:val="16"/>
              </w:rPr>
            </w:pPr>
            <w:r w:rsidRPr="00305EFD">
              <w:rPr>
                <w:i/>
                <w:sz w:val="16"/>
                <w:szCs w:val="16"/>
              </w:rPr>
              <w:t xml:space="preserve">Zdroj: MF SR                                                                                                                                                                                                    </w:t>
            </w:r>
          </w:p>
        </w:tc>
      </w:tr>
    </w:tbl>
    <w:p w14:paraId="3B52BEAA" w14:textId="3D934A6D" w:rsidR="009A2A34" w:rsidRDefault="009A2A34" w:rsidP="00E038C8">
      <w:pPr>
        <w:spacing w:after="120"/>
        <w:jc w:val="both"/>
        <w:rPr>
          <w:rFonts w:eastAsia="Calibri" w:cs="Times New Roman"/>
          <w:b/>
        </w:rPr>
      </w:pPr>
      <w:r>
        <w:rPr>
          <w:rFonts w:eastAsia="Calibri" w:cs="Times New Roman"/>
          <w:b/>
        </w:rPr>
        <w:t xml:space="preserve">Naopak, výdavky pokračujú aj v tomto roku v silnom raste, počnúc výdavkami na kompenzácie prevyšujúcich rast inflácie. </w:t>
      </w:r>
      <w:r w:rsidRPr="0051168E">
        <w:rPr>
          <w:rFonts w:eastAsia="Calibri" w:cs="Times New Roman"/>
          <w:bCs/>
        </w:rPr>
        <w:t xml:space="preserve">Najväčší podiel na </w:t>
      </w:r>
      <w:r>
        <w:rPr>
          <w:rFonts w:eastAsia="Calibri" w:cs="Times New Roman"/>
          <w:bCs/>
        </w:rPr>
        <w:t>raste výdavkov na mzdy a odvody zamestnancov vo verejnej spáve</w:t>
      </w:r>
      <w:r w:rsidRPr="0051168E">
        <w:rPr>
          <w:rFonts w:eastAsia="Calibri" w:cs="Times New Roman"/>
          <w:bCs/>
        </w:rPr>
        <w:t xml:space="preserve"> </w:t>
      </w:r>
      <w:r>
        <w:rPr>
          <w:rFonts w:eastAsia="Calibri" w:cs="Times New Roman"/>
          <w:bCs/>
        </w:rPr>
        <w:t>má</w:t>
      </w:r>
      <w:r w:rsidRPr="0051168E">
        <w:rPr>
          <w:rFonts w:eastAsia="Calibri" w:cs="Times New Roman"/>
          <w:bCs/>
        </w:rPr>
        <w:t xml:space="preserve"> minuloročná valorizácia miezd zo septembra, ktorá sa z</w:t>
      </w:r>
      <w:r>
        <w:rPr>
          <w:rFonts w:eastAsia="Calibri" w:cs="Times New Roman"/>
          <w:bCs/>
        </w:rPr>
        <w:t> dvoch tretín</w:t>
      </w:r>
      <w:r w:rsidRPr="0051168E">
        <w:rPr>
          <w:rFonts w:eastAsia="Calibri" w:cs="Times New Roman"/>
          <w:bCs/>
        </w:rPr>
        <w:t xml:space="preserve"> prejaví až v tomto roku. Významnejšie prisp</w:t>
      </w:r>
      <w:r>
        <w:rPr>
          <w:rFonts w:eastAsia="Calibri" w:cs="Times New Roman"/>
          <w:bCs/>
        </w:rPr>
        <w:t>ievajú</w:t>
      </w:r>
      <w:r w:rsidRPr="0051168E">
        <w:rPr>
          <w:rFonts w:eastAsia="Calibri" w:cs="Times New Roman"/>
          <w:bCs/>
        </w:rPr>
        <w:t xml:space="preserve"> aj opatrenia z oblasti školstva</w:t>
      </w:r>
      <w:r>
        <w:rPr>
          <w:rStyle w:val="Odkaznapoznmkupodiarou"/>
          <w:rFonts w:eastAsia="Calibri" w:cs="Times New Roman"/>
          <w:bCs/>
        </w:rPr>
        <w:footnoteReference w:id="15"/>
      </w:r>
      <w:r w:rsidRPr="0051168E">
        <w:rPr>
          <w:rFonts w:eastAsia="Calibri" w:cs="Times New Roman"/>
          <w:bCs/>
        </w:rPr>
        <w:t>, vedy a výskumu</w:t>
      </w:r>
      <w:r>
        <w:rPr>
          <w:rStyle w:val="Odkaznapoznmkupodiarou"/>
          <w:rFonts w:eastAsia="Calibri" w:cs="Times New Roman"/>
          <w:bCs/>
        </w:rPr>
        <w:footnoteReference w:id="16"/>
      </w:r>
      <w:r w:rsidRPr="0051168E">
        <w:rPr>
          <w:rFonts w:eastAsia="Calibri" w:cs="Times New Roman"/>
          <w:bCs/>
        </w:rPr>
        <w:t>, ale aj zvýšené zdravotné odvody zamestnávateľa o 1 p. b. (spolu 0,3 % HDP). Rast mzdových výdavkov</w:t>
      </w:r>
      <w:r>
        <w:rPr>
          <w:rFonts w:eastAsia="Calibri" w:cs="Times New Roman"/>
          <w:bCs/>
        </w:rPr>
        <w:t xml:space="preserve"> naopak mierne</w:t>
      </w:r>
      <w:r w:rsidRPr="0051168E">
        <w:rPr>
          <w:rFonts w:eastAsia="Calibri" w:cs="Times New Roman"/>
          <w:bCs/>
        </w:rPr>
        <w:t xml:space="preserve"> utlmujú </w:t>
      </w:r>
      <w:r>
        <w:rPr>
          <w:rFonts w:eastAsia="Calibri" w:cs="Times New Roman"/>
          <w:bCs/>
        </w:rPr>
        <w:t xml:space="preserve">v konsolidačnom balíku zahrnuté </w:t>
      </w:r>
      <w:r w:rsidRPr="0051168E">
        <w:rPr>
          <w:rFonts w:eastAsia="Calibri" w:cs="Times New Roman"/>
          <w:bCs/>
        </w:rPr>
        <w:t xml:space="preserve"> </w:t>
      </w:r>
      <w:r>
        <w:rPr>
          <w:rFonts w:eastAsia="Calibri" w:cs="Times New Roman"/>
          <w:bCs/>
        </w:rPr>
        <w:t xml:space="preserve">viazanie </w:t>
      </w:r>
      <w:r w:rsidRPr="0051168E">
        <w:rPr>
          <w:rFonts w:eastAsia="Calibri" w:cs="Times New Roman"/>
          <w:bCs/>
        </w:rPr>
        <w:t xml:space="preserve"> osobných </w:t>
      </w:r>
      <w:r w:rsidR="000C2C3D">
        <w:rPr>
          <w:rFonts w:eastAsia="Calibri" w:cs="Times New Roman"/>
          <w:bCs/>
        </w:rPr>
        <w:t>výdavkov</w:t>
      </w:r>
      <w:r w:rsidRPr="0051168E">
        <w:rPr>
          <w:rFonts w:eastAsia="Calibri" w:cs="Times New Roman"/>
          <w:bCs/>
        </w:rPr>
        <w:t xml:space="preserve"> ústrednej štátnej správy</w:t>
      </w:r>
      <w:r>
        <w:rPr>
          <w:rFonts w:eastAsia="Calibri" w:cs="Times New Roman"/>
          <w:bCs/>
        </w:rPr>
        <w:t xml:space="preserve"> na úrovni 5 %</w:t>
      </w:r>
      <w:r w:rsidR="00BD6E6C">
        <w:rPr>
          <w:rStyle w:val="Odkaznapoznmkupodiarou"/>
          <w:rFonts w:eastAsia="Calibri"/>
          <w:bCs/>
        </w:rPr>
        <w:footnoteReference w:id="17"/>
      </w:r>
      <w:r w:rsidRPr="0051168E">
        <w:rPr>
          <w:rFonts w:eastAsia="Calibri" w:cs="Times New Roman"/>
          <w:bCs/>
        </w:rPr>
        <w:t>.</w:t>
      </w:r>
    </w:p>
    <w:p w14:paraId="7069515A" w14:textId="4DB73975" w:rsidR="009A2A34" w:rsidRDefault="009A2A34" w:rsidP="00E038C8">
      <w:pPr>
        <w:spacing w:after="120"/>
        <w:jc w:val="both"/>
        <w:rPr>
          <w:rFonts w:eastAsia="Calibri" w:cs="Times New Roman"/>
          <w:b/>
        </w:rPr>
      </w:pPr>
      <w:r>
        <w:rPr>
          <w:rFonts w:eastAsia="Calibri" w:cs="Times New Roman"/>
          <w:b/>
        </w:rPr>
        <w:t xml:space="preserve">Náklady na tovary a služby rastú medziročne takmer o pätinu. </w:t>
      </w:r>
      <w:r>
        <w:rPr>
          <w:rFonts w:eastAsia="Calibri" w:cs="Times New Roman"/>
          <w:bCs/>
        </w:rPr>
        <w:t>Dominantnú položku</w:t>
      </w:r>
      <w:r w:rsidRPr="0051168E">
        <w:rPr>
          <w:rFonts w:eastAsia="Calibri" w:cs="Times New Roman"/>
          <w:bCs/>
        </w:rPr>
        <w:t xml:space="preserve"> tvoria výdavky na obranu, ktorých</w:t>
      </w:r>
      <w:r>
        <w:rPr>
          <w:rFonts w:eastAsia="Calibri" w:cs="Times New Roman"/>
          <w:bCs/>
        </w:rPr>
        <w:t xml:space="preserve"> ďalšia</w:t>
      </w:r>
      <w:r w:rsidRPr="0051168E">
        <w:rPr>
          <w:rFonts w:eastAsia="Calibri" w:cs="Times New Roman"/>
          <w:bCs/>
        </w:rPr>
        <w:t xml:space="preserve"> časť je rozpočtovaná aj na kapitálových výdavkoch. Výraznejší vplyv </w:t>
      </w:r>
      <w:r>
        <w:rPr>
          <w:rFonts w:eastAsia="Calibri" w:cs="Times New Roman"/>
          <w:bCs/>
        </w:rPr>
        <w:t>majú</w:t>
      </w:r>
      <w:r w:rsidRPr="0051168E">
        <w:rPr>
          <w:rFonts w:eastAsia="Calibri" w:cs="Times New Roman"/>
          <w:bCs/>
        </w:rPr>
        <w:t xml:space="preserve"> aj prostriedky vyhradené na nové ministerstvo cestovného ruchu a športu (0,1 % HDP). </w:t>
      </w:r>
      <w:r>
        <w:rPr>
          <w:rFonts w:eastAsia="Calibri" w:cs="Times New Roman"/>
          <w:bCs/>
        </w:rPr>
        <w:t>Zároveň sú na tejto položke rozpočtované aj výdavky, ktoré budú v skutočnosti vykázané na iných položkách</w:t>
      </w:r>
      <w:r w:rsidR="003E789E">
        <w:rPr>
          <w:rStyle w:val="Odkaznapoznmkupodiarou"/>
          <w:rFonts w:eastAsia="Calibri"/>
          <w:bCs/>
        </w:rPr>
        <w:footnoteReference w:id="18"/>
      </w:r>
      <w:r w:rsidRPr="0051168E">
        <w:rPr>
          <w:rFonts w:eastAsia="Calibri" w:cs="Times New Roman"/>
          <w:bCs/>
        </w:rPr>
        <w:t>. Rast nákladov mierne kompenzujú nižšie ceny energii na burzách,</w:t>
      </w:r>
      <w:r>
        <w:rPr>
          <w:rFonts w:eastAsia="Calibri" w:cs="Times New Roman"/>
          <w:bCs/>
        </w:rPr>
        <w:t xml:space="preserve"> ktoré sa prejavia v nižších nákladoch na energie.</w:t>
      </w:r>
      <w:r w:rsidRPr="0051168E">
        <w:rPr>
          <w:rFonts w:eastAsia="Calibri" w:cs="Times New Roman"/>
          <w:bCs/>
        </w:rPr>
        <w:t xml:space="preserve"> </w:t>
      </w:r>
      <w:r>
        <w:rPr>
          <w:rFonts w:eastAsia="Calibri" w:cs="Times New Roman"/>
          <w:bCs/>
        </w:rPr>
        <w:t>Rast výdavkov na medzispotrebu tlmia</w:t>
      </w:r>
      <w:r w:rsidRPr="0051168E">
        <w:rPr>
          <w:rFonts w:eastAsia="Calibri" w:cs="Times New Roman"/>
          <w:bCs/>
        </w:rPr>
        <w:t xml:space="preserve"> aj nižšie plánované náklady na spotrebný tovar, pracovné nástroje a pomôcky, ako aj dopravu a cestovné náklady zamestnancov.</w:t>
      </w:r>
    </w:p>
    <w:p w14:paraId="1362E27C" w14:textId="25E02AA9" w:rsidR="009A2A34" w:rsidRPr="00530805" w:rsidRDefault="009A2A34" w:rsidP="00E038C8">
      <w:pPr>
        <w:spacing w:after="120"/>
        <w:jc w:val="both"/>
        <w:rPr>
          <w:rFonts w:cs="ArialNarrow,Bold"/>
          <w:b/>
          <w:bCs/>
          <w:color w:val="000000"/>
        </w:rPr>
      </w:pPr>
      <w:r w:rsidRPr="00530805">
        <w:rPr>
          <w:rFonts w:cs="ArialNarrow,Bold"/>
          <w:b/>
          <w:bCs/>
          <w:color w:val="000000"/>
        </w:rPr>
        <w:t xml:space="preserve">Subvencie v tomto roku klesajú </w:t>
      </w:r>
      <w:r w:rsidRPr="00C02D84">
        <w:rPr>
          <w:rFonts w:cs="ArialNarrow,Bold"/>
          <w:b/>
          <w:bCs/>
          <w:color w:val="000000"/>
        </w:rPr>
        <w:t>na polovicu</w:t>
      </w:r>
      <w:r w:rsidRPr="00530805">
        <w:rPr>
          <w:rFonts w:cs="ArialNarrow,Bold"/>
          <w:b/>
          <w:bCs/>
          <w:color w:val="000000"/>
        </w:rPr>
        <w:t xml:space="preserve"> hodn</w:t>
      </w:r>
      <w:r>
        <w:rPr>
          <w:rFonts w:cs="ArialNarrow,Bold"/>
          <w:b/>
          <w:bCs/>
          <w:color w:val="000000"/>
        </w:rPr>
        <w:t>ôt</w:t>
      </w:r>
      <w:r w:rsidRPr="00530805">
        <w:rPr>
          <w:rFonts w:cs="ArialNarrow,Bold"/>
          <w:b/>
          <w:bCs/>
          <w:color w:val="000000"/>
        </w:rPr>
        <w:t xml:space="preserve"> predošlého rok</w:t>
      </w:r>
      <w:r>
        <w:rPr>
          <w:rFonts w:cs="ArialNarrow,Bold"/>
          <w:b/>
          <w:bCs/>
          <w:color w:val="000000"/>
        </w:rPr>
        <w:t>a</w:t>
      </w:r>
      <w:r w:rsidRPr="00530805">
        <w:rPr>
          <w:rFonts w:cs="ArialNarrow,Bold"/>
          <w:b/>
          <w:bCs/>
          <w:color w:val="000000"/>
        </w:rPr>
        <w:t xml:space="preserve">. </w:t>
      </w:r>
      <w:r>
        <w:rPr>
          <w:rFonts w:cs="ArialNarrow,Bold"/>
          <w:color w:val="000000"/>
        </w:rPr>
        <w:t>Za poklesom nákladov je  nižšia potreba</w:t>
      </w:r>
      <w:r w:rsidRPr="00530805">
        <w:rPr>
          <w:rFonts w:cs="ArialNarrow,Bold"/>
          <w:color w:val="000000"/>
        </w:rPr>
        <w:t xml:space="preserve"> energetickej pomoci pre domácnosti a</w:t>
      </w:r>
      <w:r>
        <w:rPr>
          <w:rFonts w:cs="ArialNarrow,Bold"/>
          <w:color w:val="000000"/>
        </w:rPr>
        <w:t> </w:t>
      </w:r>
      <w:r w:rsidRPr="00530805">
        <w:rPr>
          <w:rFonts w:cs="ArialNarrow,Bold"/>
          <w:color w:val="000000"/>
        </w:rPr>
        <w:t>firmy</w:t>
      </w:r>
      <w:r>
        <w:rPr>
          <w:rFonts w:cs="ArialNarrow,Bold"/>
          <w:color w:val="000000"/>
        </w:rPr>
        <w:t>.</w:t>
      </w:r>
      <w:r w:rsidRPr="00530805">
        <w:rPr>
          <w:rFonts w:cs="ArialNarrow,Bold"/>
          <w:color w:val="000000"/>
        </w:rPr>
        <w:t xml:space="preserve"> </w:t>
      </w:r>
      <w:r>
        <w:rPr>
          <w:rFonts w:cs="ArialNarrow,Bold"/>
          <w:color w:val="000000"/>
        </w:rPr>
        <w:t>Výdavky na energetickú pomoc sa medziročne znižujú z</w:t>
      </w:r>
      <w:r w:rsidRPr="00530805">
        <w:rPr>
          <w:rFonts w:cs="ArialNarrow,Bold"/>
          <w:color w:val="000000"/>
        </w:rPr>
        <w:t> 2</w:t>
      </w:r>
      <w:r>
        <w:rPr>
          <w:rFonts w:cs="ArialNarrow,Bold"/>
          <w:color w:val="000000"/>
        </w:rPr>
        <w:t>,5</w:t>
      </w:r>
      <w:r w:rsidRPr="00530805">
        <w:rPr>
          <w:rFonts w:cs="ArialNarrow,Bold"/>
          <w:color w:val="000000"/>
        </w:rPr>
        <w:t xml:space="preserve"> % HDP na </w:t>
      </w:r>
      <w:r w:rsidRPr="008B4F4A">
        <w:rPr>
          <w:rFonts w:cs="ArialNarrow,Bold"/>
          <w:color w:val="000000"/>
        </w:rPr>
        <w:t>0,6 %</w:t>
      </w:r>
      <w:r w:rsidRPr="00530805">
        <w:rPr>
          <w:rFonts w:cs="ArialNarrow,Bold"/>
          <w:color w:val="000000"/>
        </w:rPr>
        <w:t xml:space="preserve"> HDP </w:t>
      </w:r>
      <w:r>
        <w:rPr>
          <w:rFonts w:cs="ArialNarrow,Bold"/>
          <w:color w:val="000000"/>
        </w:rPr>
        <w:t>(</w:t>
      </w:r>
      <w:r w:rsidR="00ED0DBA" w:rsidRPr="009A25FC">
        <w:rPr>
          <w:rFonts w:cs="ArialNarrow,Bold"/>
          <w:b/>
          <w:bCs/>
          <w:color w:val="2C9BDD"/>
        </w:rPr>
        <w:t xml:space="preserve">BOX </w:t>
      </w:r>
      <w:r w:rsidR="00ED0DBA">
        <w:rPr>
          <w:rFonts w:cs="ArialNarrow,Bold"/>
          <w:b/>
          <w:bCs/>
          <w:color w:val="2C9BDD"/>
        </w:rPr>
        <w:t>3</w:t>
      </w:r>
      <w:r>
        <w:rPr>
          <w:rFonts w:cs="ArialNarrow,Bold"/>
          <w:color w:val="000000"/>
        </w:rPr>
        <w:t xml:space="preserve">). Pokles </w:t>
      </w:r>
      <w:r w:rsidR="00F62AAD">
        <w:rPr>
          <w:rFonts w:cs="ArialNarrow,Bold"/>
          <w:color w:val="000000"/>
        </w:rPr>
        <w:t xml:space="preserve">naopak </w:t>
      </w:r>
      <w:r>
        <w:rPr>
          <w:rFonts w:cs="ArialNarrow,Bold"/>
          <w:color w:val="000000"/>
        </w:rPr>
        <w:t>spomaľujú dotácie do poľnohospodárstva, ktoré medziročne narástli o polovicu. Je to spôsobené najmä meškajúcimi platbami poľnohospodárom z minulého roka, ktoré majú byť vyplatené v tomto roku.</w:t>
      </w:r>
      <w:r w:rsidRPr="00530805">
        <w:rPr>
          <w:rFonts w:cs="ArialNarrow,Bold"/>
          <w:color w:val="FF0000"/>
        </w:rPr>
        <w:t xml:space="preserve"> </w:t>
      </w:r>
    </w:p>
    <w:p w14:paraId="53975B07" w14:textId="5DE34C8B" w:rsidR="009A2A34" w:rsidRPr="00530805" w:rsidRDefault="009A2A34" w:rsidP="00E038C8">
      <w:pPr>
        <w:spacing w:after="120"/>
        <w:jc w:val="both"/>
        <w:rPr>
          <w:rFonts w:cs="ArialNarrow,Bold"/>
        </w:rPr>
      </w:pPr>
      <w:r>
        <w:rPr>
          <w:rFonts w:cs="ArialNarrow,Bold"/>
          <w:b/>
          <w:bCs/>
        </w:rPr>
        <w:t>Úrokové náklady rastú aj v aktuálnom roku, oproti 2023 o tretinu</w:t>
      </w:r>
      <w:r w:rsidRPr="00530805">
        <w:rPr>
          <w:rFonts w:cs="ArialNarrow,Bold"/>
          <w:b/>
          <w:bCs/>
        </w:rPr>
        <w:t xml:space="preserve">. </w:t>
      </w:r>
      <w:r w:rsidR="00786BB9" w:rsidRPr="00131AF2">
        <w:rPr>
          <w:rFonts w:cs="ArialNarrow,Bold"/>
        </w:rPr>
        <w:t>Hlavným zd</w:t>
      </w:r>
      <w:r w:rsidR="00786BB9">
        <w:rPr>
          <w:rFonts w:cs="ArialNarrow,Bold"/>
        </w:rPr>
        <w:t xml:space="preserve">rojom očakávaného zvýšenia nákladov na obsluhu dlhu </w:t>
      </w:r>
      <w:r w:rsidR="00786BB9" w:rsidRPr="00B13B65">
        <w:rPr>
          <w:rFonts w:cs="ArialNarrow,Bold"/>
        </w:rPr>
        <w:t>je plné pre</w:t>
      </w:r>
      <w:r w:rsidR="00786BB9">
        <w:rPr>
          <w:rFonts w:cs="ArialNarrow,Bold"/>
        </w:rPr>
        <w:t>t</w:t>
      </w:r>
      <w:r w:rsidR="00786BB9" w:rsidRPr="00B13B65">
        <w:rPr>
          <w:rFonts w:cs="ArialNarrow,Bold"/>
        </w:rPr>
        <w:t xml:space="preserve">avenie </w:t>
      </w:r>
      <w:r w:rsidR="00786BB9">
        <w:rPr>
          <w:rFonts w:cs="ArialNarrow,Bold"/>
        </w:rPr>
        <w:t>ná</w:t>
      </w:r>
      <w:r w:rsidR="00786BB9" w:rsidRPr="00B13B65">
        <w:rPr>
          <w:rFonts w:cs="ArialNarrow,Bold"/>
        </w:rPr>
        <w:t xml:space="preserve">rastu úrokových sadzieb </w:t>
      </w:r>
      <w:r w:rsidR="00786BB9">
        <w:rPr>
          <w:rFonts w:cs="ArialNarrow,Bold"/>
        </w:rPr>
        <w:t>ECB do predaja štátnych dlhopisov, ktoré kryjú aktuálne potreby financovania. Úrokové náklady tak rastú z dôvodu nahrádzania starého lacnejšieho dlhu novým dlhom s vyššími sadzbami, vrátane potreby krytia očakávaného schodku štátneho rozpočtu 6,6 mld. eur v aktuálnom roku.</w:t>
      </w:r>
    </w:p>
    <w:p w14:paraId="708C0D48" w14:textId="17390EB6" w:rsidR="009A2A34" w:rsidRDefault="009A2A34" w:rsidP="00E038C8">
      <w:pPr>
        <w:spacing w:after="120"/>
        <w:jc w:val="both"/>
        <w:rPr>
          <w:rFonts w:cs="ArialNarrow,Bold"/>
          <w:b/>
          <w:bCs/>
        </w:rPr>
      </w:pPr>
      <w:r>
        <w:rPr>
          <w:rFonts w:cs="ArialNarrow,Bold"/>
          <w:b/>
          <w:bCs/>
        </w:rPr>
        <w:t>Významný podiel na raste výdavkov má aj nárast nákladov na sociálne dávky</w:t>
      </w:r>
      <w:r w:rsidR="00F62AAD">
        <w:rPr>
          <w:rFonts w:cs="ArialNarrow,Bold"/>
          <w:b/>
          <w:bCs/>
        </w:rPr>
        <w:t xml:space="preserve"> o 9 %</w:t>
      </w:r>
      <w:r>
        <w:rPr>
          <w:rFonts w:cs="ArialNarrow,Bold"/>
          <w:b/>
          <w:bCs/>
        </w:rPr>
        <w:t xml:space="preserve">. </w:t>
      </w:r>
      <w:r>
        <w:rPr>
          <w:rFonts w:cs="ArialNarrow,Bold"/>
        </w:rPr>
        <w:t>Kľúčovým faktorom rastu je</w:t>
      </w:r>
      <w:r w:rsidRPr="0051168E">
        <w:rPr>
          <w:rFonts w:cs="ArialNarrow,Bold"/>
        </w:rPr>
        <w:t xml:space="preserve"> </w:t>
      </w:r>
      <w:r>
        <w:rPr>
          <w:rFonts w:cs="ArialNarrow,Bold"/>
        </w:rPr>
        <w:t xml:space="preserve">aj v tomto roku silná </w:t>
      </w:r>
      <w:r w:rsidRPr="0051168E">
        <w:rPr>
          <w:rFonts w:cs="ArialNarrow,Bold"/>
        </w:rPr>
        <w:t xml:space="preserve">valorizácia dôchodkov spôsobená minuloročným rastom inflácie. Na </w:t>
      </w:r>
      <w:r w:rsidR="00F62AAD">
        <w:rPr>
          <w:rFonts w:cs="ArialNarrow,Bold"/>
        </w:rPr>
        <w:t>navýšení výdavkov</w:t>
      </w:r>
      <w:r w:rsidRPr="0051168E">
        <w:rPr>
          <w:rFonts w:cs="ArialNarrow,Bold"/>
        </w:rPr>
        <w:t xml:space="preserve"> sa významne podieľa aj opatreni</w:t>
      </w:r>
      <w:r>
        <w:rPr>
          <w:rFonts w:cs="ArialNarrow,Bold"/>
        </w:rPr>
        <w:t>e</w:t>
      </w:r>
      <w:r w:rsidRPr="0051168E">
        <w:rPr>
          <w:rFonts w:cs="ArialNarrow,Bold"/>
        </w:rPr>
        <w:t xml:space="preserve"> umožňujúce odchod do dôchodku po 40. odpracovaných rokoch. </w:t>
      </w:r>
      <w:r w:rsidR="00901050">
        <w:rPr>
          <w:rFonts w:cs="ArialNarrow,Bold"/>
        </w:rPr>
        <w:t xml:space="preserve">Vplyv </w:t>
      </w:r>
      <w:r w:rsidR="00901050">
        <w:rPr>
          <w:rFonts w:cs="ArialNarrow,Bold"/>
        </w:rPr>
        <w:lastRenderedPageBreak/>
        <w:t xml:space="preserve">má </w:t>
      </w:r>
      <w:r w:rsidRPr="0051168E">
        <w:rPr>
          <w:rFonts w:cs="ArialNarrow,Bold"/>
        </w:rPr>
        <w:t>aj  navýšenie 13. dôchodkov na úroveň priemerného dôchodku</w:t>
      </w:r>
      <w:r>
        <w:rPr>
          <w:rStyle w:val="Odkaznapoznmkupodiarou"/>
          <w:rFonts w:cs="ArialNarrow,Bold"/>
        </w:rPr>
        <w:footnoteReference w:id="19"/>
      </w:r>
      <w:r>
        <w:rPr>
          <w:rFonts w:cs="ArialNarrow,Bold"/>
        </w:rPr>
        <w:t>.</w:t>
      </w:r>
      <w:r w:rsidRPr="0051168E">
        <w:rPr>
          <w:rFonts w:cs="ArialNarrow,Bold"/>
        </w:rPr>
        <w:t xml:space="preserve"> </w:t>
      </w:r>
      <w:r>
        <w:rPr>
          <w:rFonts w:cs="ArialNarrow,Bold"/>
        </w:rPr>
        <w:t>Rast výdavkov na sociálne dávky spôsobujú</w:t>
      </w:r>
      <w:r w:rsidRPr="0051168E">
        <w:rPr>
          <w:rFonts w:cs="ArialNarrow,Bold"/>
        </w:rPr>
        <w:t xml:space="preserve"> aj niektoré menšie opatrenia.</w:t>
      </w:r>
      <w:r>
        <w:rPr>
          <w:rStyle w:val="Odkaznapoznmkupodiarou"/>
          <w:rFonts w:cs="ArialNarrow,Bold"/>
        </w:rPr>
        <w:footnoteReference w:id="20"/>
      </w:r>
    </w:p>
    <w:p w14:paraId="47E67905" w14:textId="5407966E" w:rsidR="009A2A34" w:rsidRPr="00530805" w:rsidRDefault="00E616B6" w:rsidP="00E038C8">
      <w:pPr>
        <w:spacing w:after="120"/>
        <w:jc w:val="both"/>
        <w:rPr>
          <w:rFonts w:cs="ArialNarrow,Bold"/>
          <w:b/>
          <w:bCs/>
          <w:color w:val="000000"/>
        </w:rPr>
      </w:pPr>
      <w:r>
        <w:rPr>
          <w:rFonts w:cs="ArialNarrow,Bold"/>
          <w:b/>
          <w:bCs/>
          <w:color w:val="000000"/>
        </w:rPr>
        <w:t>Výdavk</w:t>
      </w:r>
      <w:r w:rsidR="009A2A34">
        <w:rPr>
          <w:rFonts w:cs="ArialNarrow,Bold"/>
          <w:b/>
          <w:bCs/>
          <w:color w:val="000000"/>
        </w:rPr>
        <w:t>y</w:t>
      </w:r>
      <w:r w:rsidR="009A2A34" w:rsidRPr="00530805">
        <w:rPr>
          <w:rFonts w:cs="ArialNarrow,Bold"/>
          <w:b/>
          <w:bCs/>
          <w:color w:val="000000"/>
        </w:rPr>
        <w:t xml:space="preserve"> na zdravotníctvo rastú medziročne </w:t>
      </w:r>
      <w:r w:rsidR="009A2A34">
        <w:rPr>
          <w:rFonts w:cs="ArialNarrow,Bold"/>
          <w:b/>
          <w:bCs/>
          <w:color w:val="000000"/>
        </w:rPr>
        <w:t>takmer o pätinu</w:t>
      </w:r>
      <w:r w:rsidR="009A2A34" w:rsidRPr="00B13B65">
        <w:rPr>
          <w:rFonts w:cs="ArialNarrow,Bold"/>
          <w:b/>
          <w:bCs/>
          <w:color w:val="000000"/>
        </w:rPr>
        <w:t>.</w:t>
      </w:r>
      <w:r w:rsidR="009A2A34" w:rsidRPr="00530805">
        <w:rPr>
          <w:rFonts w:cs="ArialNarrow,Bold"/>
          <w:b/>
          <w:bCs/>
          <w:color w:val="000000"/>
        </w:rPr>
        <w:t xml:space="preserve"> </w:t>
      </w:r>
      <w:r w:rsidR="009A2A34">
        <w:rPr>
          <w:rFonts w:cs="ArialNarrow,Bold"/>
          <w:color w:val="000000"/>
        </w:rPr>
        <w:t>Mzdy zdravotníkov v tomto roku rastú na úrovni takmer 8 %</w:t>
      </w:r>
      <w:r w:rsidR="009A2A34">
        <w:rPr>
          <w:rStyle w:val="Odkaznapoznmkupodiarou"/>
          <w:rFonts w:cs="ArialNarrow,Bold"/>
          <w:color w:val="000000"/>
        </w:rPr>
        <w:footnoteReference w:id="21"/>
      </w:r>
      <w:r w:rsidR="009A2A34" w:rsidRPr="00530805">
        <w:rPr>
          <w:rFonts w:cs="ArialNarrow,Bold"/>
          <w:color w:val="000000"/>
        </w:rPr>
        <w:t xml:space="preserve">. </w:t>
      </w:r>
      <w:r w:rsidR="009A2A34">
        <w:rPr>
          <w:rFonts w:cs="ArialNarrow,Bold"/>
          <w:color w:val="000000"/>
        </w:rPr>
        <w:t>Výdavky v zdravotníctve potiahne</w:t>
      </w:r>
      <w:r w:rsidR="009A2A34" w:rsidRPr="00530805">
        <w:rPr>
          <w:rFonts w:cs="ArialNarrow,Bold"/>
          <w:color w:val="000000"/>
        </w:rPr>
        <w:t xml:space="preserve"> aj 1</w:t>
      </w:r>
      <w:r w:rsidR="009A2A34">
        <w:rPr>
          <w:rFonts w:cs="ArialNarrow,Bold"/>
          <w:color w:val="000000"/>
        </w:rPr>
        <w:t>-percentný</w:t>
      </w:r>
      <w:r w:rsidR="009A2A34" w:rsidRPr="00530805">
        <w:rPr>
          <w:rFonts w:cs="ArialNarrow,Bold"/>
          <w:color w:val="000000"/>
        </w:rPr>
        <w:t xml:space="preserve"> nárast zdravotných odvodov zamestnávateľov, </w:t>
      </w:r>
      <w:r w:rsidR="009A2A34">
        <w:rPr>
          <w:rFonts w:cs="ArialNarrow,Bold"/>
          <w:color w:val="000000"/>
        </w:rPr>
        <w:t>ktorý bude</w:t>
      </w:r>
      <w:r w:rsidR="009A2A34" w:rsidRPr="00530805">
        <w:rPr>
          <w:rFonts w:cs="ArialNarrow,Bold"/>
          <w:color w:val="000000"/>
        </w:rPr>
        <w:t xml:space="preserve"> použit</w:t>
      </w:r>
      <w:r w:rsidR="009A2A34">
        <w:rPr>
          <w:rFonts w:cs="ArialNarrow,Bold"/>
          <w:color w:val="000000"/>
        </w:rPr>
        <w:t>ý</w:t>
      </w:r>
      <w:r w:rsidR="009A2A34" w:rsidRPr="00530805">
        <w:rPr>
          <w:rFonts w:cs="ArialNarrow,Bold"/>
          <w:color w:val="000000"/>
        </w:rPr>
        <w:t xml:space="preserve"> na dofinancovanie zdravotníckych zariadení nad rámec </w:t>
      </w:r>
      <w:r w:rsidR="009A2A34">
        <w:rPr>
          <w:rFonts w:cs="ArialNarrow,Bold"/>
          <w:color w:val="000000"/>
        </w:rPr>
        <w:t xml:space="preserve">zákonného rastu </w:t>
      </w:r>
      <w:r w:rsidR="009A2A34" w:rsidRPr="00530805">
        <w:rPr>
          <w:rFonts w:cs="ArialNarrow,Bold"/>
          <w:color w:val="000000"/>
        </w:rPr>
        <w:t>osobných nákladov a inflácie. Po</w:t>
      </w:r>
      <w:r w:rsidR="009A2A34">
        <w:rPr>
          <w:rFonts w:cs="ArialNarrow,Bold"/>
          <w:color w:val="000000"/>
        </w:rPr>
        <w:t>stupné zvyšovanie vplyvu</w:t>
      </w:r>
      <w:r w:rsidR="009A2A34" w:rsidRPr="00530805">
        <w:rPr>
          <w:rFonts w:cs="ArialNarrow,Bold"/>
          <w:color w:val="000000"/>
        </w:rPr>
        <w:t xml:space="preserve"> </w:t>
      </w:r>
      <w:r w:rsidR="009A2A34">
        <w:rPr>
          <w:rFonts w:cs="ArialNarrow,Bold"/>
          <w:color w:val="000000"/>
        </w:rPr>
        <w:t>zavádzania inovatívnych liekov</w:t>
      </w:r>
      <w:r w:rsidR="009A2A34" w:rsidRPr="00530805">
        <w:rPr>
          <w:rFonts w:cs="ArialNarrow,Bold"/>
          <w:color w:val="000000"/>
        </w:rPr>
        <w:t xml:space="preserve"> z roku 2022 </w:t>
      </w:r>
      <w:r w:rsidR="009A2A34">
        <w:rPr>
          <w:rFonts w:cs="ArialNarrow,Bold"/>
          <w:color w:val="000000"/>
        </w:rPr>
        <w:t>tiež tlačí na rast výdavkov v zdravotníctve</w:t>
      </w:r>
      <w:r w:rsidR="009A2A34" w:rsidRPr="00530805">
        <w:rPr>
          <w:rFonts w:cs="ArialNarrow,Bold"/>
          <w:color w:val="000000"/>
        </w:rPr>
        <w:t xml:space="preserve"> </w:t>
      </w:r>
      <w:r w:rsidR="009A2A34">
        <w:rPr>
          <w:rFonts w:cs="ArialNarrow,Bold"/>
          <w:color w:val="000000"/>
        </w:rPr>
        <w:t>(</w:t>
      </w:r>
      <w:r w:rsidR="009A2A34" w:rsidRPr="00530805">
        <w:rPr>
          <w:rFonts w:cs="ArialNarrow,Bold"/>
          <w:color w:val="000000"/>
        </w:rPr>
        <w:t xml:space="preserve">0,1 % </w:t>
      </w:r>
      <w:r w:rsidR="009A2A34" w:rsidRPr="00E038C8">
        <w:rPr>
          <w:rFonts w:cs="ArialNarrow,Bold"/>
        </w:rPr>
        <w:t>HDP</w:t>
      </w:r>
      <w:r w:rsidR="009A2A34">
        <w:rPr>
          <w:rFonts w:cs="ArialNarrow,Bold"/>
          <w:color w:val="000000"/>
        </w:rPr>
        <w:t>)</w:t>
      </w:r>
      <w:r w:rsidR="009A2A34" w:rsidRPr="00530805">
        <w:rPr>
          <w:rFonts w:cs="ArialNarrow,Bold"/>
          <w:color w:val="000000"/>
        </w:rPr>
        <w:t>.</w:t>
      </w:r>
      <w:r w:rsidR="009A2A34" w:rsidRPr="00530805">
        <w:rPr>
          <w:rStyle w:val="Odkaznapoznmkupodiarou"/>
          <w:rFonts w:cs="ArialNarrow,Bold"/>
          <w:color w:val="000000"/>
        </w:rPr>
        <w:footnoteReference w:id="22"/>
      </w:r>
    </w:p>
    <w:p w14:paraId="6FBD8403" w14:textId="43470027" w:rsidR="009A2A34" w:rsidRDefault="009A2A34" w:rsidP="009A2A34">
      <w:pPr>
        <w:jc w:val="both"/>
        <w:rPr>
          <w:rFonts w:cs="ArialNarrow,Bold"/>
        </w:rPr>
      </w:pPr>
      <w:r w:rsidRPr="00530805">
        <w:rPr>
          <w:rFonts w:cs="ArialNarrow,Bold"/>
          <w:b/>
          <w:bCs/>
        </w:rPr>
        <w:t xml:space="preserve">Kapitálové výdavky </w:t>
      </w:r>
      <w:r>
        <w:rPr>
          <w:rFonts w:cs="ArialNarrow,Bold"/>
          <w:b/>
          <w:bCs/>
        </w:rPr>
        <w:t>mimo</w:t>
      </w:r>
      <w:r w:rsidRPr="00530805">
        <w:rPr>
          <w:rFonts w:cs="ArialNarrow,Bold"/>
          <w:b/>
          <w:bCs/>
        </w:rPr>
        <w:t xml:space="preserve"> fondov</w:t>
      </w:r>
      <w:r w:rsidR="000A22C5">
        <w:rPr>
          <w:rFonts w:cs="ArialNarrow,Bold"/>
          <w:b/>
          <w:bCs/>
        </w:rPr>
        <w:t xml:space="preserve"> </w:t>
      </w:r>
      <w:r w:rsidR="000A22C5" w:rsidRPr="00530805">
        <w:rPr>
          <w:rFonts w:cs="ArialNarrow,Bold"/>
          <w:b/>
          <w:bCs/>
        </w:rPr>
        <w:t>EÚ</w:t>
      </w:r>
      <w:r w:rsidRPr="00530805">
        <w:rPr>
          <w:rFonts w:cs="ArialNarrow,Bold"/>
          <w:b/>
          <w:bCs/>
        </w:rPr>
        <w:t xml:space="preserve"> a Plánu obnovy </w:t>
      </w:r>
      <w:r>
        <w:rPr>
          <w:rFonts w:cs="ArialNarrow,Bold"/>
          <w:b/>
          <w:bCs/>
        </w:rPr>
        <w:t>rastú</w:t>
      </w:r>
      <w:r w:rsidRPr="00530805">
        <w:rPr>
          <w:rFonts w:cs="ArialNarrow,Bold"/>
          <w:b/>
          <w:bCs/>
        </w:rPr>
        <w:t xml:space="preserve"> o </w:t>
      </w:r>
      <w:r>
        <w:rPr>
          <w:rFonts w:cs="ArialNarrow,Bold"/>
          <w:b/>
          <w:bCs/>
        </w:rPr>
        <w:t>13</w:t>
      </w:r>
      <w:r w:rsidRPr="0077461E">
        <w:rPr>
          <w:rFonts w:cs="ArialNarrow,Bold"/>
          <w:b/>
          <w:bCs/>
        </w:rPr>
        <w:t xml:space="preserve"> %.</w:t>
      </w:r>
      <w:r>
        <w:rPr>
          <w:rFonts w:cs="ArialNarrow,Bold"/>
        </w:rPr>
        <w:t xml:space="preserve"> Plánuje sa výstavba úseku rýchlostnej cesty R2 Kriváň – Mýtna a diaľničného úseku D1 Hubová – Ivachnová. </w:t>
      </w:r>
      <w:r w:rsidRPr="00530805">
        <w:rPr>
          <w:rFonts w:cs="ArialNarrow,Bold"/>
        </w:rPr>
        <w:t xml:space="preserve">Náklady na prevádzku a údržbu železničnej infraštruktúry rastú o 0,2 % HDP. </w:t>
      </w:r>
      <w:r w:rsidRPr="00643842">
        <w:rPr>
          <w:rFonts w:cs="ArialNarrow,Bold"/>
        </w:rPr>
        <w:t>Na obranu sa v tomto roku vy</w:t>
      </w:r>
      <w:r>
        <w:rPr>
          <w:rFonts w:cs="ArialNarrow,Bold"/>
        </w:rPr>
        <w:t>naloží</w:t>
      </w:r>
      <w:r w:rsidRPr="00643842">
        <w:rPr>
          <w:rFonts w:cs="ArialNarrow,Bold"/>
        </w:rPr>
        <w:t xml:space="preserve"> </w:t>
      </w:r>
      <w:r>
        <w:rPr>
          <w:rFonts w:cs="ArialNarrow,Bold"/>
        </w:rPr>
        <w:t>výrazne viac prostriedkov hlavne z dôvodu dodania značného objemu obrannej techniky</w:t>
      </w:r>
      <w:r w:rsidRPr="00643842">
        <w:rPr>
          <w:rFonts w:cs="ArialNarrow,Bold"/>
        </w:rPr>
        <w:t xml:space="preserve">, čo predstavuje medziročný nárast na kapitálových výdavkoch </w:t>
      </w:r>
      <w:r w:rsidRPr="0051168E">
        <w:rPr>
          <w:rFonts w:cs="ArialNarrow,Bold"/>
        </w:rPr>
        <w:t>o 0,6 % HDP</w:t>
      </w:r>
      <w:r w:rsidRPr="00867677">
        <w:rPr>
          <w:rFonts w:cs="ArialNarrow,Bold"/>
        </w:rPr>
        <w:t>.</w:t>
      </w:r>
      <w:r>
        <w:rPr>
          <w:rFonts w:cs="ArialNarrow,Bold"/>
        </w:rPr>
        <w:t xml:space="preserve"> V roku 2024 majú byť</w:t>
      </w:r>
      <w:r w:rsidR="00F62AAD">
        <w:rPr>
          <w:rFonts w:cs="ArialNarrow,Bold"/>
        </w:rPr>
        <w:t xml:space="preserve"> podľa súčasných predpokkladov</w:t>
      </w:r>
      <w:r>
        <w:rPr>
          <w:rFonts w:cs="ArialNarrow,Bold"/>
        </w:rPr>
        <w:t xml:space="preserve"> dodané prvé lietadlá F-16</w:t>
      </w:r>
      <w:r w:rsidR="007C6D3C">
        <w:rPr>
          <w:rFonts w:cs="ArialNarrow,Bold"/>
        </w:rPr>
        <w:t xml:space="preserve"> a</w:t>
      </w:r>
      <w:r>
        <w:rPr>
          <w:rFonts w:cs="ArialNarrow,Bold"/>
        </w:rPr>
        <w:t xml:space="preserve"> obrnené vozidlá 8x8</w:t>
      </w:r>
      <w:r w:rsidR="007C6D3C">
        <w:rPr>
          <w:rFonts w:cs="ArialNarrow,Bold"/>
        </w:rPr>
        <w:t>.</w:t>
      </w:r>
    </w:p>
    <w:p w14:paraId="547E6711" w14:textId="77777777" w:rsidR="009A2A34" w:rsidRDefault="009A2A34" w:rsidP="009A2A34">
      <w:pPr>
        <w:jc w:val="both"/>
        <w:rPr>
          <w:rFonts w:cs="ArialNarrow,Bold"/>
        </w:rPr>
      </w:pPr>
    </w:p>
    <w:p w14:paraId="1044DA4F" w14:textId="77777777" w:rsidR="009A2A34" w:rsidRPr="00EC7375" w:rsidRDefault="009A2A34" w:rsidP="009A2A34">
      <w:pPr>
        <w:rPr>
          <w:b/>
          <w:bCs/>
          <w:color w:val="FF0000"/>
        </w:rPr>
      </w:pPr>
      <w:r>
        <w:rPr>
          <w:rFonts w:cs="ArialNarrow,Bold"/>
          <w:b/>
          <w:bCs/>
          <w:color w:val="FF0000"/>
        </w:rPr>
        <w:t xml:space="preserve"> </w:t>
      </w:r>
    </w:p>
    <w:p w14:paraId="7FEF297D" w14:textId="77777777" w:rsidR="009A2A34" w:rsidRDefault="009A2A34">
      <w:r>
        <w:br w:type="page"/>
      </w:r>
    </w:p>
    <w:p w14:paraId="76B18D00" w14:textId="7C8BFB6B" w:rsidR="009A2A34" w:rsidRPr="00312206" w:rsidRDefault="00174AC2" w:rsidP="00F8670D">
      <w:pPr>
        <w:pStyle w:val="Nadpis1"/>
        <w:numPr>
          <w:ilvl w:val="0"/>
          <w:numId w:val="29"/>
        </w:numPr>
        <w:ind w:left="397" w:hanging="397"/>
        <w:rPr>
          <w:color w:val="2C9ADC"/>
          <w:szCs w:val="28"/>
        </w:rPr>
      </w:pPr>
      <w:bookmarkStart w:id="134" w:name="_Toc164684483"/>
      <w:r>
        <w:rPr>
          <w:color w:val="2C9ADC"/>
          <w:szCs w:val="28"/>
        </w:rPr>
        <w:lastRenderedPageBreak/>
        <w:t>ROZPOČTOVÉ CIELE</w:t>
      </w:r>
      <w:bookmarkEnd w:id="134"/>
    </w:p>
    <w:tbl>
      <w:tblPr>
        <w:tblW w:w="9073" w:type="dxa"/>
        <w:tblInd w:w="-115" w:type="dxa"/>
        <w:tblBorders>
          <w:top w:val="single" w:sz="4" w:space="0" w:color="000000"/>
          <w:left w:val="nil"/>
          <w:bottom w:val="single" w:sz="4" w:space="0" w:color="000000"/>
          <w:right w:val="nil"/>
          <w:insideH w:val="nil"/>
          <w:insideV w:val="nil"/>
        </w:tblBorders>
        <w:tblLayout w:type="fixed"/>
        <w:tblCellMar>
          <w:left w:w="115" w:type="dxa"/>
          <w:right w:w="115" w:type="dxa"/>
        </w:tblCellMar>
        <w:tblLook w:val="0400" w:firstRow="0" w:lastRow="0" w:firstColumn="0" w:lastColumn="0" w:noHBand="0" w:noVBand="1"/>
      </w:tblPr>
      <w:tblGrid>
        <w:gridCol w:w="9073"/>
      </w:tblGrid>
      <w:tr w:rsidR="009A2A34" w:rsidRPr="005E3B98" w14:paraId="56D28BB0" w14:textId="77777777" w:rsidTr="00CC1F9E">
        <w:tc>
          <w:tcPr>
            <w:tcW w:w="9073" w:type="dxa"/>
            <w:shd w:val="clear" w:color="auto" w:fill="auto"/>
          </w:tcPr>
          <w:p w14:paraId="147B3CA7" w14:textId="65EB47E3" w:rsidR="009A2A34" w:rsidRPr="00994849" w:rsidRDefault="009A2A34" w:rsidP="00CC1F9E">
            <w:pPr>
              <w:spacing w:before="100" w:after="100"/>
              <w:jc w:val="both"/>
              <w:rPr>
                <w:bCs/>
                <w:i/>
              </w:rPr>
            </w:pPr>
            <w:r>
              <w:rPr>
                <w:bCs/>
                <w:i/>
              </w:rPr>
              <w:t>Vláda v</w:t>
            </w:r>
            <w:r w:rsidRPr="00D56B37">
              <w:rPr>
                <w:bCs/>
                <w:i/>
              </w:rPr>
              <w:t xml:space="preserve"> Program</w:t>
            </w:r>
            <w:r>
              <w:rPr>
                <w:bCs/>
                <w:i/>
              </w:rPr>
              <w:t>e</w:t>
            </w:r>
            <w:r w:rsidRPr="00D56B37">
              <w:rPr>
                <w:bCs/>
                <w:i/>
              </w:rPr>
              <w:t xml:space="preserve"> stability zachov</w:t>
            </w:r>
            <w:r>
              <w:rPr>
                <w:bCs/>
                <w:i/>
              </w:rPr>
              <w:t>áva</w:t>
            </w:r>
            <w:r w:rsidRPr="00D56B37">
              <w:rPr>
                <w:bCs/>
                <w:i/>
              </w:rPr>
              <w:t xml:space="preserve"> doterajší plán poklesu nominálneho deficitu o</w:t>
            </w:r>
            <w:r w:rsidRPr="00D56B37">
              <w:rPr>
                <w:rFonts w:ascii="Arial" w:hAnsi="Arial" w:cs="Arial"/>
                <w:bCs/>
                <w:i/>
              </w:rPr>
              <w:t> </w:t>
            </w:r>
            <w:r w:rsidRPr="00D56B37">
              <w:rPr>
                <w:bCs/>
                <w:i/>
              </w:rPr>
              <w:t>1 % HDP ro</w:t>
            </w:r>
            <w:r w:rsidRPr="00D56B37">
              <w:rPr>
                <w:rFonts w:cs="Arial Narrow"/>
                <w:bCs/>
                <w:i/>
              </w:rPr>
              <w:t>č</w:t>
            </w:r>
            <w:r w:rsidRPr="00D56B37">
              <w:rPr>
                <w:bCs/>
                <w:i/>
              </w:rPr>
              <w:t>ne</w:t>
            </w:r>
            <w:r>
              <w:rPr>
                <w:bCs/>
                <w:i/>
              </w:rPr>
              <w:t>. Takýto pokles schodku</w:t>
            </w:r>
            <w:r w:rsidRPr="00D56B37">
              <w:rPr>
                <w:bCs/>
                <w:i/>
              </w:rPr>
              <w:t xml:space="preserve"> </w:t>
            </w:r>
            <w:r>
              <w:rPr>
                <w:bCs/>
                <w:i/>
              </w:rPr>
              <w:t>zabezpečí deficitné hospodárenie pod 3 % HDP na konci volebného obdobia a teda aj vystúpenie</w:t>
            </w:r>
            <w:r w:rsidRPr="00D56B37">
              <w:rPr>
                <w:bCs/>
                <w:i/>
              </w:rPr>
              <w:t xml:space="preserve"> z</w:t>
            </w:r>
            <w:r w:rsidRPr="00D56B37">
              <w:rPr>
                <w:rFonts w:ascii="Arial" w:hAnsi="Arial" w:cs="Arial"/>
                <w:bCs/>
                <w:i/>
              </w:rPr>
              <w:t> </w:t>
            </w:r>
            <w:r w:rsidRPr="00A469AE">
              <w:rPr>
                <w:bCs/>
                <w:i/>
              </w:rPr>
              <w:t>očakávanej</w:t>
            </w:r>
            <w:r>
              <w:rPr>
                <w:rFonts w:ascii="Arial" w:hAnsi="Arial" w:cs="Arial"/>
                <w:bCs/>
                <w:i/>
              </w:rPr>
              <w:t xml:space="preserve"> </w:t>
            </w:r>
            <w:r w:rsidRPr="00D56B37">
              <w:rPr>
                <w:bCs/>
                <w:i/>
              </w:rPr>
              <w:t>proced</w:t>
            </w:r>
            <w:r w:rsidRPr="00D56B37">
              <w:rPr>
                <w:rFonts w:cs="Arial Narrow"/>
                <w:bCs/>
                <w:i/>
              </w:rPr>
              <w:t>ú</w:t>
            </w:r>
            <w:r w:rsidRPr="00D56B37">
              <w:rPr>
                <w:bCs/>
                <w:i/>
              </w:rPr>
              <w:t>ry nadmern</w:t>
            </w:r>
            <w:r w:rsidRPr="00D56B37">
              <w:rPr>
                <w:rFonts w:cs="Arial Narrow"/>
                <w:bCs/>
                <w:i/>
              </w:rPr>
              <w:t>é</w:t>
            </w:r>
            <w:r w:rsidRPr="00D56B37">
              <w:rPr>
                <w:bCs/>
                <w:i/>
              </w:rPr>
              <w:t>ho deficitu. Z</w:t>
            </w:r>
            <w:r w:rsidRPr="00D56B37">
              <w:rPr>
                <w:rFonts w:cs="Arial Narrow"/>
                <w:bCs/>
                <w:i/>
              </w:rPr>
              <w:t>á</w:t>
            </w:r>
            <w:r w:rsidRPr="00D56B37">
              <w:rPr>
                <w:bCs/>
                <w:i/>
              </w:rPr>
              <w:t>rove</w:t>
            </w:r>
            <w:r w:rsidRPr="00D56B37">
              <w:rPr>
                <w:rFonts w:cs="Arial Narrow"/>
                <w:bCs/>
                <w:i/>
              </w:rPr>
              <w:t>ň</w:t>
            </w:r>
            <w:r w:rsidRPr="00D56B37">
              <w:rPr>
                <w:bCs/>
                <w:i/>
              </w:rPr>
              <w:t xml:space="preserve"> sa </w:t>
            </w:r>
            <w:r>
              <w:rPr>
                <w:bCs/>
                <w:i/>
              </w:rPr>
              <w:t xml:space="preserve">tak </w:t>
            </w:r>
            <w:r w:rsidRPr="00D56B37">
              <w:rPr>
                <w:bCs/>
                <w:i/>
              </w:rPr>
              <w:t>stabiliz</w:t>
            </w:r>
            <w:r>
              <w:rPr>
                <w:bCs/>
                <w:i/>
              </w:rPr>
              <w:t>uje</w:t>
            </w:r>
            <w:r w:rsidRPr="00D56B37">
              <w:rPr>
                <w:bCs/>
                <w:i/>
              </w:rPr>
              <w:t xml:space="preserve"> </w:t>
            </w:r>
            <w:r>
              <w:rPr>
                <w:bCs/>
                <w:i/>
              </w:rPr>
              <w:t>rastúci trend vývoja</w:t>
            </w:r>
            <w:r w:rsidRPr="00D56B37">
              <w:rPr>
                <w:bCs/>
                <w:i/>
              </w:rPr>
              <w:t xml:space="preserve"> dlhu.</w:t>
            </w:r>
            <w:r>
              <w:rPr>
                <w:bCs/>
                <w:i/>
              </w:rPr>
              <w:t xml:space="preserve"> V </w:t>
            </w:r>
            <w:r w:rsidDel="0090630A">
              <w:rPr>
                <w:bCs/>
                <w:i/>
              </w:rPr>
              <w:t xml:space="preserve"> </w:t>
            </w:r>
            <w:r>
              <w:rPr>
                <w:bCs/>
                <w:i/>
              </w:rPr>
              <w:t> Programe stability sú na rok 2025 už zapracované viaceré konsolidačné opatreni</w:t>
            </w:r>
            <w:r w:rsidR="0094403E">
              <w:rPr>
                <w:bCs/>
                <w:i/>
              </w:rPr>
              <w:t>a,</w:t>
            </w:r>
            <w:r>
              <w:rPr>
                <w:bCs/>
                <w:i/>
              </w:rPr>
              <w:t xml:space="preserve"> ako napríklad nevyplácanie žiadnej energo-pomoci a tlmenie rastu miezd verejných zamestnancov.</w:t>
            </w:r>
            <w:r w:rsidR="00901050">
              <w:rPr>
                <w:bCs/>
                <w:i/>
              </w:rPr>
              <w:t xml:space="preserve"> V</w:t>
            </w:r>
            <w:r>
              <w:rPr>
                <w:bCs/>
                <w:i/>
              </w:rPr>
              <w:t>láda už ohlásila zámer zaviesť novú daň zo sladených nápojov a výraznejšie zdanenie tabakových výrobkov. D</w:t>
            </w:r>
            <w:r w:rsidRPr="00D56B37">
              <w:rPr>
                <w:bCs/>
                <w:i/>
              </w:rPr>
              <w:t xml:space="preserve">o konca </w:t>
            </w:r>
            <w:r w:rsidRPr="004E49F2">
              <w:rPr>
                <w:bCs/>
                <w:i/>
              </w:rPr>
              <w:t>volebn</w:t>
            </w:r>
            <w:r w:rsidRPr="004E49F2">
              <w:rPr>
                <w:rFonts w:cs="Arial Narrow"/>
                <w:bCs/>
                <w:i/>
              </w:rPr>
              <w:t>é</w:t>
            </w:r>
            <w:r w:rsidRPr="004E49F2">
              <w:rPr>
                <w:bCs/>
                <w:i/>
              </w:rPr>
              <w:t>ho obdobia</w:t>
            </w:r>
            <w:r>
              <w:rPr>
                <w:bCs/>
                <w:i/>
              </w:rPr>
              <w:t xml:space="preserve"> je</w:t>
            </w:r>
            <w:r w:rsidR="00BD6E6C">
              <w:rPr>
                <w:bCs/>
                <w:i/>
              </w:rPr>
              <w:t xml:space="preserve"> pri súčasnom poznaní rozpočtu</w:t>
            </w:r>
            <w:r>
              <w:rPr>
                <w:bCs/>
                <w:i/>
              </w:rPr>
              <w:t xml:space="preserve"> potrebné prijať úspory celkovo v objeme</w:t>
            </w:r>
            <w:r w:rsidRPr="004E49F2">
              <w:rPr>
                <w:bCs/>
                <w:i/>
              </w:rPr>
              <w:t xml:space="preserve"> 2,6 % HDP</w:t>
            </w:r>
            <w:r>
              <w:rPr>
                <w:bCs/>
                <w:i/>
              </w:rPr>
              <w:t>.</w:t>
            </w:r>
            <w:r w:rsidRPr="004E49F2">
              <w:rPr>
                <w:bCs/>
                <w:i/>
              </w:rPr>
              <w:t xml:space="preserve"> </w:t>
            </w:r>
          </w:p>
        </w:tc>
      </w:tr>
    </w:tbl>
    <w:p w14:paraId="6645C18B" w14:textId="3322D4FF" w:rsidR="009A2A34" w:rsidRPr="005D2A07" w:rsidRDefault="009A2A34" w:rsidP="005D2A07">
      <w:pPr>
        <w:spacing w:before="120" w:after="120"/>
        <w:jc w:val="both"/>
        <w:rPr>
          <w:bCs/>
        </w:rPr>
      </w:pPr>
      <w:bookmarkStart w:id="135" w:name="_30j0zll" w:colFirst="0" w:colLast="0"/>
      <w:bookmarkEnd w:id="135"/>
      <w:r w:rsidRPr="005D2A07">
        <w:rPr>
          <w:b/>
        </w:rPr>
        <w:t>Vláda plánuje v najbližších troch rokoch znižovať nominálny schodok o 1. p. b HDP, čo je kľúčové na splnenia cieľa stabilizovať rastúce zadlženie do konca volebného obdobia.</w:t>
      </w:r>
      <w:r w:rsidRPr="005D2A07">
        <w:rPr>
          <w:bCs/>
        </w:rPr>
        <w:t xml:space="preserve"> Zastavenie rastu dlhu je potrebné pre budovanie fiškálneho priestoru pre očakávané náklady súvisiace so starnutím populácie a pre budúce šoky z</w:t>
      </w:r>
      <w:r w:rsidRPr="005D2A07">
        <w:rPr>
          <w:rFonts w:ascii="Arial" w:hAnsi="Arial" w:cs="Arial"/>
          <w:bCs/>
        </w:rPr>
        <w:t> </w:t>
      </w:r>
      <w:r w:rsidRPr="005D2A07">
        <w:rPr>
          <w:bCs/>
        </w:rPr>
        <w:t xml:space="preserve">rizík, ktorým Slovensko môže čeliť. Naopak, bez zásahu vlády by </w:t>
      </w:r>
      <w:r w:rsidR="003F044B">
        <w:rPr>
          <w:bCs/>
        </w:rPr>
        <w:t xml:space="preserve">dlh na konci volebného obdobia </w:t>
      </w:r>
      <w:r w:rsidRPr="005D2A07">
        <w:rPr>
          <w:bCs/>
        </w:rPr>
        <w:t xml:space="preserve">atakoval hranicu </w:t>
      </w:r>
      <w:r w:rsidR="003F044B">
        <w:rPr>
          <w:bCs/>
        </w:rPr>
        <w:t>7</w:t>
      </w:r>
      <w:r w:rsidRPr="005D2A07">
        <w:rPr>
          <w:bCs/>
        </w:rPr>
        <w:t>0 % HDP (viac v kapitole dlh a udržateľnosť verejných financií). Na stabilizáciu dlhu je potrebné znížiť rozpočtový schodok k</w:t>
      </w:r>
      <w:r w:rsidRPr="005D2A07">
        <w:rPr>
          <w:rFonts w:ascii="Arial" w:hAnsi="Arial" w:cs="Arial"/>
          <w:bCs/>
        </w:rPr>
        <w:t> </w:t>
      </w:r>
      <w:r w:rsidRPr="005D2A07">
        <w:rPr>
          <w:bCs/>
        </w:rPr>
        <w:t>3 % HDP, teda dodržať doterajší cieľ z návrhu rozpočtu. Z pohľadu konsolidačného úsilia meraného ako celkové  zníženie štrukturálneho deficitu do konca volebného obdobia by šlo o celkové konsolidačné úsilie medzi 2 a 3 p. b. HDP. Takto nastavené rozpočtové ciele stabilizujú dlh už na konci aktuálneho volebného obdobia. Zároveň nastavia klesajúci trend vývoja zadlženia v</w:t>
      </w:r>
      <w:r w:rsidRPr="005D2A07">
        <w:rPr>
          <w:rFonts w:ascii="Arial" w:hAnsi="Arial" w:cs="Arial"/>
          <w:bCs/>
        </w:rPr>
        <w:t> </w:t>
      </w:r>
      <w:r w:rsidRPr="005D2A07">
        <w:rPr>
          <w:bCs/>
        </w:rPr>
        <w:t>pomere k</w:t>
      </w:r>
      <w:r w:rsidRPr="005D2A07">
        <w:rPr>
          <w:rFonts w:ascii="Arial" w:hAnsi="Arial" w:cs="Arial"/>
          <w:bCs/>
        </w:rPr>
        <w:t> </w:t>
      </w:r>
      <w:r w:rsidRPr="005D2A07">
        <w:rPr>
          <w:bCs/>
        </w:rPr>
        <w:t>HDP po tomto období. Sú tiež v súlade s novými európskymi pravidlami, postavenými na tzv. výdavkovom pravidle (</w:t>
      </w:r>
      <w:r w:rsidR="005D2A07" w:rsidRPr="009A25FC">
        <w:rPr>
          <w:rFonts w:cs="ArialNarrow,Bold"/>
          <w:b/>
          <w:bCs/>
          <w:color w:val="2C9BDD"/>
        </w:rPr>
        <w:t xml:space="preserve">BOX </w:t>
      </w:r>
      <w:r w:rsidR="005D2A07">
        <w:rPr>
          <w:rFonts w:cs="ArialNarrow,Bold"/>
          <w:b/>
          <w:bCs/>
          <w:color w:val="2C9BDD"/>
        </w:rPr>
        <w:t>4</w:t>
      </w:r>
      <w:r w:rsidRPr="005D2A07">
        <w:rPr>
          <w:bCs/>
        </w:rPr>
        <w:t>).</w:t>
      </w:r>
    </w:p>
    <w:p w14:paraId="1D1ECCD6" w14:textId="3EBC732B" w:rsidR="009A2A34" w:rsidRPr="00885665" w:rsidRDefault="009A2A34" w:rsidP="005D2A07">
      <w:pPr>
        <w:spacing w:before="120" w:after="120"/>
        <w:jc w:val="both"/>
        <w:rPr>
          <w:bCs/>
        </w:rPr>
      </w:pPr>
      <w:r w:rsidRPr="005D2A07">
        <w:rPr>
          <w:b/>
        </w:rPr>
        <w:t xml:space="preserve">V budúcom roku vláda v súlade so svojím záväzkom zníži nominálny deficit pod 5 % HDP. </w:t>
      </w:r>
      <w:r>
        <w:rPr>
          <w:bCs/>
        </w:rPr>
        <w:t xml:space="preserve">Rozpočtový vývoj bude nepriaznivo ovplyvnený </w:t>
      </w:r>
      <w:r w:rsidRPr="00885665">
        <w:rPr>
          <w:bCs/>
        </w:rPr>
        <w:t>poklesom daňových a nedaňových príjmov na HDP, či rastúcich úrokových nákladov a výdavkov na obranu, čo navyšuje potrebu konsolidačných opatrení. V aktuálne nastavenom rozpočte už sú však zároveň zahrnuté niektoré opatrenia, ktoré budú tento nepriaznivý vývoj kompenzovať. Ide predovšetkým o plánované tlmenie rastu miezd vo verejnom sektore a zastavenie vyplácania energo-pomoci od budúceho roku.</w:t>
      </w:r>
      <w:r w:rsidRPr="007B60B5">
        <w:rPr>
          <w:vertAlign w:val="superscript"/>
        </w:rPr>
        <w:footnoteReference w:id="23"/>
      </w:r>
      <w:r w:rsidRPr="00885665">
        <w:rPr>
          <w:bCs/>
        </w:rPr>
        <w:t xml:space="preserve"> </w:t>
      </w:r>
      <w:r w:rsidR="00847AD9">
        <w:rPr>
          <w:bCs/>
        </w:rPr>
        <w:t>Rovnako za</w:t>
      </w:r>
      <w:r w:rsidRPr="00885665">
        <w:rPr>
          <w:bCs/>
        </w:rPr>
        <w:t xml:space="preserve"> týmto účelom bolo zatiaľ ohlásené zavedenie zdanenia sladených nápojov ako aj tabakových výrobkov, </w:t>
      </w:r>
      <w:r w:rsidR="0094403E">
        <w:rPr>
          <w:bCs/>
        </w:rPr>
        <w:t>ktoré</w:t>
      </w:r>
      <w:r w:rsidRPr="00885665">
        <w:rPr>
          <w:bCs/>
        </w:rPr>
        <w:t xml:space="preserve"> ešte nie sú zahrnuté v  rozpočte Programu stability (k jednotlivým opatreniam viac nižšie). Ďalšie opatrenia budú predstavené postupne</w:t>
      </w:r>
      <w:r w:rsidR="00E113A2">
        <w:rPr>
          <w:bCs/>
        </w:rPr>
        <w:t>,</w:t>
      </w:r>
      <w:r w:rsidRPr="00885665">
        <w:rPr>
          <w:bCs/>
        </w:rPr>
        <w:t xml:space="preserve"> tak aby boli známe do prípravy finálneho návrhu rozpočtu na roky 2025 až 2027.</w:t>
      </w:r>
    </w:p>
    <w:p w14:paraId="41A4F154" w14:textId="19E3A036" w:rsidR="009A2A34" w:rsidRPr="005F79F7" w:rsidRDefault="009A2A34" w:rsidP="00664E8C">
      <w:pPr>
        <w:pStyle w:val="Tabuka"/>
        <w:spacing w:before="120" w:after="0"/>
        <w:rPr>
          <w:i/>
        </w:rPr>
      </w:pPr>
      <w:bookmarkStart w:id="136" w:name="_Toc117765224"/>
      <w:bookmarkStart w:id="137" w:name="_Toc153185511"/>
      <w:bookmarkStart w:id="138" w:name="_Toc164684553"/>
      <w:r w:rsidRPr="00885665">
        <w:t xml:space="preserve">TABUĽKA </w:t>
      </w:r>
      <w:r w:rsidR="008D6A85" w:rsidRPr="00885665">
        <w:rPr>
          <w:bCs w:val="0"/>
        </w:rPr>
        <w:fldChar w:fldCharType="begin"/>
      </w:r>
      <w:r w:rsidR="008D6A85" w:rsidRPr="00885665">
        <w:rPr>
          <w:bCs w:val="0"/>
        </w:rPr>
        <w:instrText xml:space="preserve"> SEQ TABUĽKA \* ARABIC </w:instrText>
      </w:r>
      <w:r w:rsidR="008D6A85" w:rsidRPr="00885665">
        <w:rPr>
          <w:bCs w:val="0"/>
        </w:rPr>
        <w:fldChar w:fldCharType="separate"/>
      </w:r>
      <w:r w:rsidR="007435E9">
        <w:rPr>
          <w:bCs w:val="0"/>
          <w:noProof/>
        </w:rPr>
        <w:t>4</w:t>
      </w:r>
      <w:r w:rsidR="008D6A85" w:rsidRPr="00885665">
        <w:rPr>
          <w:bCs w:val="0"/>
        </w:rPr>
        <w:fldChar w:fldCharType="end"/>
      </w:r>
      <w:r w:rsidRPr="00885665">
        <w:t xml:space="preserve"> – Konsolidačné úsilie (ESA 2010, % HDP)</w:t>
      </w:r>
      <w:bookmarkEnd w:id="136"/>
      <w:bookmarkEnd w:id="137"/>
      <w:bookmarkEnd w:id="138"/>
    </w:p>
    <w:tbl>
      <w:tblPr>
        <w:tblW w:w="9134" w:type="dxa"/>
        <w:jc w:val="center"/>
        <w:tblLayout w:type="fixed"/>
        <w:tblCellMar>
          <w:left w:w="70" w:type="dxa"/>
          <w:right w:w="70" w:type="dxa"/>
        </w:tblCellMar>
        <w:tblLook w:val="04A0" w:firstRow="1" w:lastRow="0" w:firstColumn="1" w:lastColumn="0" w:noHBand="0" w:noVBand="1"/>
      </w:tblPr>
      <w:tblGrid>
        <w:gridCol w:w="3686"/>
        <w:gridCol w:w="850"/>
        <w:gridCol w:w="709"/>
        <w:gridCol w:w="851"/>
        <w:gridCol w:w="992"/>
        <w:gridCol w:w="992"/>
        <w:gridCol w:w="1054"/>
      </w:tblGrid>
      <w:tr w:rsidR="009A2A34" w:rsidRPr="005E3B98" w14:paraId="65D94794" w14:textId="77777777" w:rsidTr="00CC1F9E">
        <w:trPr>
          <w:trHeight w:val="244"/>
          <w:jc w:val="center"/>
        </w:trPr>
        <w:tc>
          <w:tcPr>
            <w:tcW w:w="3686" w:type="dxa"/>
            <w:tcBorders>
              <w:top w:val="single" w:sz="8" w:space="0" w:color="auto"/>
              <w:left w:val="nil"/>
              <w:bottom w:val="single" w:sz="8" w:space="0" w:color="auto"/>
              <w:right w:val="single" w:sz="4" w:space="0" w:color="auto"/>
            </w:tcBorders>
            <w:shd w:val="clear" w:color="auto" w:fill="auto"/>
            <w:noWrap/>
            <w:vAlign w:val="center"/>
            <w:hideMark/>
          </w:tcPr>
          <w:p w14:paraId="6FCAF735" w14:textId="77777777" w:rsidR="009A2A34" w:rsidRPr="005F79F7" w:rsidRDefault="009A2A34" w:rsidP="00CC1F9E">
            <w:pPr>
              <w:rPr>
                <w:rFonts w:cs="Times New Roman"/>
                <w:b/>
                <w:bCs/>
                <w:color w:val="000000"/>
                <w:sz w:val="18"/>
                <w:szCs w:val="18"/>
              </w:rPr>
            </w:pPr>
            <w:r w:rsidRPr="005F79F7">
              <w:rPr>
                <w:rFonts w:cs="Times New Roman"/>
                <w:b/>
                <w:bCs/>
                <w:color w:val="000000"/>
                <w:sz w:val="18"/>
                <w:szCs w:val="18"/>
              </w:rPr>
              <w:t> </w:t>
            </w:r>
          </w:p>
        </w:tc>
        <w:tc>
          <w:tcPr>
            <w:tcW w:w="850" w:type="dxa"/>
            <w:tcBorders>
              <w:top w:val="single" w:sz="8" w:space="0" w:color="auto"/>
              <w:left w:val="single" w:sz="4" w:space="0" w:color="auto"/>
              <w:bottom w:val="single" w:sz="8" w:space="0" w:color="auto"/>
              <w:right w:val="nil"/>
            </w:tcBorders>
            <w:shd w:val="clear" w:color="auto" w:fill="auto"/>
            <w:noWrap/>
            <w:vAlign w:val="center"/>
            <w:hideMark/>
          </w:tcPr>
          <w:p w14:paraId="587AA856" w14:textId="77777777" w:rsidR="009A2A34" w:rsidRPr="005F79F7" w:rsidRDefault="009A2A34" w:rsidP="00CC1F9E">
            <w:pPr>
              <w:jc w:val="center"/>
              <w:rPr>
                <w:rFonts w:cs="Times New Roman"/>
                <w:b/>
                <w:bCs/>
                <w:color w:val="A6A6A6" w:themeColor="background1" w:themeShade="A6"/>
                <w:sz w:val="18"/>
                <w:szCs w:val="18"/>
              </w:rPr>
            </w:pPr>
            <w:r w:rsidRPr="005F79F7">
              <w:rPr>
                <w:rFonts w:cs="Times New Roman"/>
                <w:b/>
                <w:bCs/>
                <w:color w:val="A6A6A6" w:themeColor="background1" w:themeShade="A6"/>
                <w:sz w:val="18"/>
                <w:szCs w:val="18"/>
              </w:rPr>
              <w:t>2022 S</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14:paraId="7498BD49" w14:textId="77777777" w:rsidR="009A2A34" w:rsidRPr="005F79F7" w:rsidRDefault="009A2A34" w:rsidP="00CC1F9E">
            <w:pPr>
              <w:jc w:val="center"/>
              <w:rPr>
                <w:rFonts w:cs="Times New Roman"/>
                <w:b/>
                <w:bCs/>
                <w:color w:val="A6A6A6" w:themeColor="background1" w:themeShade="A6"/>
                <w:sz w:val="18"/>
                <w:szCs w:val="18"/>
              </w:rPr>
            </w:pPr>
            <w:r w:rsidRPr="005F79F7">
              <w:rPr>
                <w:rFonts w:cs="Times New Roman"/>
                <w:b/>
                <w:bCs/>
                <w:color w:val="A6A6A6" w:themeColor="background1" w:themeShade="A6"/>
                <w:sz w:val="18"/>
                <w:szCs w:val="18"/>
              </w:rPr>
              <w:t>2023 S</w:t>
            </w:r>
          </w:p>
        </w:tc>
        <w:tc>
          <w:tcPr>
            <w:tcW w:w="851"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2A295C1" w14:textId="77777777" w:rsidR="009A2A34" w:rsidRPr="005F79F7" w:rsidRDefault="009A2A34" w:rsidP="00CC1F9E">
            <w:pPr>
              <w:jc w:val="center"/>
              <w:rPr>
                <w:rFonts w:cs="Times New Roman"/>
                <w:b/>
                <w:bCs/>
                <w:color w:val="000000"/>
                <w:sz w:val="18"/>
                <w:szCs w:val="18"/>
              </w:rPr>
            </w:pPr>
            <w:r w:rsidRPr="005F79F7">
              <w:rPr>
                <w:rFonts w:cs="Times New Roman"/>
                <w:b/>
                <w:bCs/>
                <w:color w:val="000000"/>
                <w:sz w:val="18"/>
                <w:szCs w:val="18"/>
              </w:rPr>
              <w:t>2024 OS</w:t>
            </w:r>
          </w:p>
        </w:tc>
        <w:tc>
          <w:tcPr>
            <w:tcW w:w="992" w:type="dxa"/>
            <w:tcBorders>
              <w:top w:val="single" w:sz="8" w:space="0" w:color="auto"/>
              <w:left w:val="single" w:sz="4" w:space="0" w:color="auto"/>
              <w:bottom w:val="single" w:sz="8" w:space="0" w:color="auto"/>
            </w:tcBorders>
            <w:shd w:val="clear" w:color="auto" w:fill="auto"/>
            <w:noWrap/>
            <w:vAlign w:val="center"/>
            <w:hideMark/>
          </w:tcPr>
          <w:p w14:paraId="5257C6E2" w14:textId="77777777" w:rsidR="009A2A34" w:rsidRPr="005F79F7" w:rsidRDefault="009A2A34" w:rsidP="00CC1F9E">
            <w:pPr>
              <w:jc w:val="center"/>
              <w:rPr>
                <w:rFonts w:cs="Times New Roman"/>
                <w:b/>
                <w:bCs/>
                <w:color w:val="000000"/>
                <w:sz w:val="18"/>
                <w:szCs w:val="18"/>
              </w:rPr>
            </w:pPr>
            <w:r w:rsidRPr="005F79F7">
              <w:rPr>
                <w:rFonts w:cs="Times New Roman"/>
                <w:b/>
                <w:bCs/>
                <w:color w:val="000000"/>
                <w:sz w:val="18"/>
                <w:szCs w:val="18"/>
              </w:rPr>
              <w:t>2025 PS</w:t>
            </w:r>
          </w:p>
        </w:tc>
        <w:tc>
          <w:tcPr>
            <w:tcW w:w="992" w:type="dxa"/>
            <w:tcBorders>
              <w:top w:val="single" w:sz="8" w:space="0" w:color="auto"/>
              <w:bottom w:val="single" w:sz="8" w:space="0" w:color="auto"/>
              <w:right w:val="nil"/>
            </w:tcBorders>
            <w:shd w:val="clear" w:color="auto" w:fill="auto"/>
            <w:noWrap/>
            <w:vAlign w:val="center"/>
            <w:hideMark/>
          </w:tcPr>
          <w:p w14:paraId="0C75A7AB" w14:textId="77777777" w:rsidR="009A2A34" w:rsidRPr="005F79F7" w:rsidRDefault="009A2A34" w:rsidP="00CC1F9E">
            <w:pPr>
              <w:jc w:val="center"/>
              <w:rPr>
                <w:rFonts w:cs="Times New Roman"/>
                <w:b/>
                <w:bCs/>
                <w:color w:val="000000"/>
                <w:sz w:val="18"/>
                <w:szCs w:val="18"/>
              </w:rPr>
            </w:pPr>
            <w:r w:rsidRPr="005F79F7">
              <w:rPr>
                <w:rFonts w:cs="Times New Roman"/>
                <w:b/>
                <w:bCs/>
                <w:color w:val="000000"/>
                <w:sz w:val="18"/>
                <w:szCs w:val="18"/>
              </w:rPr>
              <w:t>2026 PS</w:t>
            </w:r>
          </w:p>
        </w:tc>
        <w:tc>
          <w:tcPr>
            <w:tcW w:w="1054" w:type="dxa"/>
            <w:tcBorders>
              <w:top w:val="single" w:sz="8" w:space="0" w:color="auto"/>
              <w:left w:val="nil"/>
              <w:bottom w:val="single" w:sz="8" w:space="0" w:color="auto"/>
              <w:right w:val="nil"/>
            </w:tcBorders>
            <w:shd w:val="clear" w:color="auto" w:fill="auto"/>
            <w:noWrap/>
            <w:vAlign w:val="center"/>
            <w:hideMark/>
          </w:tcPr>
          <w:p w14:paraId="18ADFD40" w14:textId="77777777" w:rsidR="009A2A34" w:rsidRPr="005F79F7" w:rsidRDefault="009A2A34" w:rsidP="00CC1F9E">
            <w:pPr>
              <w:jc w:val="center"/>
              <w:rPr>
                <w:rFonts w:cs="Times New Roman"/>
                <w:b/>
                <w:bCs/>
                <w:color w:val="000000"/>
                <w:sz w:val="18"/>
                <w:szCs w:val="18"/>
              </w:rPr>
            </w:pPr>
            <w:r w:rsidRPr="005F79F7">
              <w:rPr>
                <w:rFonts w:cs="Times New Roman"/>
                <w:b/>
                <w:bCs/>
                <w:color w:val="000000"/>
                <w:sz w:val="18"/>
                <w:szCs w:val="18"/>
              </w:rPr>
              <w:t>2027 PS</w:t>
            </w:r>
          </w:p>
        </w:tc>
      </w:tr>
      <w:tr w:rsidR="009A2A34" w:rsidRPr="005E3B98" w14:paraId="7922DC90" w14:textId="77777777" w:rsidTr="00CC1F9E">
        <w:trPr>
          <w:trHeight w:val="235"/>
          <w:jc w:val="center"/>
        </w:trPr>
        <w:tc>
          <w:tcPr>
            <w:tcW w:w="3686" w:type="dxa"/>
            <w:tcBorders>
              <w:top w:val="nil"/>
              <w:left w:val="nil"/>
              <w:bottom w:val="nil"/>
              <w:right w:val="single" w:sz="4" w:space="0" w:color="auto"/>
            </w:tcBorders>
            <w:shd w:val="clear" w:color="auto" w:fill="auto"/>
            <w:noWrap/>
            <w:vAlign w:val="center"/>
            <w:hideMark/>
          </w:tcPr>
          <w:p w14:paraId="5B9BF5F8" w14:textId="77777777" w:rsidR="009A2A34" w:rsidRPr="00EF3EF2" w:rsidRDefault="009A2A34" w:rsidP="00CC1F9E">
            <w:pPr>
              <w:rPr>
                <w:rFonts w:cs="Times New Roman"/>
                <w:b/>
                <w:bCs/>
                <w:color w:val="000000"/>
                <w:sz w:val="18"/>
                <w:szCs w:val="18"/>
              </w:rPr>
            </w:pPr>
            <w:r w:rsidRPr="00EF3EF2">
              <w:rPr>
                <w:rFonts w:cs="Times New Roman"/>
                <w:b/>
                <w:bCs/>
                <w:color w:val="000000"/>
                <w:sz w:val="18"/>
                <w:szCs w:val="18"/>
              </w:rPr>
              <w:t>Nominálne saldo / ciele vlády (1)</w:t>
            </w:r>
          </w:p>
        </w:tc>
        <w:tc>
          <w:tcPr>
            <w:tcW w:w="850" w:type="dxa"/>
            <w:tcBorders>
              <w:top w:val="nil"/>
              <w:left w:val="single" w:sz="4" w:space="0" w:color="auto"/>
              <w:bottom w:val="nil"/>
              <w:right w:val="nil"/>
            </w:tcBorders>
            <w:shd w:val="clear" w:color="auto" w:fill="auto"/>
            <w:noWrap/>
          </w:tcPr>
          <w:p w14:paraId="093818F1" w14:textId="77777777" w:rsidR="009A2A34" w:rsidRPr="00DE34C9" w:rsidRDefault="009A2A34" w:rsidP="00CC1F9E">
            <w:pPr>
              <w:jc w:val="center"/>
              <w:rPr>
                <w:rFonts w:cs="Times New Roman"/>
                <w:b/>
                <w:bCs/>
                <w:color w:val="808080" w:themeColor="background1" w:themeShade="80"/>
                <w:sz w:val="18"/>
                <w:szCs w:val="18"/>
              </w:rPr>
            </w:pPr>
            <w:r w:rsidRPr="00DE34C9">
              <w:rPr>
                <w:color w:val="808080" w:themeColor="background1" w:themeShade="80"/>
                <w:sz w:val="18"/>
                <w:szCs w:val="18"/>
              </w:rPr>
              <w:t>-1,</w:t>
            </w:r>
            <w:r>
              <w:rPr>
                <w:color w:val="808080" w:themeColor="background1" w:themeShade="80"/>
                <w:sz w:val="18"/>
                <w:szCs w:val="18"/>
              </w:rPr>
              <w:t>7</w:t>
            </w:r>
            <w:r w:rsidRPr="00DE34C9">
              <w:rPr>
                <w:color w:val="808080" w:themeColor="background1" w:themeShade="80"/>
                <w:sz w:val="18"/>
                <w:szCs w:val="18"/>
              </w:rPr>
              <w:t>*</w:t>
            </w:r>
          </w:p>
        </w:tc>
        <w:tc>
          <w:tcPr>
            <w:tcW w:w="709" w:type="dxa"/>
            <w:tcBorders>
              <w:top w:val="nil"/>
              <w:left w:val="nil"/>
              <w:bottom w:val="nil"/>
              <w:right w:val="single" w:sz="4" w:space="0" w:color="auto"/>
            </w:tcBorders>
            <w:shd w:val="clear" w:color="auto" w:fill="auto"/>
            <w:noWrap/>
          </w:tcPr>
          <w:p w14:paraId="482193F7" w14:textId="77777777" w:rsidR="009A2A34" w:rsidRPr="00DE34C9" w:rsidRDefault="009A2A34" w:rsidP="00CC1F9E">
            <w:pPr>
              <w:jc w:val="center"/>
              <w:rPr>
                <w:rFonts w:cs="Times New Roman"/>
                <w:b/>
                <w:bCs/>
                <w:color w:val="808080" w:themeColor="background1" w:themeShade="80"/>
                <w:sz w:val="18"/>
                <w:szCs w:val="18"/>
              </w:rPr>
            </w:pPr>
            <w:r w:rsidRPr="00DE34C9">
              <w:rPr>
                <w:color w:val="808080" w:themeColor="background1" w:themeShade="80"/>
                <w:sz w:val="18"/>
                <w:szCs w:val="18"/>
              </w:rPr>
              <w:t>-4,</w:t>
            </w:r>
            <w:r>
              <w:rPr>
                <w:color w:val="808080" w:themeColor="background1" w:themeShade="80"/>
                <w:sz w:val="18"/>
                <w:szCs w:val="18"/>
              </w:rPr>
              <w:t>9</w:t>
            </w:r>
            <w:r w:rsidRPr="00DE34C9">
              <w:rPr>
                <w:color w:val="808080" w:themeColor="background1" w:themeShade="80"/>
                <w:sz w:val="18"/>
                <w:szCs w:val="18"/>
              </w:rPr>
              <w:t>*</w:t>
            </w:r>
          </w:p>
        </w:tc>
        <w:tc>
          <w:tcPr>
            <w:tcW w:w="851" w:type="dxa"/>
            <w:tcBorders>
              <w:top w:val="nil"/>
              <w:left w:val="single" w:sz="4" w:space="0" w:color="auto"/>
              <w:bottom w:val="nil"/>
              <w:right w:val="single" w:sz="4" w:space="0" w:color="auto"/>
            </w:tcBorders>
            <w:shd w:val="clear" w:color="auto" w:fill="auto"/>
            <w:noWrap/>
          </w:tcPr>
          <w:p w14:paraId="4B365055" w14:textId="77777777" w:rsidR="009A2A34" w:rsidRPr="00DE34C9" w:rsidRDefault="009A2A34" w:rsidP="00CC1F9E">
            <w:pPr>
              <w:jc w:val="center"/>
              <w:rPr>
                <w:rFonts w:cs="Calibri"/>
                <w:b/>
                <w:bCs/>
                <w:color w:val="000000"/>
                <w:sz w:val="18"/>
                <w:szCs w:val="18"/>
              </w:rPr>
            </w:pPr>
            <w:r w:rsidRPr="00DE34C9">
              <w:rPr>
                <w:sz w:val="18"/>
                <w:szCs w:val="18"/>
              </w:rPr>
              <w:t>-5,9</w:t>
            </w:r>
          </w:p>
        </w:tc>
        <w:tc>
          <w:tcPr>
            <w:tcW w:w="992" w:type="dxa"/>
            <w:tcBorders>
              <w:top w:val="single" w:sz="8" w:space="0" w:color="auto"/>
              <w:left w:val="single" w:sz="4" w:space="0" w:color="auto"/>
              <w:bottom w:val="nil"/>
            </w:tcBorders>
            <w:shd w:val="clear" w:color="auto" w:fill="auto"/>
            <w:noWrap/>
          </w:tcPr>
          <w:p w14:paraId="7DB4B267" w14:textId="77777777" w:rsidR="009A2A34" w:rsidRPr="00664E8C" w:rsidRDefault="009A2A34" w:rsidP="00CC1F9E">
            <w:pPr>
              <w:jc w:val="center"/>
              <w:rPr>
                <w:rFonts w:cs="Calibri"/>
                <w:b/>
                <w:bCs/>
                <w:color w:val="000000"/>
                <w:sz w:val="18"/>
                <w:szCs w:val="18"/>
              </w:rPr>
            </w:pPr>
            <w:r w:rsidRPr="00664E8C">
              <w:rPr>
                <w:sz w:val="18"/>
                <w:szCs w:val="18"/>
              </w:rPr>
              <w:t>-5,0</w:t>
            </w:r>
          </w:p>
        </w:tc>
        <w:tc>
          <w:tcPr>
            <w:tcW w:w="992" w:type="dxa"/>
            <w:tcBorders>
              <w:top w:val="single" w:sz="8" w:space="0" w:color="auto"/>
              <w:bottom w:val="nil"/>
              <w:right w:val="nil"/>
            </w:tcBorders>
            <w:shd w:val="clear" w:color="auto" w:fill="auto"/>
            <w:noWrap/>
          </w:tcPr>
          <w:p w14:paraId="182D1E58" w14:textId="77777777" w:rsidR="009A2A34" w:rsidRPr="00664E8C" w:rsidRDefault="009A2A34" w:rsidP="00CC1F9E">
            <w:pPr>
              <w:jc w:val="center"/>
              <w:rPr>
                <w:rFonts w:cs="Calibri"/>
                <w:b/>
                <w:bCs/>
                <w:color w:val="000000"/>
                <w:sz w:val="18"/>
                <w:szCs w:val="18"/>
              </w:rPr>
            </w:pPr>
            <w:r w:rsidRPr="00664E8C">
              <w:rPr>
                <w:sz w:val="18"/>
                <w:szCs w:val="18"/>
              </w:rPr>
              <w:t>-4,0 (0,0)**</w:t>
            </w:r>
          </w:p>
        </w:tc>
        <w:tc>
          <w:tcPr>
            <w:tcW w:w="1054" w:type="dxa"/>
            <w:tcBorders>
              <w:top w:val="single" w:sz="8" w:space="0" w:color="auto"/>
              <w:left w:val="nil"/>
              <w:bottom w:val="nil"/>
              <w:right w:val="nil"/>
            </w:tcBorders>
            <w:shd w:val="clear" w:color="auto" w:fill="auto"/>
            <w:noWrap/>
          </w:tcPr>
          <w:p w14:paraId="15F1D270" w14:textId="77777777" w:rsidR="009A2A34" w:rsidRPr="00664E8C" w:rsidRDefault="009A2A34" w:rsidP="00CC1F9E">
            <w:pPr>
              <w:jc w:val="center"/>
              <w:rPr>
                <w:rFonts w:cs="Calibri"/>
                <w:b/>
                <w:bCs/>
                <w:color w:val="000000"/>
                <w:sz w:val="18"/>
                <w:szCs w:val="18"/>
              </w:rPr>
            </w:pPr>
            <w:r w:rsidRPr="00664E8C">
              <w:rPr>
                <w:sz w:val="18"/>
                <w:szCs w:val="18"/>
              </w:rPr>
              <w:t>-3,0 (0,0)**</w:t>
            </w:r>
          </w:p>
        </w:tc>
      </w:tr>
      <w:tr w:rsidR="009A2A34" w:rsidRPr="005E3B98" w14:paraId="3ADBAE45" w14:textId="77777777" w:rsidTr="00CC1F9E">
        <w:trPr>
          <w:trHeight w:val="216"/>
          <w:jc w:val="center"/>
        </w:trPr>
        <w:tc>
          <w:tcPr>
            <w:tcW w:w="3686" w:type="dxa"/>
            <w:tcBorders>
              <w:top w:val="nil"/>
              <w:left w:val="nil"/>
              <w:right w:val="single" w:sz="4" w:space="0" w:color="auto"/>
            </w:tcBorders>
            <w:shd w:val="clear" w:color="auto" w:fill="auto"/>
            <w:noWrap/>
            <w:vAlign w:val="center"/>
            <w:hideMark/>
          </w:tcPr>
          <w:p w14:paraId="49748443" w14:textId="77777777" w:rsidR="009A2A34" w:rsidRPr="00EF3EF2" w:rsidRDefault="009A2A34" w:rsidP="00CC1F9E">
            <w:pPr>
              <w:rPr>
                <w:rFonts w:cs="Times New Roman"/>
                <w:color w:val="000000"/>
                <w:sz w:val="18"/>
                <w:szCs w:val="18"/>
              </w:rPr>
            </w:pPr>
            <w:r w:rsidRPr="00EF3EF2">
              <w:rPr>
                <w:rFonts w:cs="Times New Roman"/>
                <w:color w:val="000000"/>
                <w:sz w:val="18"/>
                <w:szCs w:val="18"/>
              </w:rPr>
              <w:t>Cyklická zložka (2)</w:t>
            </w:r>
          </w:p>
        </w:tc>
        <w:tc>
          <w:tcPr>
            <w:tcW w:w="850" w:type="dxa"/>
            <w:tcBorders>
              <w:top w:val="nil"/>
              <w:left w:val="single" w:sz="4" w:space="0" w:color="auto"/>
              <w:right w:val="nil"/>
            </w:tcBorders>
            <w:shd w:val="clear" w:color="auto" w:fill="auto"/>
            <w:noWrap/>
          </w:tcPr>
          <w:p w14:paraId="1602D33D" w14:textId="77777777" w:rsidR="009A2A34" w:rsidRPr="00EF3EF2" w:rsidRDefault="009A2A34" w:rsidP="00CC1F9E">
            <w:pPr>
              <w:jc w:val="center"/>
              <w:rPr>
                <w:rFonts w:cs="Times New Roman"/>
                <w:b/>
                <w:bCs/>
                <w:color w:val="808080" w:themeColor="background1" w:themeShade="80"/>
                <w:sz w:val="18"/>
                <w:szCs w:val="18"/>
                <w:highlight w:val="yellow"/>
              </w:rPr>
            </w:pPr>
            <w:r w:rsidRPr="00EF3EF2">
              <w:rPr>
                <w:color w:val="808080" w:themeColor="background1" w:themeShade="80"/>
                <w:sz w:val="18"/>
                <w:szCs w:val="18"/>
              </w:rPr>
              <w:t>0,2</w:t>
            </w:r>
          </w:p>
        </w:tc>
        <w:tc>
          <w:tcPr>
            <w:tcW w:w="709" w:type="dxa"/>
            <w:tcBorders>
              <w:top w:val="nil"/>
              <w:left w:val="nil"/>
              <w:right w:val="single" w:sz="4" w:space="0" w:color="auto"/>
            </w:tcBorders>
            <w:shd w:val="clear" w:color="auto" w:fill="auto"/>
            <w:noWrap/>
          </w:tcPr>
          <w:p w14:paraId="056E76EC" w14:textId="77777777" w:rsidR="009A2A34" w:rsidRPr="00EF3EF2" w:rsidRDefault="009A2A34" w:rsidP="00CC1F9E">
            <w:pPr>
              <w:jc w:val="center"/>
              <w:rPr>
                <w:rFonts w:cs="Times New Roman"/>
                <w:b/>
                <w:bCs/>
                <w:color w:val="808080" w:themeColor="background1" w:themeShade="80"/>
                <w:sz w:val="18"/>
                <w:szCs w:val="18"/>
                <w:highlight w:val="yellow"/>
              </w:rPr>
            </w:pPr>
            <w:r w:rsidRPr="00EF3EF2">
              <w:rPr>
                <w:color w:val="808080" w:themeColor="background1" w:themeShade="80"/>
                <w:sz w:val="18"/>
                <w:szCs w:val="18"/>
              </w:rPr>
              <w:t>-0,1</w:t>
            </w:r>
          </w:p>
        </w:tc>
        <w:tc>
          <w:tcPr>
            <w:tcW w:w="851" w:type="dxa"/>
            <w:tcBorders>
              <w:top w:val="nil"/>
              <w:left w:val="single" w:sz="4" w:space="0" w:color="auto"/>
              <w:right w:val="single" w:sz="4" w:space="0" w:color="auto"/>
            </w:tcBorders>
            <w:shd w:val="clear" w:color="auto" w:fill="auto"/>
            <w:noWrap/>
          </w:tcPr>
          <w:p w14:paraId="79D4F234" w14:textId="77777777" w:rsidR="009A2A34" w:rsidRPr="00EF3EF2" w:rsidRDefault="009A2A34" w:rsidP="00CC1F9E">
            <w:pPr>
              <w:jc w:val="center"/>
              <w:rPr>
                <w:rFonts w:cs="Calibri"/>
                <w:color w:val="595959"/>
                <w:sz w:val="18"/>
                <w:szCs w:val="18"/>
                <w:highlight w:val="yellow"/>
              </w:rPr>
            </w:pPr>
            <w:r w:rsidRPr="00EF3EF2">
              <w:rPr>
                <w:sz w:val="18"/>
                <w:szCs w:val="18"/>
              </w:rPr>
              <w:t>-0,1</w:t>
            </w:r>
          </w:p>
        </w:tc>
        <w:tc>
          <w:tcPr>
            <w:tcW w:w="992" w:type="dxa"/>
            <w:tcBorders>
              <w:top w:val="nil"/>
              <w:left w:val="single" w:sz="4" w:space="0" w:color="auto"/>
            </w:tcBorders>
            <w:shd w:val="clear" w:color="auto" w:fill="auto"/>
            <w:noWrap/>
          </w:tcPr>
          <w:p w14:paraId="795CB71D" w14:textId="77777777" w:rsidR="009A2A34" w:rsidRPr="00EF3EF2" w:rsidRDefault="009A2A34" w:rsidP="00CC1F9E">
            <w:pPr>
              <w:jc w:val="center"/>
              <w:rPr>
                <w:rFonts w:cs="Calibri"/>
                <w:color w:val="595959"/>
                <w:sz w:val="18"/>
                <w:szCs w:val="18"/>
                <w:highlight w:val="yellow"/>
              </w:rPr>
            </w:pPr>
            <w:r w:rsidRPr="00EF3EF2">
              <w:rPr>
                <w:sz w:val="18"/>
                <w:szCs w:val="18"/>
              </w:rPr>
              <w:t>0,3</w:t>
            </w:r>
          </w:p>
        </w:tc>
        <w:tc>
          <w:tcPr>
            <w:tcW w:w="992" w:type="dxa"/>
            <w:tcBorders>
              <w:top w:val="nil"/>
              <w:right w:val="nil"/>
            </w:tcBorders>
            <w:shd w:val="clear" w:color="auto" w:fill="auto"/>
            <w:noWrap/>
          </w:tcPr>
          <w:p w14:paraId="74E9C80C" w14:textId="77777777" w:rsidR="009A2A34" w:rsidRPr="00EF3EF2" w:rsidRDefault="009A2A34" w:rsidP="00CC1F9E">
            <w:pPr>
              <w:jc w:val="center"/>
              <w:rPr>
                <w:rFonts w:cs="Calibri"/>
                <w:color w:val="595959"/>
                <w:sz w:val="18"/>
                <w:szCs w:val="18"/>
                <w:highlight w:val="yellow"/>
              </w:rPr>
            </w:pPr>
            <w:r w:rsidRPr="00EF3EF2">
              <w:rPr>
                <w:sz w:val="18"/>
                <w:szCs w:val="18"/>
              </w:rPr>
              <w:t>0,4</w:t>
            </w:r>
          </w:p>
        </w:tc>
        <w:tc>
          <w:tcPr>
            <w:tcW w:w="1054" w:type="dxa"/>
            <w:tcBorders>
              <w:top w:val="nil"/>
              <w:left w:val="nil"/>
              <w:right w:val="nil"/>
            </w:tcBorders>
            <w:shd w:val="clear" w:color="auto" w:fill="auto"/>
            <w:noWrap/>
          </w:tcPr>
          <w:p w14:paraId="47AC5F95" w14:textId="77777777" w:rsidR="009A2A34" w:rsidRPr="00EF3EF2" w:rsidRDefault="009A2A34" w:rsidP="00CC1F9E">
            <w:pPr>
              <w:jc w:val="center"/>
              <w:rPr>
                <w:rFonts w:cs="Calibri"/>
                <w:color w:val="595959"/>
                <w:sz w:val="18"/>
                <w:szCs w:val="18"/>
                <w:highlight w:val="yellow"/>
              </w:rPr>
            </w:pPr>
            <w:r w:rsidRPr="00EF3EF2">
              <w:rPr>
                <w:sz w:val="18"/>
                <w:szCs w:val="18"/>
              </w:rPr>
              <w:t>0,3</w:t>
            </w:r>
          </w:p>
        </w:tc>
      </w:tr>
      <w:tr w:rsidR="009A2A34" w:rsidRPr="005E3B98" w14:paraId="4D3AD374" w14:textId="77777777" w:rsidTr="00CC1F9E">
        <w:trPr>
          <w:trHeight w:val="282"/>
          <w:jc w:val="center"/>
        </w:trPr>
        <w:tc>
          <w:tcPr>
            <w:tcW w:w="3686" w:type="dxa"/>
            <w:tcBorders>
              <w:top w:val="nil"/>
              <w:left w:val="nil"/>
              <w:bottom w:val="single" w:sz="4" w:space="0" w:color="auto"/>
              <w:right w:val="single" w:sz="4" w:space="0" w:color="auto"/>
            </w:tcBorders>
            <w:shd w:val="clear" w:color="auto" w:fill="auto"/>
            <w:noWrap/>
            <w:vAlign w:val="center"/>
            <w:hideMark/>
          </w:tcPr>
          <w:p w14:paraId="18B9706D" w14:textId="77777777" w:rsidR="009A2A34" w:rsidRPr="00EF3EF2" w:rsidRDefault="009A2A34" w:rsidP="00CC1F9E">
            <w:pPr>
              <w:rPr>
                <w:rFonts w:cs="Times New Roman"/>
                <w:color w:val="000000"/>
                <w:sz w:val="18"/>
                <w:szCs w:val="18"/>
              </w:rPr>
            </w:pPr>
            <w:r w:rsidRPr="00EF3EF2">
              <w:rPr>
                <w:rFonts w:cs="Times New Roman"/>
                <w:color w:val="000000"/>
                <w:sz w:val="18"/>
                <w:szCs w:val="18"/>
              </w:rPr>
              <w:t>Jednorazové a dočasné opatrenia (3)</w:t>
            </w:r>
          </w:p>
        </w:tc>
        <w:tc>
          <w:tcPr>
            <w:tcW w:w="850" w:type="dxa"/>
            <w:tcBorders>
              <w:top w:val="nil"/>
              <w:left w:val="single" w:sz="4" w:space="0" w:color="auto"/>
              <w:bottom w:val="single" w:sz="4" w:space="0" w:color="auto"/>
              <w:right w:val="nil"/>
            </w:tcBorders>
            <w:shd w:val="clear" w:color="auto" w:fill="auto"/>
            <w:noWrap/>
          </w:tcPr>
          <w:p w14:paraId="1D1AB388" w14:textId="77777777" w:rsidR="009A2A34" w:rsidRPr="00EF3EF2" w:rsidRDefault="009A2A34" w:rsidP="00CC1F9E">
            <w:pPr>
              <w:jc w:val="center"/>
              <w:rPr>
                <w:rFonts w:cs="Times New Roman"/>
                <w:b/>
                <w:bCs/>
                <w:color w:val="808080" w:themeColor="background1" w:themeShade="80"/>
                <w:sz w:val="18"/>
                <w:szCs w:val="18"/>
                <w:highlight w:val="yellow"/>
              </w:rPr>
            </w:pPr>
            <w:r w:rsidRPr="00EF3EF2">
              <w:rPr>
                <w:color w:val="808080" w:themeColor="background1" w:themeShade="80"/>
                <w:sz w:val="18"/>
                <w:szCs w:val="18"/>
              </w:rPr>
              <w:t>-0,6</w:t>
            </w:r>
          </w:p>
        </w:tc>
        <w:tc>
          <w:tcPr>
            <w:tcW w:w="709" w:type="dxa"/>
            <w:tcBorders>
              <w:top w:val="nil"/>
              <w:left w:val="nil"/>
              <w:bottom w:val="single" w:sz="4" w:space="0" w:color="auto"/>
              <w:right w:val="single" w:sz="4" w:space="0" w:color="auto"/>
            </w:tcBorders>
            <w:shd w:val="clear" w:color="auto" w:fill="auto"/>
            <w:noWrap/>
          </w:tcPr>
          <w:p w14:paraId="24662925" w14:textId="77777777" w:rsidR="009A2A34" w:rsidRPr="00EF3EF2" w:rsidRDefault="009A2A34" w:rsidP="00CC1F9E">
            <w:pPr>
              <w:jc w:val="center"/>
              <w:rPr>
                <w:rFonts w:cs="Times New Roman"/>
                <w:b/>
                <w:bCs/>
                <w:color w:val="808080" w:themeColor="background1" w:themeShade="80"/>
                <w:sz w:val="18"/>
                <w:szCs w:val="18"/>
                <w:highlight w:val="yellow"/>
              </w:rPr>
            </w:pPr>
            <w:r w:rsidRPr="00EF3EF2">
              <w:rPr>
                <w:color w:val="808080" w:themeColor="background1" w:themeShade="80"/>
                <w:sz w:val="18"/>
                <w:szCs w:val="18"/>
              </w:rPr>
              <w:t>-1,</w:t>
            </w:r>
            <w:r>
              <w:rPr>
                <w:color w:val="808080" w:themeColor="background1" w:themeShade="80"/>
                <w:sz w:val="18"/>
                <w:szCs w:val="18"/>
              </w:rPr>
              <w:t>5</w:t>
            </w:r>
          </w:p>
        </w:tc>
        <w:tc>
          <w:tcPr>
            <w:tcW w:w="851" w:type="dxa"/>
            <w:tcBorders>
              <w:top w:val="nil"/>
              <w:left w:val="single" w:sz="4" w:space="0" w:color="auto"/>
              <w:bottom w:val="single" w:sz="4" w:space="0" w:color="auto"/>
              <w:right w:val="single" w:sz="4" w:space="0" w:color="auto"/>
            </w:tcBorders>
            <w:shd w:val="clear" w:color="auto" w:fill="auto"/>
            <w:noWrap/>
          </w:tcPr>
          <w:p w14:paraId="7E4547E1" w14:textId="77777777" w:rsidR="009A2A34" w:rsidRPr="00EF3EF2" w:rsidRDefault="009A2A34" w:rsidP="00CC1F9E">
            <w:pPr>
              <w:jc w:val="center"/>
              <w:rPr>
                <w:rFonts w:cs="Calibri"/>
                <w:sz w:val="18"/>
                <w:szCs w:val="18"/>
                <w:highlight w:val="yellow"/>
              </w:rPr>
            </w:pPr>
            <w:r w:rsidRPr="00EF3EF2">
              <w:rPr>
                <w:sz w:val="18"/>
                <w:szCs w:val="18"/>
              </w:rPr>
              <w:t>-0,5</w:t>
            </w:r>
          </w:p>
        </w:tc>
        <w:tc>
          <w:tcPr>
            <w:tcW w:w="992" w:type="dxa"/>
            <w:tcBorders>
              <w:top w:val="nil"/>
              <w:left w:val="single" w:sz="4" w:space="0" w:color="auto"/>
              <w:bottom w:val="single" w:sz="4" w:space="0" w:color="auto"/>
            </w:tcBorders>
            <w:shd w:val="clear" w:color="auto" w:fill="auto"/>
            <w:noWrap/>
          </w:tcPr>
          <w:p w14:paraId="42E381F7" w14:textId="77777777" w:rsidR="009A2A34" w:rsidRPr="00EF3EF2" w:rsidRDefault="009A2A34" w:rsidP="00CC1F9E">
            <w:pPr>
              <w:jc w:val="center"/>
              <w:rPr>
                <w:rFonts w:cs="Calibri"/>
                <w:sz w:val="18"/>
                <w:szCs w:val="18"/>
                <w:highlight w:val="yellow"/>
              </w:rPr>
            </w:pPr>
            <w:r w:rsidRPr="00EF3EF2">
              <w:rPr>
                <w:sz w:val="18"/>
                <w:szCs w:val="18"/>
              </w:rPr>
              <w:t>0,0</w:t>
            </w:r>
          </w:p>
        </w:tc>
        <w:tc>
          <w:tcPr>
            <w:tcW w:w="992" w:type="dxa"/>
            <w:tcBorders>
              <w:top w:val="nil"/>
              <w:bottom w:val="single" w:sz="4" w:space="0" w:color="auto"/>
              <w:right w:val="nil"/>
            </w:tcBorders>
            <w:shd w:val="clear" w:color="auto" w:fill="auto"/>
            <w:noWrap/>
          </w:tcPr>
          <w:p w14:paraId="2CFDCB0E" w14:textId="77777777" w:rsidR="009A2A34" w:rsidRPr="00EF3EF2" w:rsidRDefault="009A2A34" w:rsidP="00CC1F9E">
            <w:pPr>
              <w:jc w:val="center"/>
              <w:rPr>
                <w:rFonts w:cs="Calibri"/>
                <w:color w:val="000000"/>
                <w:sz w:val="18"/>
                <w:szCs w:val="18"/>
                <w:highlight w:val="yellow"/>
              </w:rPr>
            </w:pPr>
            <w:r w:rsidRPr="00EF3EF2">
              <w:rPr>
                <w:sz w:val="18"/>
                <w:szCs w:val="18"/>
              </w:rPr>
              <w:t>0,0</w:t>
            </w:r>
          </w:p>
        </w:tc>
        <w:tc>
          <w:tcPr>
            <w:tcW w:w="1054" w:type="dxa"/>
            <w:tcBorders>
              <w:top w:val="nil"/>
              <w:left w:val="nil"/>
              <w:bottom w:val="single" w:sz="4" w:space="0" w:color="auto"/>
              <w:right w:val="nil"/>
            </w:tcBorders>
            <w:shd w:val="clear" w:color="auto" w:fill="auto"/>
            <w:noWrap/>
          </w:tcPr>
          <w:p w14:paraId="1F63A843" w14:textId="77777777" w:rsidR="009A2A34" w:rsidRPr="00EF3EF2" w:rsidRDefault="009A2A34" w:rsidP="00CC1F9E">
            <w:pPr>
              <w:jc w:val="center"/>
              <w:rPr>
                <w:rFonts w:cs="Calibri"/>
                <w:color w:val="000000"/>
                <w:sz w:val="18"/>
                <w:szCs w:val="18"/>
                <w:highlight w:val="yellow"/>
              </w:rPr>
            </w:pPr>
            <w:r w:rsidRPr="00EF3EF2">
              <w:rPr>
                <w:sz w:val="18"/>
                <w:szCs w:val="18"/>
              </w:rPr>
              <w:t>0,0</w:t>
            </w:r>
          </w:p>
        </w:tc>
      </w:tr>
      <w:tr w:rsidR="009A2A34" w:rsidRPr="00CA5EB8" w14:paraId="0E2BE304" w14:textId="77777777" w:rsidTr="00CC1F9E">
        <w:trPr>
          <w:trHeight w:val="244"/>
          <w:jc w:val="center"/>
        </w:trPr>
        <w:tc>
          <w:tcPr>
            <w:tcW w:w="3686" w:type="dxa"/>
            <w:tcBorders>
              <w:top w:val="single" w:sz="4" w:space="0" w:color="auto"/>
              <w:left w:val="nil"/>
              <w:bottom w:val="single" w:sz="8" w:space="0" w:color="auto"/>
              <w:right w:val="single" w:sz="4" w:space="0" w:color="auto"/>
            </w:tcBorders>
            <w:shd w:val="clear" w:color="auto" w:fill="auto"/>
            <w:noWrap/>
            <w:vAlign w:val="center"/>
            <w:hideMark/>
          </w:tcPr>
          <w:p w14:paraId="64CEDD0F" w14:textId="77777777" w:rsidR="009A2A34" w:rsidRPr="005F79F7" w:rsidRDefault="009A2A34" w:rsidP="00CC1F9E">
            <w:pPr>
              <w:rPr>
                <w:rFonts w:cs="Times New Roman"/>
                <w:b/>
                <w:bCs/>
                <w:color w:val="000000"/>
                <w:sz w:val="18"/>
                <w:szCs w:val="18"/>
              </w:rPr>
            </w:pPr>
            <w:r w:rsidRPr="005F79F7">
              <w:rPr>
                <w:rFonts w:cs="Times New Roman"/>
                <w:b/>
                <w:bCs/>
                <w:color w:val="000000"/>
                <w:sz w:val="18"/>
                <w:szCs w:val="18"/>
              </w:rPr>
              <w:t>Štrukturálne saldo podľa národnej metodiky (4=1-2-3)**</w:t>
            </w:r>
            <w:r>
              <w:rPr>
                <w:rFonts w:cs="Times New Roman"/>
                <w:b/>
                <w:bCs/>
                <w:color w:val="000000"/>
                <w:sz w:val="18"/>
                <w:szCs w:val="18"/>
              </w:rPr>
              <w:t>*</w:t>
            </w:r>
          </w:p>
        </w:tc>
        <w:tc>
          <w:tcPr>
            <w:tcW w:w="850" w:type="dxa"/>
            <w:tcBorders>
              <w:top w:val="single" w:sz="4" w:space="0" w:color="auto"/>
              <w:left w:val="single" w:sz="4" w:space="0" w:color="auto"/>
              <w:bottom w:val="single" w:sz="8" w:space="0" w:color="auto"/>
              <w:right w:val="nil"/>
            </w:tcBorders>
            <w:shd w:val="clear" w:color="auto" w:fill="auto"/>
            <w:noWrap/>
            <w:vAlign w:val="center"/>
          </w:tcPr>
          <w:p w14:paraId="6F037312" w14:textId="77777777" w:rsidR="009A2A34" w:rsidRPr="004B313C" w:rsidRDefault="009A2A34" w:rsidP="00CC1F9E">
            <w:pPr>
              <w:jc w:val="center"/>
              <w:rPr>
                <w:rFonts w:cs="Times New Roman"/>
                <w:b/>
                <w:bCs/>
                <w:color w:val="A6A6A6" w:themeColor="background1" w:themeShade="A6"/>
                <w:sz w:val="18"/>
                <w:szCs w:val="18"/>
              </w:rPr>
            </w:pPr>
            <w:r w:rsidRPr="004B313C">
              <w:rPr>
                <w:rFonts w:cs="Times New Roman"/>
                <w:b/>
                <w:bCs/>
                <w:color w:val="A6A6A6" w:themeColor="background1" w:themeShade="A6"/>
                <w:sz w:val="18"/>
                <w:szCs w:val="18"/>
              </w:rPr>
              <w:t>-1,3</w:t>
            </w:r>
          </w:p>
        </w:tc>
        <w:tc>
          <w:tcPr>
            <w:tcW w:w="709" w:type="dxa"/>
            <w:tcBorders>
              <w:top w:val="single" w:sz="4" w:space="0" w:color="auto"/>
              <w:left w:val="nil"/>
              <w:bottom w:val="single" w:sz="8" w:space="0" w:color="auto"/>
              <w:right w:val="single" w:sz="4" w:space="0" w:color="auto"/>
            </w:tcBorders>
            <w:shd w:val="clear" w:color="auto" w:fill="auto"/>
            <w:noWrap/>
            <w:vAlign w:val="center"/>
          </w:tcPr>
          <w:p w14:paraId="72626595" w14:textId="77777777" w:rsidR="009A2A34" w:rsidRPr="0038207C" w:rsidRDefault="009A2A34" w:rsidP="00CC1F9E">
            <w:pPr>
              <w:jc w:val="center"/>
              <w:rPr>
                <w:rFonts w:cs="Times New Roman"/>
                <w:b/>
                <w:bCs/>
                <w:color w:val="A6A6A6" w:themeColor="background1" w:themeShade="A6"/>
                <w:sz w:val="18"/>
                <w:szCs w:val="18"/>
              </w:rPr>
            </w:pPr>
            <w:r w:rsidRPr="0038207C">
              <w:rPr>
                <w:rFonts w:cs="Times New Roman"/>
                <w:b/>
                <w:bCs/>
                <w:color w:val="A6A6A6" w:themeColor="background1" w:themeShade="A6"/>
                <w:sz w:val="18"/>
                <w:szCs w:val="18"/>
              </w:rPr>
              <w:t>-3,</w:t>
            </w:r>
            <w:r>
              <w:rPr>
                <w:rFonts w:cs="Times New Roman"/>
                <w:b/>
                <w:bCs/>
                <w:color w:val="A6A6A6" w:themeColor="background1" w:themeShade="A6"/>
                <w:sz w:val="18"/>
                <w:szCs w:val="18"/>
              </w:rPr>
              <w:t>3</w:t>
            </w:r>
          </w:p>
        </w:tc>
        <w:tc>
          <w:tcPr>
            <w:tcW w:w="851" w:type="dxa"/>
            <w:tcBorders>
              <w:top w:val="single" w:sz="4" w:space="0" w:color="auto"/>
              <w:left w:val="single" w:sz="4" w:space="0" w:color="auto"/>
              <w:bottom w:val="single" w:sz="8" w:space="0" w:color="auto"/>
              <w:right w:val="single" w:sz="4" w:space="0" w:color="auto"/>
            </w:tcBorders>
            <w:shd w:val="clear" w:color="auto" w:fill="auto"/>
            <w:noWrap/>
            <w:vAlign w:val="center"/>
          </w:tcPr>
          <w:p w14:paraId="43E002A2" w14:textId="77777777" w:rsidR="009A2A34" w:rsidRPr="0038207C" w:rsidRDefault="009A2A34" w:rsidP="00CC1F9E">
            <w:pPr>
              <w:jc w:val="center"/>
              <w:rPr>
                <w:rFonts w:cs="Calibri"/>
                <w:b/>
                <w:bCs/>
                <w:color w:val="000000"/>
                <w:sz w:val="18"/>
                <w:szCs w:val="18"/>
              </w:rPr>
            </w:pPr>
            <w:r w:rsidRPr="0038207C">
              <w:rPr>
                <w:rFonts w:cs="Calibri"/>
                <w:b/>
                <w:bCs/>
                <w:color w:val="000000"/>
                <w:sz w:val="18"/>
                <w:szCs w:val="18"/>
              </w:rPr>
              <w:t>-5,</w:t>
            </w:r>
            <w:r>
              <w:rPr>
                <w:rFonts w:cs="Calibri"/>
                <w:b/>
                <w:bCs/>
                <w:color w:val="000000"/>
                <w:sz w:val="18"/>
                <w:szCs w:val="18"/>
              </w:rPr>
              <w:t>3</w:t>
            </w:r>
          </w:p>
        </w:tc>
        <w:tc>
          <w:tcPr>
            <w:tcW w:w="992" w:type="dxa"/>
            <w:tcBorders>
              <w:top w:val="single" w:sz="4" w:space="0" w:color="auto"/>
              <w:left w:val="single" w:sz="4" w:space="0" w:color="auto"/>
              <w:bottom w:val="single" w:sz="8" w:space="0" w:color="auto"/>
            </w:tcBorders>
            <w:shd w:val="clear" w:color="auto" w:fill="auto"/>
            <w:noWrap/>
            <w:vAlign w:val="center"/>
          </w:tcPr>
          <w:p w14:paraId="03D1E449" w14:textId="77777777" w:rsidR="009A2A34" w:rsidRPr="00CA5EB8" w:rsidRDefault="009A2A34" w:rsidP="00CC1F9E">
            <w:pPr>
              <w:jc w:val="center"/>
              <w:rPr>
                <w:rFonts w:cs="Calibri"/>
                <w:b/>
                <w:bCs/>
                <w:color w:val="000000"/>
                <w:sz w:val="18"/>
                <w:szCs w:val="18"/>
              </w:rPr>
            </w:pPr>
            <w:r w:rsidRPr="00CA5EB8">
              <w:rPr>
                <w:rFonts w:cs="Calibri"/>
                <w:b/>
                <w:bCs/>
                <w:color w:val="000000"/>
                <w:sz w:val="18"/>
                <w:szCs w:val="18"/>
              </w:rPr>
              <w:t>-5,3</w:t>
            </w:r>
          </w:p>
        </w:tc>
        <w:tc>
          <w:tcPr>
            <w:tcW w:w="992" w:type="dxa"/>
            <w:tcBorders>
              <w:top w:val="single" w:sz="4" w:space="0" w:color="auto"/>
              <w:bottom w:val="single" w:sz="8" w:space="0" w:color="auto"/>
              <w:right w:val="nil"/>
            </w:tcBorders>
            <w:shd w:val="clear" w:color="auto" w:fill="auto"/>
            <w:noWrap/>
            <w:vAlign w:val="center"/>
          </w:tcPr>
          <w:p w14:paraId="262F796C" w14:textId="77777777" w:rsidR="009A2A34" w:rsidRPr="00CA5EB8" w:rsidRDefault="009A2A34" w:rsidP="00CC1F9E">
            <w:pPr>
              <w:jc w:val="center"/>
              <w:rPr>
                <w:rFonts w:cs="Calibri"/>
                <w:b/>
                <w:bCs/>
                <w:color w:val="000000"/>
                <w:sz w:val="18"/>
                <w:szCs w:val="18"/>
              </w:rPr>
            </w:pPr>
            <w:r w:rsidRPr="00CA5EB8">
              <w:rPr>
                <w:rFonts w:cs="Calibri"/>
                <w:b/>
                <w:bCs/>
                <w:color w:val="000000"/>
                <w:sz w:val="18"/>
                <w:szCs w:val="18"/>
              </w:rPr>
              <w:t>-4,3</w:t>
            </w:r>
          </w:p>
        </w:tc>
        <w:tc>
          <w:tcPr>
            <w:tcW w:w="1054" w:type="dxa"/>
            <w:tcBorders>
              <w:top w:val="single" w:sz="4" w:space="0" w:color="auto"/>
              <w:left w:val="nil"/>
              <w:bottom w:val="single" w:sz="8" w:space="0" w:color="auto"/>
              <w:right w:val="nil"/>
            </w:tcBorders>
            <w:shd w:val="clear" w:color="auto" w:fill="auto"/>
            <w:noWrap/>
            <w:vAlign w:val="center"/>
          </w:tcPr>
          <w:p w14:paraId="0651E0DB" w14:textId="77777777" w:rsidR="009A2A34" w:rsidRPr="00CA5EB8" w:rsidRDefault="009A2A34" w:rsidP="00CC1F9E">
            <w:pPr>
              <w:jc w:val="center"/>
              <w:rPr>
                <w:rFonts w:cs="Calibri"/>
                <w:b/>
                <w:bCs/>
                <w:color w:val="000000"/>
                <w:sz w:val="18"/>
                <w:szCs w:val="18"/>
              </w:rPr>
            </w:pPr>
            <w:r w:rsidRPr="00CA5EB8">
              <w:rPr>
                <w:rFonts w:cs="Calibri"/>
                <w:b/>
                <w:bCs/>
                <w:color w:val="000000"/>
                <w:sz w:val="18"/>
                <w:szCs w:val="18"/>
              </w:rPr>
              <w:t>-3,3</w:t>
            </w:r>
          </w:p>
        </w:tc>
      </w:tr>
      <w:tr w:rsidR="009A2A34" w:rsidRPr="005E3B98" w14:paraId="063A2A8C" w14:textId="77777777" w:rsidTr="00CC1F9E">
        <w:trPr>
          <w:trHeight w:val="244"/>
          <w:jc w:val="center"/>
        </w:trPr>
        <w:tc>
          <w:tcPr>
            <w:tcW w:w="3686" w:type="dxa"/>
            <w:tcBorders>
              <w:top w:val="nil"/>
              <w:left w:val="nil"/>
              <w:bottom w:val="single" w:sz="8" w:space="0" w:color="auto"/>
              <w:right w:val="single" w:sz="4" w:space="0" w:color="auto"/>
            </w:tcBorders>
            <w:shd w:val="clear" w:color="auto" w:fill="auto"/>
            <w:noWrap/>
            <w:vAlign w:val="center"/>
            <w:hideMark/>
          </w:tcPr>
          <w:p w14:paraId="44B0BF6F" w14:textId="77777777" w:rsidR="009A2A34" w:rsidRPr="005F79F7" w:rsidRDefault="009A2A34" w:rsidP="00CC1F9E">
            <w:pPr>
              <w:rPr>
                <w:rFonts w:cs="Times New Roman"/>
                <w:b/>
                <w:bCs/>
                <w:color w:val="000000"/>
                <w:sz w:val="18"/>
                <w:szCs w:val="18"/>
              </w:rPr>
            </w:pPr>
            <w:r w:rsidRPr="005F79F7">
              <w:rPr>
                <w:rFonts w:cs="Times New Roman"/>
                <w:b/>
                <w:bCs/>
                <w:color w:val="000000"/>
                <w:sz w:val="18"/>
                <w:szCs w:val="18"/>
              </w:rPr>
              <w:t>Konsolidačné úsilie podľa národnej metodiky (medziročná zmena 4)</w:t>
            </w:r>
          </w:p>
        </w:tc>
        <w:tc>
          <w:tcPr>
            <w:tcW w:w="850" w:type="dxa"/>
            <w:tcBorders>
              <w:top w:val="nil"/>
              <w:left w:val="single" w:sz="4" w:space="0" w:color="auto"/>
              <w:bottom w:val="single" w:sz="8" w:space="0" w:color="auto"/>
              <w:right w:val="nil"/>
            </w:tcBorders>
            <w:shd w:val="clear" w:color="auto" w:fill="auto"/>
            <w:noWrap/>
            <w:vAlign w:val="center"/>
          </w:tcPr>
          <w:p w14:paraId="4BACDAE4" w14:textId="77777777" w:rsidR="009A2A34" w:rsidRPr="005E3B98" w:rsidRDefault="009A2A34" w:rsidP="00CC1F9E">
            <w:pPr>
              <w:jc w:val="center"/>
              <w:rPr>
                <w:rFonts w:cs="Times New Roman"/>
                <w:b/>
                <w:bCs/>
                <w:color w:val="A6A6A6" w:themeColor="background1" w:themeShade="A6"/>
                <w:sz w:val="18"/>
                <w:szCs w:val="18"/>
                <w:highlight w:val="yellow"/>
              </w:rPr>
            </w:pPr>
          </w:p>
        </w:tc>
        <w:tc>
          <w:tcPr>
            <w:tcW w:w="709" w:type="dxa"/>
            <w:tcBorders>
              <w:top w:val="nil"/>
              <w:left w:val="nil"/>
              <w:bottom w:val="single" w:sz="8" w:space="0" w:color="auto"/>
              <w:right w:val="single" w:sz="4" w:space="0" w:color="auto"/>
            </w:tcBorders>
            <w:shd w:val="clear" w:color="auto" w:fill="C00000"/>
            <w:noWrap/>
            <w:vAlign w:val="center"/>
          </w:tcPr>
          <w:p w14:paraId="4156474D" w14:textId="77777777" w:rsidR="009A2A34" w:rsidRPr="0038207C" w:rsidRDefault="009A2A34" w:rsidP="00CC1F9E">
            <w:pPr>
              <w:jc w:val="center"/>
              <w:rPr>
                <w:rFonts w:cs="Times New Roman"/>
                <w:b/>
                <w:bCs/>
                <w:color w:val="A6A6A6" w:themeColor="background1" w:themeShade="A6"/>
                <w:sz w:val="18"/>
                <w:szCs w:val="18"/>
              </w:rPr>
            </w:pPr>
            <w:r w:rsidRPr="0038207C">
              <w:rPr>
                <w:rFonts w:cs="Times New Roman"/>
                <w:b/>
                <w:bCs/>
                <w:color w:val="A6A6A6" w:themeColor="background1" w:themeShade="A6"/>
                <w:sz w:val="18"/>
                <w:szCs w:val="18"/>
              </w:rPr>
              <w:t>-</w:t>
            </w:r>
            <w:r>
              <w:rPr>
                <w:rFonts w:cs="Times New Roman"/>
                <w:b/>
                <w:bCs/>
                <w:color w:val="A6A6A6" w:themeColor="background1" w:themeShade="A6"/>
                <w:sz w:val="18"/>
                <w:szCs w:val="18"/>
              </w:rPr>
              <w:t>2,0</w:t>
            </w:r>
          </w:p>
        </w:tc>
        <w:tc>
          <w:tcPr>
            <w:tcW w:w="851" w:type="dxa"/>
            <w:tcBorders>
              <w:top w:val="nil"/>
              <w:left w:val="single" w:sz="4" w:space="0" w:color="auto"/>
              <w:bottom w:val="single" w:sz="8" w:space="0" w:color="auto"/>
              <w:right w:val="single" w:sz="4" w:space="0" w:color="auto"/>
            </w:tcBorders>
            <w:shd w:val="clear" w:color="auto" w:fill="C00000"/>
            <w:noWrap/>
            <w:vAlign w:val="center"/>
          </w:tcPr>
          <w:p w14:paraId="25FA3316" w14:textId="77777777" w:rsidR="009A2A34" w:rsidRPr="0038207C" w:rsidRDefault="009A2A34" w:rsidP="00CC1F9E">
            <w:pPr>
              <w:jc w:val="center"/>
              <w:rPr>
                <w:rFonts w:cs="Calibri"/>
                <w:b/>
                <w:bCs/>
                <w:color w:val="000000"/>
                <w:sz w:val="18"/>
                <w:szCs w:val="18"/>
              </w:rPr>
            </w:pPr>
            <w:r w:rsidRPr="0038207C">
              <w:rPr>
                <w:rFonts w:cs="Calibri"/>
                <w:b/>
                <w:bCs/>
                <w:color w:val="000000"/>
                <w:sz w:val="18"/>
                <w:szCs w:val="18"/>
              </w:rPr>
              <w:t>-2</w:t>
            </w:r>
            <w:r>
              <w:rPr>
                <w:rFonts w:cs="Calibri"/>
                <w:b/>
                <w:bCs/>
                <w:color w:val="000000"/>
                <w:sz w:val="18"/>
                <w:szCs w:val="18"/>
              </w:rPr>
              <w:t>,0</w:t>
            </w:r>
          </w:p>
        </w:tc>
        <w:tc>
          <w:tcPr>
            <w:tcW w:w="992" w:type="dxa"/>
            <w:tcBorders>
              <w:top w:val="nil"/>
              <w:left w:val="single" w:sz="4" w:space="0" w:color="auto"/>
              <w:bottom w:val="single" w:sz="8" w:space="0" w:color="auto"/>
            </w:tcBorders>
            <w:shd w:val="clear" w:color="auto" w:fill="BFBFBF" w:themeFill="background1" w:themeFillShade="BF"/>
            <w:noWrap/>
            <w:vAlign w:val="center"/>
          </w:tcPr>
          <w:p w14:paraId="0A868BDE"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0,</w:t>
            </w:r>
            <w:r>
              <w:rPr>
                <w:rFonts w:cs="Calibri"/>
                <w:b/>
                <w:bCs/>
                <w:color w:val="000000"/>
                <w:sz w:val="18"/>
                <w:szCs w:val="18"/>
              </w:rPr>
              <w:t>0</w:t>
            </w:r>
          </w:p>
        </w:tc>
        <w:tc>
          <w:tcPr>
            <w:tcW w:w="992" w:type="dxa"/>
            <w:tcBorders>
              <w:top w:val="single" w:sz="8" w:space="0" w:color="auto"/>
              <w:bottom w:val="single" w:sz="8" w:space="0" w:color="auto"/>
              <w:right w:val="nil"/>
            </w:tcBorders>
            <w:shd w:val="clear" w:color="auto" w:fill="92D050"/>
            <w:noWrap/>
            <w:vAlign w:val="center"/>
          </w:tcPr>
          <w:p w14:paraId="66B071F4" w14:textId="77777777" w:rsidR="009A2A34" w:rsidRPr="004B313C" w:rsidRDefault="009A2A34" w:rsidP="00CC1F9E">
            <w:pPr>
              <w:jc w:val="center"/>
              <w:rPr>
                <w:rFonts w:cs="Calibri"/>
                <w:b/>
                <w:bCs/>
                <w:color w:val="000000"/>
                <w:sz w:val="18"/>
                <w:szCs w:val="18"/>
              </w:rPr>
            </w:pPr>
            <w:r>
              <w:rPr>
                <w:rFonts w:cs="Calibri"/>
                <w:b/>
                <w:bCs/>
                <w:color w:val="000000"/>
                <w:sz w:val="18"/>
                <w:szCs w:val="18"/>
              </w:rPr>
              <w:t>0,9</w:t>
            </w:r>
          </w:p>
        </w:tc>
        <w:tc>
          <w:tcPr>
            <w:tcW w:w="1054" w:type="dxa"/>
            <w:tcBorders>
              <w:top w:val="single" w:sz="8" w:space="0" w:color="auto"/>
              <w:left w:val="nil"/>
              <w:bottom w:val="single" w:sz="8" w:space="0" w:color="auto"/>
              <w:right w:val="nil"/>
            </w:tcBorders>
            <w:shd w:val="clear" w:color="auto" w:fill="92D050"/>
            <w:noWrap/>
            <w:vAlign w:val="center"/>
          </w:tcPr>
          <w:p w14:paraId="1A108139"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1,</w:t>
            </w:r>
            <w:r>
              <w:rPr>
                <w:rFonts w:cs="Calibri"/>
                <w:b/>
                <w:bCs/>
                <w:color w:val="000000"/>
                <w:sz w:val="18"/>
                <w:szCs w:val="18"/>
              </w:rPr>
              <w:t>1</w:t>
            </w:r>
          </w:p>
        </w:tc>
      </w:tr>
      <w:tr w:rsidR="009A2A34" w:rsidRPr="005E3B98" w14:paraId="36D4E1A0" w14:textId="77777777" w:rsidTr="00CC1F9E">
        <w:trPr>
          <w:trHeight w:val="244"/>
          <w:jc w:val="center"/>
        </w:trPr>
        <w:tc>
          <w:tcPr>
            <w:tcW w:w="3686" w:type="dxa"/>
            <w:tcBorders>
              <w:top w:val="nil"/>
              <w:left w:val="nil"/>
              <w:bottom w:val="single" w:sz="8" w:space="0" w:color="auto"/>
              <w:right w:val="single" w:sz="4" w:space="0" w:color="auto"/>
            </w:tcBorders>
            <w:shd w:val="clear" w:color="auto" w:fill="auto"/>
            <w:noWrap/>
            <w:vAlign w:val="center"/>
          </w:tcPr>
          <w:p w14:paraId="007EF13D" w14:textId="77777777" w:rsidR="009A2A34" w:rsidRPr="005F79F7" w:rsidRDefault="009A2A34" w:rsidP="00CC1F9E">
            <w:pPr>
              <w:rPr>
                <w:rFonts w:cs="Times New Roman"/>
                <w:b/>
                <w:bCs/>
                <w:color w:val="000000"/>
                <w:sz w:val="18"/>
                <w:szCs w:val="18"/>
              </w:rPr>
            </w:pPr>
            <w:r w:rsidRPr="005F79F7">
              <w:rPr>
                <w:rFonts w:cs="Times New Roman"/>
                <w:b/>
                <w:bCs/>
                <w:color w:val="000000"/>
                <w:sz w:val="18"/>
                <w:szCs w:val="18"/>
              </w:rPr>
              <w:t>Štrukturálne saldo podľa EK metodiky (5=1-2)</w:t>
            </w:r>
          </w:p>
        </w:tc>
        <w:tc>
          <w:tcPr>
            <w:tcW w:w="850" w:type="dxa"/>
            <w:tcBorders>
              <w:top w:val="nil"/>
              <w:left w:val="single" w:sz="4" w:space="0" w:color="auto"/>
              <w:bottom w:val="single" w:sz="8" w:space="0" w:color="auto"/>
              <w:right w:val="nil"/>
            </w:tcBorders>
            <w:shd w:val="clear" w:color="auto" w:fill="auto"/>
            <w:noWrap/>
            <w:vAlign w:val="center"/>
          </w:tcPr>
          <w:p w14:paraId="20F9635D" w14:textId="77777777" w:rsidR="009A2A34" w:rsidRPr="004B313C" w:rsidRDefault="009A2A34" w:rsidP="00CC1F9E">
            <w:pPr>
              <w:jc w:val="center"/>
              <w:rPr>
                <w:rFonts w:cs="Times New Roman"/>
                <w:b/>
                <w:bCs/>
                <w:color w:val="A6A6A6" w:themeColor="background1" w:themeShade="A6"/>
                <w:sz w:val="18"/>
                <w:szCs w:val="18"/>
              </w:rPr>
            </w:pPr>
            <w:r w:rsidRPr="004B313C">
              <w:rPr>
                <w:rFonts w:cs="Times New Roman"/>
                <w:b/>
                <w:bCs/>
                <w:color w:val="A6A6A6" w:themeColor="background1" w:themeShade="A6"/>
                <w:sz w:val="18"/>
                <w:szCs w:val="18"/>
              </w:rPr>
              <w:t>-1,9</w:t>
            </w:r>
          </w:p>
        </w:tc>
        <w:tc>
          <w:tcPr>
            <w:tcW w:w="709" w:type="dxa"/>
            <w:tcBorders>
              <w:top w:val="nil"/>
              <w:left w:val="nil"/>
              <w:bottom w:val="single" w:sz="8" w:space="0" w:color="auto"/>
              <w:right w:val="single" w:sz="4" w:space="0" w:color="auto"/>
            </w:tcBorders>
            <w:shd w:val="clear" w:color="auto" w:fill="auto"/>
            <w:noWrap/>
            <w:vAlign w:val="center"/>
          </w:tcPr>
          <w:p w14:paraId="1A65B517" w14:textId="77777777" w:rsidR="009A2A34" w:rsidRPr="004B313C" w:rsidRDefault="009A2A34" w:rsidP="00CC1F9E">
            <w:pPr>
              <w:jc w:val="center"/>
              <w:rPr>
                <w:rFonts w:cs="Times New Roman"/>
                <w:b/>
                <w:bCs/>
                <w:color w:val="A6A6A6" w:themeColor="background1" w:themeShade="A6"/>
                <w:sz w:val="18"/>
                <w:szCs w:val="18"/>
              </w:rPr>
            </w:pPr>
            <w:r w:rsidRPr="004B313C">
              <w:rPr>
                <w:rFonts w:cs="Times New Roman"/>
                <w:b/>
                <w:bCs/>
                <w:color w:val="A6A6A6" w:themeColor="background1" w:themeShade="A6"/>
                <w:sz w:val="18"/>
                <w:szCs w:val="18"/>
              </w:rPr>
              <w:t>-4,8</w:t>
            </w:r>
          </w:p>
        </w:tc>
        <w:tc>
          <w:tcPr>
            <w:tcW w:w="851" w:type="dxa"/>
            <w:tcBorders>
              <w:top w:val="nil"/>
              <w:left w:val="single" w:sz="4" w:space="0" w:color="auto"/>
              <w:bottom w:val="single" w:sz="8" w:space="0" w:color="auto"/>
              <w:right w:val="single" w:sz="4" w:space="0" w:color="auto"/>
            </w:tcBorders>
            <w:shd w:val="clear" w:color="auto" w:fill="auto"/>
            <w:noWrap/>
            <w:vAlign w:val="center"/>
          </w:tcPr>
          <w:p w14:paraId="4AE0EB37"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w:t>
            </w:r>
            <w:r>
              <w:rPr>
                <w:rFonts w:cs="Calibri"/>
                <w:b/>
                <w:bCs/>
                <w:color w:val="000000"/>
                <w:sz w:val="18"/>
                <w:szCs w:val="18"/>
              </w:rPr>
              <w:t>5,8</w:t>
            </w:r>
          </w:p>
        </w:tc>
        <w:tc>
          <w:tcPr>
            <w:tcW w:w="992" w:type="dxa"/>
            <w:tcBorders>
              <w:top w:val="nil"/>
              <w:left w:val="single" w:sz="4" w:space="0" w:color="auto"/>
              <w:bottom w:val="single" w:sz="8" w:space="0" w:color="auto"/>
            </w:tcBorders>
            <w:shd w:val="clear" w:color="auto" w:fill="auto"/>
            <w:noWrap/>
            <w:vAlign w:val="center"/>
          </w:tcPr>
          <w:p w14:paraId="31AC737D"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-5,3</w:t>
            </w:r>
          </w:p>
        </w:tc>
        <w:tc>
          <w:tcPr>
            <w:tcW w:w="992" w:type="dxa"/>
            <w:tcBorders>
              <w:top w:val="single" w:sz="8" w:space="0" w:color="auto"/>
              <w:bottom w:val="single" w:sz="8" w:space="0" w:color="auto"/>
              <w:right w:val="nil"/>
            </w:tcBorders>
            <w:shd w:val="clear" w:color="auto" w:fill="auto"/>
            <w:noWrap/>
            <w:vAlign w:val="center"/>
          </w:tcPr>
          <w:p w14:paraId="3FD73DC1"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-4,3</w:t>
            </w:r>
          </w:p>
        </w:tc>
        <w:tc>
          <w:tcPr>
            <w:tcW w:w="1054" w:type="dxa"/>
            <w:tcBorders>
              <w:top w:val="single" w:sz="8" w:space="0" w:color="auto"/>
              <w:left w:val="nil"/>
              <w:bottom w:val="single" w:sz="8" w:space="0" w:color="auto"/>
              <w:right w:val="nil"/>
            </w:tcBorders>
            <w:shd w:val="clear" w:color="auto" w:fill="auto"/>
            <w:noWrap/>
            <w:vAlign w:val="center"/>
          </w:tcPr>
          <w:p w14:paraId="3F68E98F"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-3,3</w:t>
            </w:r>
          </w:p>
        </w:tc>
      </w:tr>
      <w:tr w:rsidR="009A2A34" w:rsidRPr="005E3B98" w14:paraId="327EFFFE" w14:textId="77777777" w:rsidTr="00CC1F9E">
        <w:trPr>
          <w:trHeight w:val="244"/>
          <w:jc w:val="center"/>
        </w:trPr>
        <w:tc>
          <w:tcPr>
            <w:tcW w:w="3686" w:type="dxa"/>
            <w:tcBorders>
              <w:top w:val="nil"/>
              <w:left w:val="nil"/>
              <w:bottom w:val="single" w:sz="4" w:space="0" w:color="auto"/>
              <w:right w:val="single" w:sz="4" w:space="0" w:color="auto"/>
            </w:tcBorders>
            <w:shd w:val="clear" w:color="auto" w:fill="auto"/>
            <w:noWrap/>
            <w:vAlign w:val="center"/>
          </w:tcPr>
          <w:p w14:paraId="1FE08654" w14:textId="77777777" w:rsidR="009A2A34" w:rsidRPr="005F79F7" w:rsidRDefault="009A2A34" w:rsidP="00CC1F9E">
            <w:pPr>
              <w:rPr>
                <w:rFonts w:cs="Times New Roman"/>
                <w:b/>
                <w:bCs/>
                <w:color w:val="000000"/>
                <w:sz w:val="18"/>
                <w:szCs w:val="18"/>
              </w:rPr>
            </w:pPr>
            <w:r w:rsidRPr="005F79F7">
              <w:rPr>
                <w:rFonts w:cs="Times New Roman"/>
                <w:b/>
                <w:bCs/>
                <w:color w:val="000000"/>
                <w:sz w:val="18"/>
                <w:szCs w:val="18"/>
              </w:rPr>
              <w:t>Konsolidačné úsilie podľa EK metodiky (medziročná zmena 5)</w:t>
            </w:r>
          </w:p>
        </w:tc>
        <w:tc>
          <w:tcPr>
            <w:tcW w:w="850" w:type="dxa"/>
            <w:tcBorders>
              <w:top w:val="nil"/>
              <w:left w:val="single" w:sz="4" w:space="0" w:color="auto"/>
              <w:bottom w:val="single" w:sz="4" w:space="0" w:color="auto"/>
              <w:right w:val="nil"/>
            </w:tcBorders>
            <w:shd w:val="clear" w:color="auto" w:fill="auto"/>
            <w:noWrap/>
            <w:vAlign w:val="center"/>
          </w:tcPr>
          <w:p w14:paraId="038DF7C5" w14:textId="77777777" w:rsidR="009A2A34" w:rsidRPr="004B313C" w:rsidRDefault="009A2A34" w:rsidP="00CC1F9E">
            <w:pPr>
              <w:jc w:val="center"/>
              <w:rPr>
                <w:rFonts w:cs="Times New Roman"/>
                <w:b/>
                <w:bCs/>
                <w:color w:val="A6A6A6" w:themeColor="background1" w:themeShade="A6"/>
                <w:sz w:val="18"/>
                <w:szCs w:val="18"/>
              </w:rPr>
            </w:pPr>
          </w:p>
        </w:tc>
        <w:tc>
          <w:tcPr>
            <w:tcW w:w="709" w:type="dxa"/>
            <w:tcBorders>
              <w:top w:val="nil"/>
              <w:left w:val="nil"/>
              <w:bottom w:val="single" w:sz="4" w:space="0" w:color="auto"/>
              <w:right w:val="single" w:sz="4" w:space="0" w:color="auto"/>
            </w:tcBorders>
            <w:shd w:val="clear" w:color="auto" w:fill="C00000"/>
            <w:noWrap/>
            <w:vAlign w:val="center"/>
          </w:tcPr>
          <w:p w14:paraId="7866FD55" w14:textId="77777777" w:rsidR="009A2A34" w:rsidRPr="004B313C" w:rsidRDefault="009A2A34" w:rsidP="00CC1F9E">
            <w:pPr>
              <w:jc w:val="center"/>
              <w:rPr>
                <w:rFonts w:cs="Times New Roman"/>
                <w:b/>
                <w:bCs/>
                <w:color w:val="A6A6A6" w:themeColor="background1" w:themeShade="A6"/>
                <w:sz w:val="18"/>
                <w:szCs w:val="18"/>
              </w:rPr>
            </w:pPr>
            <w:r>
              <w:rPr>
                <w:rFonts w:cs="Times New Roman"/>
                <w:b/>
                <w:bCs/>
                <w:color w:val="A6A6A6" w:themeColor="background1" w:themeShade="A6"/>
                <w:sz w:val="18"/>
                <w:szCs w:val="18"/>
              </w:rPr>
              <w:t>-</w:t>
            </w:r>
            <w:r w:rsidRPr="004B313C">
              <w:rPr>
                <w:rFonts w:cs="Times New Roman"/>
                <w:b/>
                <w:bCs/>
                <w:color w:val="A6A6A6" w:themeColor="background1" w:themeShade="A6"/>
                <w:sz w:val="18"/>
                <w:szCs w:val="18"/>
              </w:rPr>
              <w:t>2,9</w:t>
            </w:r>
          </w:p>
        </w:tc>
        <w:tc>
          <w:tcPr>
            <w:tcW w:w="851" w:type="dxa"/>
            <w:tcBorders>
              <w:top w:val="nil"/>
              <w:left w:val="single" w:sz="4" w:space="0" w:color="auto"/>
              <w:bottom w:val="single" w:sz="4" w:space="0" w:color="auto"/>
              <w:right w:val="single" w:sz="4" w:space="0" w:color="auto"/>
            </w:tcBorders>
            <w:shd w:val="clear" w:color="auto" w:fill="C00000"/>
            <w:noWrap/>
            <w:vAlign w:val="center"/>
          </w:tcPr>
          <w:p w14:paraId="22118BA2" w14:textId="77777777" w:rsidR="009A2A34" w:rsidRPr="004B313C" w:rsidRDefault="009A2A34" w:rsidP="00CC1F9E">
            <w:pPr>
              <w:jc w:val="center"/>
              <w:rPr>
                <w:rFonts w:cs="Calibri"/>
                <w:b/>
                <w:bCs/>
                <w:color w:val="000000"/>
                <w:sz w:val="18"/>
                <w:szCs w:val="18"/>
              </w:rPr>
            </w:pPr>
            <w:r w:rsidRPr="004B313C">
              <w:rPr>
                <w:rFonts w:cs="Calibri"/>
                <w:b/>
                <w:bCs/>
                <w:color w:val="000000"/>
                <w:sz w:val="18"/>
                <w:szCs w:val="18"/>
              </w:rPr>
              <w:t>-1,</w:t>
            </w:r>
            <w:r>
              <w:rPr>
                <w:rFonts w:cs="Calibri"/>
                <w:b/>
                <w:bCs/>
                <w:color w:val="000000"/>
                <w:sz w:val="18"/>
                <w:szCs w:val="18"/>
              </w:rPr>
              <w:t>0</w:t>
            </w:r>
          </w:p>
        </w:tc>
        <w:tc>
          <w:tcPr>
            <w:tcW w:w="992" w:type="dxa"/>
            <w:tcBorders>
              <w:top w:val="nil"/>
              <w:left w:val="single" w:sz="4" w:space="0" w:color="auto"/>
              <w:bottom w:val="single" w:sz="4" w:space="0" w:color="auto"/>
            </w:tcBorders>
            <w:shd w:val="clear" w:color="auto" w:fill="92D050"/>
            <w:noWrap/>
            <w:vAlign w:val="center"/>
          </w:tcPr>
          <w:p w14:paraId="1626931B" w14:textId="77777777" w:rsidR="009A2A34" w:rsidRPr="004E49F2" w:rsidRDefault="009A2A34" w:rsidP="00CC1F9E">
            <w:pPr>
              <w:jc w:val="center"/>
              <w:rPr>
                <w:rFonts w:cs="Calibri"/>
                <w:b/>
                <w:bCs/>
                <w:color w:val="000000"/>
                <w:sz w:val="18"/>
                <w:szCs w:val="18"/>
              </w:rPr>
            </w:pPr>
            <w:r w:rsidRPr="004E49F2">
              <w:rPr>
                <w:rFonts w:cs="Calibri"/>
                <w:b/>
                <w:bCs/>
                <w:color w:val="000000"/>
                <w:sz w:val="18"/>
                <w:szCs w:val="18"/>
              </w:rPr>
              <w:t>0,</w:t>
            </w:r>
            <w:r>
              <w:rPr>
                <w:rFonts w:cs="Calibri"/>
                <w:b/>
                <w:bCs/>
                <w:color w:val="000000"/>
                <w:sz w:val="18"/>
                <w:szCs w:val="18"/>
              </w:rPr>
              <w:t>6</w:t>
            </w:r>
          </w:p>
        </w:tc>
        <w:tc>
          <w:tcPr>
            <w:tcW w:w="992" w:type="dxa"/>
            <w:tcBorders>
              <w:top w:val="single" w:sz="8" w:space="0" w:color="auto"/>
              <w:bottom w:val="single" w:sz="4" w:space="0" w:color="auto"/>
              <w:right w:val="nil"/>
            </w:tcBorders>
            <w:shd w:val="clear" w:color="auto" w:fill="92D050"/>
            <w:noWrap/>
            <w:vAlign w:val="center"/>
          </w:tcPr>
          <w:p w14:paraId="60E630B3" w14:textId="77777777" w:rsidR="009A2A34" w:rsidRPr="004E49F2" w:rsidRDefault="009A2A34" w:rsidP="00CC1F9E">
            <w:pPr>
              <w:jc w:val="center"/>
              <w:rPr>
                <w:rFonts w:cs="Calibri"/>
                <w:b/>
                <w:bCs/>
                <w:color w:val="000000"/>
                <w:sz w:val="18"/>
                <w:szCs w:val="18"/>
              </w:rPr>
            </w:pPr>
            <w:r w:rsidRPr="004E49F2">
              <w:rPr>
                <w:rFonts w:cs="Calibri"/>
                <w:b/>
                <w:bCs/>
                <w:color w:val="000000"/>
                <w:sz w:val="18"/>
                <w:szCs w:val="18"/>
              </w:rPr>
              <w:t>0,9</w:t>
            </w:r>
          </w:p>
        </w:tc>
        <w:tc>
          <w:tcPr>
            <w:tcW w:w="1054" w:type="dxa"/>
            <w:tcBorders>
              <w:top w:val="single" w:sz="8" w:space="0" w:color="auto"/>
              <w:left w:val="nil"/>
              <w:bottom w:val="single" w:sz="4" w:space="0" w:color="auto"/>
              <w:right w:val="nil"/>
            </w:tcBorders>
            <w:shd w:val="clear" w:color="auto" w:fill="92D050"/>
            <w:noWrap/>
            <w:vAlign w:val="center"/>
          </w:tcPr>
          <w:p w14:paraId="79E71E36" w14:textId="77777777" w:rsidR="009A2A34" w:rsidRPr="004E49F2" w:rsidRDefault="009A2A34" w:rsidP="00CC1F9E">
            <w:pPr>
              <w:jc w:val="center"/>
              <w:rPr>
                <w:rFonts w:cs="Calibri"/>
                <w:b/>
                <w:bCs/>
                <w:color w:val="000000"/>
                <w:sz w:val="18"/>
                <w:szCs w:val="18"/>
              </w:rPr>
            </w:pPr>
            <w:r w:rsidRPr="004E49F2">
              <w:rPr>
                <w:rFonts w:cs="Calibri"/>
                <w:b/>
                <w:bCs/>
                <w:color w:val="000000"/>
                <w:sz w:val="18"/>
                <w:szCs w:val="18"/>
              </w:rPr>
              <w:t>1,1</w:t>
            </w:r>
          </w:p>
        </w:tc>
      </w:tr>
      <w:tr w:rsidR="009A2A34" w:rsidRPr="005E3B98" w14:paraId="44999DB5" w14:textId="77777777" w:rsidTr="00CC1F9E">
        <w:trPr>
          <w:trHeight w:val="244"/>
          <w:jc w:val="center"/>
        </w:trPr>
        <w:tc>
          <w:tcPr>
            <w:tcW w:w="3686" w:type="dxa"/>
            <w:tcBorders>
              <w:top w:val="single" w:sz="4" w:space="0" w:color="auto"/>
              <w:left w:val="nil"/>
              <w:bottom w:val="single" w:sz="8" w:space="0" w:color="auto"/>
              <w:right w:val="single" w:sz="4" w:space="0" w:color="auto"/>
            </w:tcBorders>
            <w:shd w:val="clear" w:color="auto" w:fill="auto"/>
            <w:noWrap/>
            <w:vAlign w:val="center"/>
          </w:tcPr>
          <w:p w14:paraId="4D2F8F36" w14:textId="77777777" w:rsidR="009A2A34" w:rsidRPr="004B313C" w:rsidRDefault="009A2A34" w:rsidP="00CC1F9E">
            <w:pPr>
              <w:rPr>
                <w:rFonts w:cs="Times New Roman"/>
                <w:i/>
                <w:iCs/>
                <w:color w:val="000000"/>
                <w:sz w:val="18"/>
                <w:szCs w:val="18"/>
              </w:rPr>
            </w:pPr>
            <w:r w:rsidRPr="004B313C">
              <w:rPr>
                <w:rFonts w:cs="Times New Roman"/>
                <w:i/>
                <w:iCs/>
                <w:color w:val="000000"/>
                <w:sz w:val="18"/>
                <w:szCs w:val="18"/>
              </w:rPr>
              <w:t>p. m. aktuálne nastavenie návrhu rozpočtu</w:t>
            </w:r>
          </w:p>
        </w:tc>
        <w:tc>
          <w:tcPr>
            <w:tcW w:w="850" w:type="dxa"/>
            <w:tcBorders>
              <w:top w:val="single" w:sz="4" w:space="0" w:color="auto"/>
              <w:left w:val="single" w:sz="4" w:space="0" w:color="auto"/>
              <w:bottom w:val="single" w:sz="8" w:space="0" w:color="auto"/>
              <w:right w:val="nil"/>
            </w:tcBorders>
            <w:shd w:val="clear" w:color="auto" w:fill="auto"/>
            <w:noWrap/>
            <w:vAlign w:val="center"/>
          </w:tcPr>
          <w:p w14:paraId="3495DF96" w14:textId="77777777" w:rsidR="009A2A34" w:rsidRPr="004B313C" w:rsidRDefault="009A2A34" w:rsidP="00CC1F9E">
            <w:pPr>
              <w:jc w:val="center"/>
              <w:rPr>
                <w:rFonts w:cs="Times New Roman"/>
                <w:b/>
                <w:bCs/>
                <w:color w:val="A6A6A6" w:themeColor="background1" w:themeShade="A6"/>
                <w:sz w:val="18"/>
                <w:szCs w:val="18"/>
              </w:rPr>
            </w:pPr>
          </w:p>
        </w:tc>
        <w:tc>
          <w:tcPr>
            <w:tcW w:w="709" w:type="dxa"/>
            <w:tcBorders>
              <w:top w:val="single" w:sz="4" w:space="0" w:color="auto"/>
              <w:left w:val="nil"/>
              <w:bottom w:val="single" w:sz="8" w:space="0" w:color="auto"/>
              <w:right w:val="single" w:sz="4" w:space="0" w:color="auto"/>
            </w:tcBorders>
            <w:shd w:val="clear" w:color="auto" w:fill="auto"/>
            <w:noWrap/>
            <w:vAlign w:val="center"/>
          </w:tcPr>
          <w:p w14:paraId="74AF5694" w14:textId="77777777" w:rsidR="009A2A34" w:rsidRPr="004B313C" w:rsidRDefault="009A2A34" w:rsidP="00CC1F9E">
            <w:pPr>
              <w:jc w:val="center"/>
              <w:rPr>
                <w:rFonts w:cs="Times New Roman"/>
                <w:b/>
                <w:bCs/>
                <w:color w:val="A6A6A6" w:themeColor="background1" w:themeShade="A6"/>
                <w:sz w:val="18"/>
                <w:szCs w:val="18"/>
              </w:rPr>
            </w:pPr>
          </w:p>
        </w:tc>
        <w:tc>
          <w:tcPr>
            <w:tcW w:w="851" w:type="dxa"/>
            <w:tcBorders>
              <w:top w:val="single" w:sz="4" w:space="0" w:color="auto"/>
              <w:left w:val="single" w:sz="4" w:space="0" w:color="auto"/>
              <w:bottom w:val="single" w:sz="8" w:space="0" w:color="auto"/>
              <w:right w:val="single" w:sz="4" w:space="0" w:color="auto"/>
            </w:tcBorders>
            <w:shd w:val="clear" w:color="auto" w:fill="auto"/>
            <w:noWrap/>
            <w:vAlign w:val="center"/>
          </w:tcPr>
          <w:p w14:paraId="05996AD9" w14:textId="77777777" w:rsidR="009A2A34" w:rsidRPr="004B313C" w:rsidRDefault="009A2A34" w:rsidP="00CC1F9E">
            <w:pPr>
              <w:jc w:val="center"/>
              <w:rPr>
                <w:rFonts w:cs="Calibri"/>
                <w:b/>
                <w:bCs/>
                <w:color w:val="000000"/>
                <w:sz w:val="18"/>
                <w:szCs w:val="18"/>
              </w:rPr>
            </w:pPr>
          </w:p>
        </w:tc>
        <w:tc>
          <w:tcPr>
            <w:tcW w:w="992" w:type="dxa"/>
            <w:tcBorders>
              <w:top w:val="single" w:sz="4" w:space="0" w:color="auto"/>
              <w:left w:val="single" w:sz="4" w:space="0" w:color="auto"/>
              <w:bottom w:val="single" w:sz="8" w:space="0" w:color="auto"/>
            </w:tcBorders>
            <w:shd w:val="clear" w:color="auto" w:fill="auto"/>
            <w:noWrap/>
            <w:vAlign w:val="bottom"/>
          </w:tcPr>
          <w:p w14:paraId="69A4BCB4" w14:textId="77777777" w:rsidR="009A2A34" w:rsidRPr="004E49F2" w:rsidRDefault="009A2A34" w:rsidP="00CC1F9E">
            <w:pPr>
              <w:jc w:val="center"/>
              <w:rPr>
                <w:rFonts w:cs="Calibri"/>
                <w:i/>
                <w:iCs/>
                <w:color w:val="000000"/>
                <w:sz w:val="18"/>
                <w:szCs w:val="18"/>
              </w:rPr>
            </w:pPr>
            <w:r w:rsidRPr="004E49F2">
              <w:rPr>
                <w:rFonts w:cs="Calibri"/>
                <w:i/>
                <w:iCs/>
                <w:color w:val="000000"/>
                <w:sz w:val="18"/>
                <w:szCs w:val="18"/>
              </w:rPr>
              <w:t>-5,5</w:t>
            </w:r>
          </w:p>
        </w:tc>
        <w:tc>
          <w:tcPr>
            <w:tcW w:w="992" w:type="dxa"/>
            <w:tcBorders>
              <w:top w:val="single" w:sz="4" w:space="0" w:color="auto"/>
              <w:bottom w:val="single" w:sz="8" w:space="0" w:color="auto"/>
              <w:right w:val="nil"/>
            </w:tcBorders>
            <w:shd w:val="clear" w:color="auto" w:fill="auto"/>
            <w:noWrap/>
            <w:vAlign w:val="bottom"/>
          </w:tcPr>
          <w:p w14:paraId="6FE8363B" w14:textId="77777777" w:rsidR="009A2A34" w:rsidRPr="004E49F2" w:rsidRDefault="009A2A34" w:rsidP="00CC1F9E">
            <w:pPr>
              <w:jc w:val="center"/>
              <w:rPr>
                <w:rFonts w:cs="Calibri"/>
                <w:i/>
                <w:iCs/>
                <w:color w:val="000000"/>
                <w:sz w:val="18"/>
                <w:szCs w:val="18"/>
              </w:rPr>
            </w:pPr>
            <w:r w:rsidRPr="004E49F2">
              <w:rPr>
                <w:rFonts w:cs="Calibri"/>
                <w:i/>
                <w:iCs/>
                <w:color w:val="000000"/>
                <w:sz w:val="18"/>
                <w:szCs w:val="18"/>
              </w:rPr>
              <w:t>-5,2</w:t>
            </w:r>
          </w:p>
        </w:tc>
        <w:tc>
          <w:tcPr>
            <w:tcW w:w="1054" w:type="dxa"/>
            <w:tcBorders>
              <w:top w:val="single" w:sz="4" w:space="0" w:color="auto"/>
              <w:left w:val="nil"/>
              <w:bottom w:val="single" w:sz="8" w:space="0" w:color="auto"/>
              <w:right w:val="nil"/>
            </w:tcBorders>
            <w:shd w:val="clear" w:color="auto" w:fill="auto"/>
            <w:noWrap/>
            <w:vAlign w:val="bottom"/>
          </w:tcPr>
          <w:p w14:paraId="3A756467" w14:textId="77777777" w:rsidR="009A2A34" w:rsidRPr="004E49F2" w:rsidRDefault="009A2A34" w:rsidP="00CC1F9E">
            <w:pPr>
              <w:jc w:val="center"/>
              <w:rPr>
                <w:rFonts w:cs="Calibri"/>
                <w:i/>
                <w:iCs/>
                <w:color w:val="000000"/>
                <w:sz w:val="18"/>
                <w:szCs w:val="18"/>
              </w:rPr>
            </w:pPr>
            <w:r w:rsidRPr="004E49F2">
              <w:rPr>
                <w:rFonts w:cs="Calibri"/>
                <w:i/>
                <w:iCs/>
                <w:color w:val="000000"/>
                <w:sz w:val="18"/>
                <w:szCs w:val="18"/>
              </w:rPr>
              <w:t>-5,5</w:t>
            </w:r>
          </w:p>
        </w:tc>
      </w:tr>
      <w:tr w:rsidR="009A2A34" w:rsidRPr="005E3B98" w14:paraId="6EC20DEB" w14:textId="77777777" w:rsidTr="00CC1F9E">
        <w:trPr>
          <w:trHeight w:val="244"/>
          <w:jc w:val="center"/>
        </w:trPr>
        <w:tc>
          <w:tcPr>
            <w:tcW w:w="3686" w:type="dxa"/>
            <w:tcBorders>
              <w:top w:val="nil"/>
              <w:left w:val="nil"/>
              <w:bottom w:val="single" w:sz="8" w:space="0" w:color="auto"/>
              <w:right w:val="single" w:sz="4" w:space="0" w:color="auto"/>
            </w:tcBorders>
            <w:shd w:val="clear" w:color="auto" w:fill="auto"/>
            <w:noWrap/>
            <w:vAlign w:val="center"/>
          </w:tcPr>
          <w:p w14:paraId="5443FDDF" w14:textId="4AE20C90" w:rsidR="009A2A34" w:rsidRPr="004B313C" w:rsidRDefault="009A2A34" w:rsidP="00CC1F9E">
            <w:pPr>
              <w:rPr>
                <w:rFonts w:cs="Times New Roman"/>
                <w:i/>
                <w:iCs/>
                <w:color w:val="000000"/>
                <w:sz w:val="18"/>
                <w:szCs w:val="18"/>
              </w:rPr>
            </w:pPr>
            <w:r w:rsidRPr="004B313C">
              <w:rPr>
                <w:rFonts w:cs="Times New Roman"/>
                <w:i/>
                <w:iCs/>
                <w:color w:val="000000"/>
                <w:sz w:val="18"/>
                <w:szCs w:val="18"/>
              </w:rPr>
              <w:t>p. m. potrebné opatrenia na dosiahnutie cieľov</w:t>
            </w:r>
            <w:r w:rsidR="00627FDF">
              <w:rPr>
                <w:rFonts w:cs="Times New Roman"/>
                <w:i/>
                <w:iCs/>
                <w:color w:val="000000"/>
                <w:sz w:val="18"/>
                <w:szCs w:val="18"/>
              </w:rPr>
              <w:t>****</w:t>
            </w:r>
          </w:p>
        </w:tc>
        <w:tc>
          <w:tcPr>
            <w:tcW w:w="850" w:type="dxa"/>
            <w:tcBorders>
              <w:top w:val="nil"/>
              <w:left w:val="single" w:sz="4" w:space="0" w:color="auto"/>
              <w:bottom w:val="single" w:sz="8" w:space="0" w:color="auto"/>
              <w:right w:val="nil"/>
            </w:tcBorders>
            <w:shd w:val="clear" w:color="auto" w:fill="auto"/>
            <w:noWrap/>
            <w:vAlign w:val="center"/>
          </w:tcPr>
          <w:p w14:paraId="4F6F3B0A" w14:textId="77777777" w:rsidR="009A2A34" w:rsidRPr="004B313C" w:rsidRDefault="009A2A34" w:rsidP="00CC1F9E">
            <w:pPr>
              <w:jc w:val="center"/>
              <w:rPr>
                <w:rFonts w:cs="Times New Roman"/>
                <w:b/>
                <w:bCs/>
                <w:color w:val="A6A6A6" w:themeColor="background1" w:themeShade="A6"/>
                <w:sz w:val="18"/>
                <w:szCs w:val="18"/>
              </w:rPr>
            </w:pPr>
          </w:p>
        </w:tc>
        <w:tc>
          <w:tcPr>
            <w:tcW w:w="709" w:type="dxa"/>
            <w:tcBorders>
              <w:top w:val="nil"/>
              <w:left w:val="nil"/>
              <w:bottom w:val="single" w:sz="8" w:space="0" w:color="auto"/>
              <w:right w:val="single" w:sz="4" w:space="0" w:color="auto"/>
            </w:tcBorders>
            <w:shd w:val="clear" w:color="auto" w:fill="auto"/>
            <w:noWrap/>
            <w:vAlign w:val="center"/>
          </w:tcPr>
          <w:p w14:paraId="7938BF1A" w14:textId="77777777" w:rsidR="009A2A34" w:rsidRPr="004B313C" w:rsidRDefault="009A2A34" w:rsidP="00CC1F9E">
            <w:pPr>
              <w:jc w:val="center"/>
              <w:rPr>
                <w:rFonts w:cs="Times New Roman"/>
                <w:b/>
                <w:bCs/>
                <w:color w:val="A6A6A6" w:themeColor="background1" w:themeShade="A6"/>
                <w:sz w:val="18"/>
                <w:szCs w:val="18"/>
              </w:rPr>
            </w:pPr>
          </w:p>
        </w:tc>
        <w:tc>
          <w:tcPr>
            <w:tcW w:w="851" w:type="dxa"/>
            <w:tcBorders>
              <w:top w:val="nil"/>
              <w:left w:val="single" w:sz="4" w:space="0" w:color="auto"/>
              <w:bottom w:val="single" w:sz="8" w:space="0" w:color="auto"/>
              <w:right w:val="single" w:sz="4" w:space="0" w:color="auto"/>
            </w:tcBorders>
            <w:shd w:val="clear" w:color="auto" w:fill="auto"/>
            <w:noWrap/>
            <w:vAlign w:val="center"/>
          </w:tcPr>
          <w:p w14:paraId="11084BCC" w14:textId="77777777" w:rsidR="009A2A34" w:rsidRPr="004B313C" w:rsidRDefault="009A2A34" w:rsidP="00CC1F9E">
            <w:pPr>
              <w:jc w:val="center"/>
              <w:rPr>
                <w:rFonts w:cs="Calibri"/>
                <w:b/>
                <w:bCs/>
                <w:color w:val="000000"/>
                <w:sz w:val="18"/>
                <w:szCs w:val="18"/>
              </w:rPr>
            </w:pPr>
          </w:p>
        </w:tc>
        <w:tc>
          <w:tcPr>
            <w:tcW w:w="992" w:type="dxa"/>
            <w:tcBorders>
              <w:top w:val="nil"/>
              <w:left w:val="single" w:sz="4" w:space="0" w:color="auto"/>
              <w:bottom w:val="single" w:sz="8" w:space="0" w:color="auto"/>
            </w:tcBorders>
            <w:shd w:val="clear" w:color="auto" w:fill="auto"/>
            <w:noWrap/>
            <w:vAlign w:val="bottom"/>
          </w:tcPr>
          <w:p w14:paraId="065094A0" w14:textId="77777777" w:rsidR="009A2A34" w:rsidRPr="004E49F2" w:rsidRDefault="009A2A34" w:rsidP="00CC1F9E">
            <w:pPr>
              <w:jc w:val="center"/>
              <w:rPr>
                <w:rFonts w:cs="Calibri"/>
                <w:i/>
                <w:iCs/>
                <w:color w:val="000000"/>
                <w:sz w:val="18"/>
                <w:szCs w:val="18"/>
              </w:rPr>
            </w:pPr>
            <w:r w:rsidRPr="004E49F2">
              <w:rPr>
                <w:rFonts w:cs="Calibri"/>
                <w:i/>
                <w:iCs/>
                <w:color w:val="000000"/>
                <w:sz w:val="18"/>
                <w:szCs w:val="18"/>
              </w:rPr>
              <w:t>0,5</w:t>
            </w:r>
          </w:p>
        </w:tc>
        <w:tc>
          <w:tcPr>
            <w:tcW w:w="992" w:type="dxa"/>
            <w:tcBorders>
              <w:top w:val="single" w:sz="8" w:space="0" w:color="auto"/>
              <w:bottom w:val="single" w:sz="8" w:space="0" w:color="auto"/>
              <w:right w:val="nil"/>
            </w:tcBorders>
            <w:shd w:val="clear" w:color="auto" w:fill="auto"/>
            <w:noWrap/>
            <w:vAlign w:val="bottom"/>
          </w:tcPr>
          <w:p w14:paraId="5C62647D" w14:textId="77777777" w:rsidR="009A2A34" w:rsidRPr="004E49F2" w:rsidRDefault="009A2A34" w:rsidP="00CC1F9E">
            <w:pPr>
              <w:jc w:val="center"/>
              <w:rPr>
                <w:rFonts w:cs="Calibri"/>
                <w:i/>
                <w:iCs/>
                <w:color w:val="000000"/>
                <w:sz w:val="18"/>
                <w:szCs w:val="18"/>
              </w:rPr>
            </w:pPr>
            <w:r w:rsidRPr="004E49F2">
              <w:rPr>
                <w:rFonts w:cs="Calibri"/>
                <w:i/>
                <w:iCs/>
                <w:color w:val="000000"/>
                <w:sz w:val="18"/>
                <w:szCs w:val="18"/>
              </w:rPr>
              <w:t>1,2</w:t>
            </w:r>
          </w:p>
        </w:tc>
        <w:tc>
          <w:tcPr>
            <w:tcW w:w="1054" w:type="dxa"/>
            <w:tcBorders>
              <w:top w:val="single" w:sz="8" w:space="0" w:color="auto"/>
              <w:left w:val="nil"/>
              <w:bottom w:val="single" w:sz="8" w:space="0" w:color="auto"/>
              <w:right w:val="nil"/>
            </w:tcBorders>
            <w:shd w:val="clear" w:color="auto" w:fill="auto"/>
            <w:noWrap/>
            <w:vAlign w:val="bottom"/>
          </w:tcPr>
          <w:p w14:paraId="45B5E940" w14:textId="77777777" w:rsidR="009A2A34" w:rsidRPr="004E49F2" w:rsidRDefault="009A2A34" w:rsidP="00CC1F9E">
            <w:pPr>
              <w:jc w:val="center"/>
              <w:rPr>
                <w:rFonts w:cs="Calibri"/>
                <w:i/>
                <w:iCs/>
                <w:color w:val="000000"/>
                <w:sz w:val="18"/>
                <w:szCs w:val="18"/>
              </w:rPr>
            </w:pPr>
            <w:r w:rsidRPr="004E49F2">
              <w:rPr>
                <w:rFonts w:cs="Calibri"/>
                <w:i/>
                <w:iCs/>
                <w:color w:val="000000"/>
                <w:sz w:val="18"/>
                <w:szCs w:val="18"/>
              </w:rPr>
              <w:t>2,6</w:t>
            </w:r>
          </w:p>
        </w:tc>
      </w:tr>
    </w:tbl>
    <w:p w14:paraId="259CF020" w14:textId="77777777" w:rsidR="009A2A34" w:rsidRDefault="009A2A34" w:rsidP="009A2A34">
      <w:pPr>
        <w:jc w:val="both"/>
        <w:rPr>
          <w:i/>
          <w:iCs/>
          <w:color w:val="000000"/>
          <w:sz w:val="16"/>
          <w:szCs w:val="16"/>
        </w:rPr>
      </w:pPr>
      <w:r w:rsidRPr="00D56B37">
        <w:rPr>
          <w:i/>
          <w:iCs/>
          <w:color w:val="000000"/>
          <w:sz w:val="16"/>
          <w:szCs w:val="16"/>
        </w:rPr>
        <w:t>* Podľa údajov jarnej notifikácie Eurostatu.</w:t>
      </w:r>
    </w:p>
    <w:p w14:paraId="10B4C9EE" w14:textId="65C54151" w:rsidR="009A2A34" w:rsidRPr="00D56B37" w:rsidRDefault="009A2A34" w:rsidP="009A2A34">
      <w:pPr>
        <w:jc w:val="both"/>
        <w:rPr>
          <w:i/>
          <w:iCs/>
          <w:color w:val="000000"/>
          <w:sz w:val="16"/>
          <w:szCs w:val="16"/>
        </w:rPr>
      </w:pPr>
      <w:r>
        <w:rPr>
          <w:i/>
          <w:iCs/>
          <w:color w:val="000000"/>
          <w:sz w:val="16"/>
          <w:szCs w:val="16"/>
        </w:rPr>
        <w:t xml:space="preserve">** V roku 2025 uplynie úniková klauzula zo sankcii dlhovej brzdy upravenej v zákone o rozpočtovej zodpovednosti. Sankcia dlhovej brzdy </w:t>
      </w:r>
      <w:r w:rsidR="0037385E">
        <w:rPr>
          <w:i/>
          <w:iCs/>
          <w:color w:val="000000"/>
          <w:sz w:val="16"/>
          <w:szCs w:val="16"/>
        </w:rPr>
        <w:t>by</w:t>
      </w:r>
      <w:r>
        <w:rPr>
          <w:i/>
          <w:iCs/>
          <w:color w:val="000000"/>
          <w:sz w:val="16"/>
          <w:szCs w:val="16"/>
        </w:rPr>
        <w:t xml:space="preserve"> vyžadov</w:t>
      </w:r>
      <w:r w:rsidR="0037385E">
        <w:rPr>
          <w:i/>
          <w:iCs/>
          <w:color w:val="000000"/>
          <w:sz w:val="16"/>
          <w:szCs w:val="16"/>
        </w:rPr>
        <w:t>ala</w:t>
      </w:r>
      <w:r>
        <w:rPr>
          <w:i/>
          <w:iCs/>
          <w:color w:val="000000"/>
          <w:sz w:val="16"/>
          <w:szCs w:val="16"/>
        </w:rPr>
        <w:t xml:space="preserve"> predloženie návrhu rozpočtu na rok 2026, ktorý bude vyrovnaný, resp. prebytkový.</w:t>
      </w:r>
    </w:p>
    <w:p w14:paraId="02B35BD3" w14:textId="41697403" w:rsidR="009A2A34" w:rsidRPr="00D56B37" w:rsidRDefault="009A2A34" w:rsidP="009A2A34">
      <w:pPr>
        <w:jc w:val="both"/>
        <w:rPr>
          <w:i/>
          <w:iCs/>
          <w:color w:val="000000"/>
          <w:sz w:val="16"/>
          <w:szCs w:val="16"/>
        </w:rPr>
      </w:pPr>
      <w:r w:rsidRPr="00D56B37">
        <w:rPr>
          <w:i/>
          <w:iCs/>
          <w:color w:val="000000"/>
          <w:sz w:val="16"/>
          <w:szCs w:val="16"/>
        </w:rPr>
        <w:t>**</w:t>
      </w:r>
      <w:r>
        <w:rPr>
          <w:i/>
          <w:iCs/>
          <w:color w:val="000000"/>
          <w:sz w:val="16"/>
          <w:szCs w:val="16"/>
        </w:rPr>
        <w:t xml:space="preserve">* </w:t>
      </w:r>
      <w:r w:rsidRPr="00D56B37">
        <w:rPr>
          <w:i/>
          <w:iCs/>
          <w:color w:val="000000"/>
          <w:sz w:val="16"/>
          <w:szCs w:val="16"/>
        </w:rPr>
        <w:t>Ide o saldo očistené o cyklickú zložku a jednorazové a dočasné opatrenia. Nie je totožné so štrukturálnym saldom vykazované Európskou komisiou, keďže v jednorazových a dočasných opatreniach v národnej metodik</w:t>
      </w:r>
      <w:r w:rsidR="00E113A2">
        <w:rPr>
          <w:i/>
          <w:iCs/>
          <w:color w:val="000000"/>
          <w:sz w:val="16"/>
          <w:szCs w:val="16"/>
        </w:rPr>
        <w:t>e</w:t>
      </w:r>
      <w:r w:rsidRPr="00D56B37">
        <w:rPr>
          <w:i/>
          <w:iCs/>
          <w:color w:val="000000"/>
          <w:sz w:val="16"/>
          <w:szCs w:val="16"/>
        </w:rPr>
        <w:t xml:space="preserve"> sú </w:t>
      </w:r>
      <w:r w:rsidR="00627FDF">
        <w:rPr>
          <w:i/>
          <w:iCs/>
          <w:color w:val="000000"/>
          <w:sz w:val="16"/>
          <w:szCs w:val="16"/>
        </w:rPr>
        <w:t>zahrnuté</w:t>
      </w:r>
      <w:r w:rsidRPr="00D56B37">
        <w:rPr>
          <w:i/>
          <w:iCs/>
          <w:color w:val="000000"/>
          <w:sz w:val="16"/>
          <w:szCs w:val="16"/>
        </w:rPr>
        <w:t xml:space="preserve"> aj opatrenia, ktoré nespĺňajú princípy metodiky EK na určenie jednorazových vplyvov. V povinných tabuľkách je uvedené štrukturálne saldo na základe metodiky EK.</w:t>
      </w:r>
    </w:p>
    <w:p w14:paraId="35D64F25" w14:textId="5D08D131" w:rsidR="009A2A34" w:rsidRDefault="009A2A34" w:rsidP="009A2A34">
      <w:pPr>
        <w:rPr>
          <w:i/>
          <w:iCs/>
          <w:color w:val="000000"/>
          <w:sz w:val="16"/>
          <w:szCs w:val="16"/>
        </w:rPr>
      </w:pPr>
      <w:r w:rsidRPr="00D56B37">
        <w:rPr>
          <w:i/>
          <w:iCs/>
          <w:color w:val="000000"/>
          <w:sz w:val="16"/>
          <w:szCs w:val="16"/>
        </w:rPr>
        <w:t>Poznámka: Môžu vznikať číselne diskrepancie, ktoré sú spôsobené zaokrúhľovaním.</w:t>
      </w:r>
    </w:p>
    <w:p w14:paraId="364E3FAF" w14:textId="3EDC647E" w:rsidR="00627FDF" w:rsidRDefault="00627FDF" w:rsidP="009A2A34">
      <w:pPr>
        <w:rPr>
          <w:i/>
          <w:iCs/>
          <w:color w:val="000000"/>
          <w:sz w:val="16"/>
          <w:szCs w:val="16"/>
        </w:rPr>
      </w:pPr>
      <w:r>
        <w:rPr>
          <w:i/>
          <w:iCs/>
          <w:color w:val="000000"/>
          <w:sz w:val="16"/>
          <w:szCs w:val="16"/>
        </w:rPr>
        <w:t xml:space="preserve">**** odhad je predbežný a do finalizácie návrhu rozpočtu sa môže meniť. </w:t>
      </w:r>
    </w:p>
    <w:p w14:paraId="27825CF4" w14:textId="09DDDE69" w:rsidR="00364A1B" w:rsidRPr="005D2A07" w:rsidRDefault="009A2A34" w:rsidP="005D2A07">
      <w:pPr>
        <w:spacing w:before="120" w:after="120"/>
        <w:jc w:val="both"/>
        <w:rPr>
          <w:bCs/>
        </w:rPr>
      </w:pPr>
      <w:r w:rsidRPr="005D2A07">
        <w:rPr>
          <w:b/>
        </w:rPr>
        <w:t>Do konca volebného obdobia je na dosiahnutie stanoveného poklesu deficitu potrebné predstaviť dodatočné konsolidačné opatrenia v objeme takmer 2,6 % HDP</w:t>
      </w:r>
      <w:r w:rsidR="00847AD9">
        <w:rPr>
          <w:bCs/>
        </w:rPr>
        <w:t xml:space="preserve">. </w:t>
      </w:r>
      <w:r w:rsidRPr="005D2A07">
        <w:rPr>
          <w:bCs/>
        </w:rPr>
        <w:t xml:space="preserve">To znamená, že na dosiahnutie cieľov sú potrebné dodatočné opatrenia v objeme 3,9 mld. do konca volebného obdobia. V rámci konkretizovania týchto </w:t>
      </w:r>
      <w:r w:rsidRPr="005D2A07">
        <w:rPr>
          <w:bCs/>
        </w:rPr>
        <w:lastRenderedPageBreak/>
        <w:t xml:space="preserve">opatrení, okrem už ohlásenej novej dane zo sladených nápojov a ďalšieho zvýšenia dane z tabaku, vláda avizovala zámer prijať ďalšie opatrenia smerujúce k progresívnejšiemu a spravodlivejšiemu daňovému systému. S rovnakým cieľom vláda pristúpi k dôkladným analýzam výdavkov celej verejnej správy, napríklad v zamestnanosti ústrednej štátnej správy. </w:t>
      </w:r>
    </w:p>
    <w:p w14:paraId="1B77FE08" w14:textId="2410000C" w:rsidR="009A2A34" w:rsidRPr="00D56B37" w:rsidRDefault="009A2A34" w:rsidP="00364A1B">
      <w:pPr>
        <w:pStyle w:val="Tabuka"/>
        <w:spacing w:before="120" w:after="120"/>
        <w:rPr>
          <w:i/>
        </w:rPr>
      </w:pPr>
      <w:bookmarkStart w:id="139" w:name="_Toc153185512"/>
      <w:bookmarkStart w:id="140" w:name="_Toc164684554"/>
      <w:r w:rsidRPr="00D56B37">
        <w:t xml:space="preserve">TABUĽKA </w:t>
      </w:r>
      <w:r w:rsidR="00BC482A">
        <w:fldChar w:fldCharType="begin"/>
      </w:r>
      <w:r w:rsidR="00BC482A">
        <w:instrText xml:space="preserve"> SEQ TABUĽKA \* ARABIC </w:instrText>
      </w:r>
      <w:r w:rsidR="00BC482A">
        <w:fldChar w:fldCharType="separate"/>
      </w:r>
      <w:r w:rsidR="007435E9">
        <w:rPr>
          <w:noProof/>
        </w:rPr>
        <w:t>5</w:t>
      </w:r>
      <w:r w:rsidR="00BC482A">
        <w:rPr>
          <w:noProof/>
        </w:rPr>
        <w:fldChar w:fldCharType="end"/>
      </w:r>
      <w:r w:rsidRPr="00D56B37">
        <w:t xml:space="preserve"> – Bilancia výdavkov a príjmov v metodike ESA2010 (% HDP)</w:t>
      </w:r>
      <w:bookmarkEnd w:id="139"/>
      <w:bookmarkEnd w:id="140"/>
    </w:p>
    <w:tbl>
      <w:tblPr>
        <w:tblW w:w="9035" w:type="dxa"/>
        <w:tblCellMar>
          <w:left w:w="70" w:type="dxa"/>
          <w:right w:w="70" w:type="dxa"/>
        </w:tblCellMar>
        <w:tblLook w:val="04A0" w:firstRow="1" w:lastRow="0" w:firstColumn="1" w:lastColumn="0" w:noHBand="0" w:noVBand="1"/>
      </w:tblPr>
      <w:tblGrid>
        <w:gridCol w:w="3686"/>
        <w:gridCol w:w="850"/>
        <w:gridCol w:w="802"/>
        <w:gridCol w:w="915"/>
        <w:gridCol w:w="922"/>
        <w:gridCol w:w="930"/>
        <w:gridCol w:w="930"/>
      </w:tblGrid>
      <w:tr w:rsidR="009A2A34" w:rsidRPr="007B4F58" w14:paraId="17E600B9" w14:textId="77777777" w:rsidTr="00F06352">
        <w:trPr>
          <w:trHeight w:val="332"/>
        </w:trPr>
        <w:tc>
          <w:tcPr>
            <w:tcW w:w="3686" w:type="dxa"/>
            <w:tcBorders>
              <w:top w:val="single" w:sz="8" w:space="0" w:color="auto"/>
              <w:left w:val="nil"/>
              <w:bottom w:val="nil"/>
              <w:right w:val="single" w:sz="8" w:space="0" w:color="auto"/>
            </w:tcBorders>
            <w:shd w:val="clear" w:color="auto" w:fill="auto"/>
            <w:noWrap/>
            <w:vAlign w:val="center"/>
            <w:hideMark/>
          </w:tcPr>
          <w:p w14:paraId="655930E0" w14:textId="77777777" w:rsidR="009A2A34" w:rsidRPr="007B4F58" w:rsidRDefault="009A2A34" w:rsidP="00CC1F9E">
            <w:pPr>
              <w:rPr>
                <w:rFonts w:ascii="Times New Roman" w:hAnsi="Times New Roman" w:cs="Times New Roman"/>
                <w:sz w:val="24"/>
                <w:szCs w:val="24"/>
              </w:rPr>
            </w:pPr>
          </w:p>
        </w:tc>
        <w:tc>
          <w:tcPr>
            <w:tcW w:w="850" w:type="dxa"/>
            <w:tcBorders>
              <w:top w:val="single" w:sz="8" w:space="0" w:color="auto"/>
              <w:left w:val="single" w:sz="8" w:space="0" w:color="auto"/>
              <w:bottom w:val="nil"/>
              <w:right w:val="single" w:sz="8" w:space="0" w:color="auto"/>
            </w:tcBorders>
            <w:shd w:val="clear" w:color="auto" w:fill="auto"/>
            <w:noWrap/>
            <w:vAlign w:val="center"/>
            <w:hideMark/>
          </w:tcPr>
          <w:p w14:paraId="29B4F584"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S</w:t>
            </w:r>
          </w:p>
        </w:tc>
        <w:tc>
          <w:tcPr>
            <w:tcW w:w="802" w:type="dxa"/>
            <w:tcBorders>
              <w:top w:val="single" w:sz="8" w:space="0" w:color="auto"/>
              <w:left w:val="single" w:sz="8" w:space="0" w:color="auto"/>
              <w:bottom w:val="nil"/>
              <w:right w:val="single" w:sz="8" w:space="0" w:color="auto"/>
            </w:tcBorders>
            <w:shd w:val="clear" w:color="auto" w:fill="auto"/>
            <w:noWrap/>
            <w:vAlign w:val="center"/>
            <w:hideMark/>
          </w:tcPr>
          <w:p w14:paraId="1E3B9143"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S</w:t>
            </w:r>
          </w:p>
        </w:tc>
        <w:tc>
          <w:tcPr>
            <w:tcW w:w="915" w:type="dxa"/>
            <w:tcBorders>
              <w:top w:val="single" w:sz="8" w:space="0" w:color="auto"/>
              <w:left w:val="single" w:sz="8" w:space="0" w:color="auto"/>
              <w:bottom w:val="nil"/>
              <w:right w:val="single" w:sz="8" w:space="0" w:color="auto"/>
            </w:tcBorders>
            <w:shd w:val="clear" w:color="auto" w:fill="auto"/>
            <w:noWrap/>
            <w:vAlign w:val="center"/>
            <w:hideMark/>
          </w:tcPr>
          <w:p w14:paraId="6E4075AD"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OS</w:t>
            </w:r>
          </w:p>
        </w:tc>
        <w:tc>
          <w:tcPr>
            <w:tcW w:w="922" w:type="dxa"/>
            <w:tcBorders>
              <w:top w:val="single" w:sz="8" w:space="0" w:color="auto"/>
              <w:left w:val="single" w:sz="8" w:space="0" w:color="auto"/>
              <w:bottom w:val="nil"/>
            </w:tcBorders>
            <w:shd w:val="clear" w:color="auto" w:fill="auto"/>
            <w:noWrap/>
            <w:vAlign w:val="center"/>
            <w:hideMark/>
          </w:tcPr>
          <w:p w14:paraId="39EF72D9" w14:textId="77777777" w:rsidR="009A2A34" w:rsidRPr="007B4F58" w:rsidRDefault="009A2A34" w:rsidP="00CC1F9E">
            <w:pPr>
              <w:rPr>
                <w:rFonts w:cs="Calibri"/>
                <w:b/>
                <w:bCs/>
                <w:color w:val="000000"/>
                <w:sz w:val="18"/>
                <w:szCs w:val="18"/>
              </w:rPr>
            </w:pPr>
            <w:r w:rsidRPr="007B4F58">
              <w:rPr>
                <w:rFonts w:cs="Calibri"/>
                <w:b/>
                <w:bCs/>
                <w:color w:val="000000"/>
                <w:sz w:val="18"/>
                <w:szCs w:val="18"/>
              </w:rPr>
              <w:t> </w:t>
            </w:r>
          </w:p>
        </w:tc>
        <w:tc>
          <w:tcPr>
            <w:tcW w:w="930" w:type="dxa"/>
            <w:tcBorders>
              <w:top w:val="single" w:sz="8" w:space="0" w:color="auto"/>
              <w:bottom w:val="nil"/>
            </w:tcBorders>
            <w:shd w:val="clear" w:color="auto" w:fill="auto"/>
            <w:noWrap/>
            <w:vAlign w:val="center"/>
            <w:hideMark/>
          </w:tcPr>
          <w:p w14:paraId="3215B232"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PS</w:t>
            </w:r>
          </w:p>
        </w:tc>
        <w:tc>
          <w:tcPr>
            <w:tcW w:w="930" w:type="dxa"/>
            <w:tcBorders>
              <w:top w:val="single" w:sz="8" w:space="0" w:color="auto"/>
              <w:bottom w:val="nil"/>
              <w:right w:val="nil"/>
            </w:tcBorders>
            <w:shd w:val="clear" w:color="auto" w:fill="auto"/>
            <w:noWrap/>
            <w:vAlign w:val="center"/>
            <w:hideMark/>
          </w:tcPr>
          <w:p w14:paraId="0561E6F5" w14:textId="77777777" w:rsidR="009A2A34" w:rsidRPr="007B4F58" w:rsidRDefault="009A2A34" w:rsidP="00CC1F9E">
            <w:pPr>
              <w:rPr>
                <w:rFonts w:cs="Calibri"/>
                <w:color w:val="000000"/>
                <w:sz w:val="16"/>
                <w:szCs w:val="16"/>
              </w:rPr>
            </w:pPr>
            <w:r w:rsidRPr="007B4F58">
              <w:rPr>
                <w:rFonts w:cs="Calibri"/>
                <w:color w:val="000000"/>
                <w:sz w:val="16"/>
                <w:szCs w:val="16"/>
              </w:rPr>
              <w:t> </w:t>
            </w:r>
          </w:p>
        </w:tc>
      </w:tr>
      <w:tr w:rsidR="009A2A34" w:rsidRPr="007B4F58" w14:paraId="0E0072DB" w14:textId="77777777" w:rsidTr="00CC1F9E">
        <w:trPr>
          <w:trHeight w:val="347"/>
        </w:trPr>
        <w:tc>
          <w:tcPr>
            <w:tcW w:w="3686" w:type="dxa"/>
            <w:tcBorders>
              <w:top w:val="nil"/>
              <w:left w:val="nil"/>
              <w:bottom w:val="nil"/>
              <w:right w:val="nil"/>
            </w:tcBorders>
            <w:shd w:val="clear" w:color="auto" w:fill="auto"/>
            <w:noWrap/>
            <w:vAlign w:val="center"/>
            <w:hideMark/>
          </w:tcPr>
          <w:p w14:paraId="6DB68A21" w14:textId="77777777" w:rsidR="009A2A34" w:rsidRPr="007B4F58" w:rsidRDefault="009A2A34" w:rsidP="00CC1F9E">
            <w:pPr>
              <w:rPr>
                <w:rFonts w:cs="Calibri"/>
                <w:color w:val="000000"/>
                <w:sz w:val="16"/>
                <w:szCs w:val="16"/>
              </w:rPr>
            </w:pPr>
          </w:p>
        </w:tc>
        <w:tc>
          <w:tcPr>
            <w:tcW w:w="850" w:type="dxa"/>
            <w:tcBorders>
              <w:top w:val="nil"/>
              <w:left w:val="single" w:sz="8" w:space="0" w:color="auto"/>
              <w:bottom w:val="nil"/>
              <w:right w:val="single" w:sz="8" w:space="0" w:color="auto"/>
            </w:tcBorders>
            <w:shd w:val="clear" w:color="auto" w:fill="auto"/>
            <w:noWrap/>
            <w:vAlign w:val="center"/>
            <w:hideMark/>
          </w:tcPr>
          <w:p w14:paraId="0EDDF46D"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2022</w:t>
            </w:r>
          </w:p>
        </w:tc>
        <w:tc>
          <w:tcPr>
            <w:tcW w:w="802" w:type="dxa"/>
            <w:tcBorders>
              <w:top w:val="nil"/>
              <w:left w:val="nil"/>
              <w:bottom w:val="nil"/>
              <w:right w:val="single" w:sz="8" w:space="0" w:color="auto"/>
            </w:tcBorders>
            <w:shd w:val="clear" w:color="auto" w:fill="auto"/>
            <w:noWrap/>
            <w:vAlign w:val="center"/>
            <w:hideMark/>
          </w:tcPr>
          <w:p w14:paraId="73F6A461"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2023</w:t>
            </w:r>
          </w:p>
        </w:tc>
        <w:tc>
          <w:tcPr>
            <w:tcW w:w="915" w:type="dxa"/>
            <w:tcBorders>
              <w:top w:val="nil"/>
              <w:left w:val="nil"/>
              <w:bottom w:val="nil"/>
              <w:right w:val="single" w:sz="8" w:space="0" w:color="auto"/>
            </w:tcBorders>
            <w:shd w:val="clear" w:color="auto" w:fill="auto"/>
            <w:noWrap/>
            <w:vAlign w:val="center"/>
            <w:hideMark/>
          </w:tcPr>
          <w:p w14:paraId="580D1293"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2024</w:t>
            </w:r>
          </w:p>
        </w:tc>
        <w:tc>
          <w:tcPr>
            <w:tcW w:w="922" w:type="dxa"/>
            <w:tcBorders>
              <w:top w:val="nil"/>
              <w:left w:val="nil"/>
              <w:bottom w:val="nil"/>
              <w:right w:val="nil"/>
            </w:tcBorders>
            <w:shd w:val="clear" w:color="auto" w:fill="auto"/>
            <w:noWrap/>
            <w:vAlign w:val="center"/>
            <w:hideMark/>
          </w:tcPr>
          <w:p w14:paraId="088E7CA1"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2025</w:t>
            </w:r>
          </w:p>
        </w:tc>
        <w:tc>
          <w:tcPr>
            <w:tcW w:w="930" w:type="dxa"/>
            <w:tcBorders>
              <w:top w:val="nil"/>
              <w:left w:val="nil"/>
              <w:bottom w:val="nil"/>
              <w:right w:val="nil"/>
            </w:tcBorders>
            <w:shd w:val="clear" w:color="auto" w:fill="auto"/>
            <w:noWrap/>
            <w:vAlign w:val="center"/>
            <w:hideMark/>
          </w:tcPr>
          <w:p w14:paraId="5D4FDD31"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2026</w:t>
            </w:r>
          </w:p>
        </w:tc>
        <w:tc>
          <w:tcPr>
            <w:tcW w:w="930" w:type="dxa"/>
            <w:tcBorders>
              <w:top w:val="nil"/>
              <w:left w:val="nil"/>
              <w:bottom w:val="nil"/>
              <w:right w:val="nil"/>
            </w:tcBorders>
            <w:shd w:val="clear" w:color="auto" w:fill="auto"/>
            <w:noWrap/>
            <w:vAlign w:val="center"/>
            <w:hideMark/>
          </w:tcPr>
          <w:p w14:paraId="5BE57D30"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2027</w:t>
            </w:r>
          </w:p>
        </w:tc>
      </w:tr>
      <w:tr w:rsidR="009A2A34" w:rsidRPr="007B4F58" w14:paraId="5539BEEB" w14:textId="77777777" w:rsidTr="00CC1F9E">
        <w:trPr>
          <w:trHeight w:val="272"/>
        </w:trPr>
        <w:tc>
          <w:tcPr>
            <w:tcW w:w="3686" w:type="dxa"/>
            <w:tcBorders>
              <w:top w:val="single" w:sz="8" w:space="0" w:color="auto"/>
              <w:left w:val="nil"/>
              <w:bottom w:val="nil"/>
              <w:right w:val="nil"/>
            </w:tcBorders>
            <w:shd w:val="clear" w:color="auto" w:fill="auto"/>
            <w:vAlign w:val="center"/>
            <w:hideMark/>
          </w:tcPr>
          <w:p w14:paraId="4242FBEC" w14:textId="77777777" w:rsidR="009A2A34" w:rsidRPr="007B4F58" w:rsidRDefault="009A2A34" w:rsidP="00CC1F9E">
            <w:pPr>
              <w:rPr>
                <w:rFonts w:cs="Calibri"/>
                <w:b/>
                <w:bCs/>
                <w:color w:val="000000"/>
                <w:sz w:val="16"/>
                <w:szCs w:val="16"/>
              </w:rPr>
            </w:pPr>
            <w:r w:rsidRPr="007B4F58">
              <w:rPr>
                <w:rFonts w:cs="Calibri"/>
                <w:b/>
                <w:bCs/>
                <w:color w:val="000000"/>
                <w:sz w:val="16"/>
                <w:szCs w:val="16"/>
              </w:rPr>
              <w:t>1.Príjmy spolu</w:t>
            </w:r>
          </w:p>
        </w:tc>
        <w:tc>
          <w:tcPr>
            <w:tcW w:w="850" w:type="dxa"/>
            <w:tcBorders>
              <w:top w:val="single" w:sz="8" w:space="0" w:color="auto"/>
              <w:left w:val="single" w:sz="8" w:space="0" w:color="auto"/>
              <w:bottom w:val="nil"/>
              <w:right w:val="single" w:sz="8" w:space="0" w:color="auto"/>
            </w:tcBorders>
            <w:shd w:val="clear" w:color="auto" w:fill="auto"/>
            <w:vAlign w:val="center"/>
            <w:hideMark/>
          </w:tcPr>
          <w:p w14:paraId="1EC767B3"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40,6</w:t>
            </w:r>
          </w:p>
        </w:tc>
        <w:tc>
          <w:tcPr>
            <w:tcW w:w="802" w:type="dxa"/>
            <w:tcBorders>
              <w:top w:val="single" w:sz="8" w:space="0" w:color="auto"/>
              <w:left w:val="nil"/>
              <w:bottom w:val="nil"/>
              <w:right w:val="single" w:sz="8" w:space="0" w:color="auto"/>
            </w:tcBorders>
            <w:shd w:val="clear" w:color="auto" w:fill="auto"/>
            <w:vAlign w:val="center"/>
            <w:hideMark/>
          </w:tcPr>
          <w:p w14:paraId="62E20522"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43,0</w:t>
            </w:r>
          </w:p>
        </w:tc>
        <w:tc>
          <w:tcPr>
            <w:tcW w:w="915" w:type="dxa"/>
            <w:tcBorders>
              <w:top w:val="single" w:sz="8" w:space="0" w:color="auto"/>
              <w:left w:val="nil"/>
              <w:bottom w:val="nil"/>
              <w:right w:val="single" w:sz="8" w:space="0" w:color="auto"/>
            </w:tcBorders>
            <w:shd w:val="clear" w:color="auto" w:fill="auto"/>
            <w:vAlign w:val="center"/>
            <w:hideMark/>
          </w:tcPr>
          <w:p w14:paraId="13EBD1A8"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41,0</w:t>
            </w:r>
          </w:p>
        </w:tc>
        <w:tc>
          <w:tcPr>
            <w:tcW w:w="922" w:type="dxa"/>
            <w:tcBorders>
              <w:top w:val="single" w:sz="8" w:space="0" w:color="auto"/>
              <w:left w:val="nil"/>
              <w:bottom w:val="nil"/>
              <w:right w:val="nil"/>
            </w:tcBorders>
            <w:shd w:val="clear" w:color="auto" w:fill="auto"/>
            <w:vAlign w:val="center"/>
            <w:hideMark/>
          </w:tcPr>
          <w:p w14:paraId="58D6C783"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40,5</w:t>
            </w:r>
          </w:p>
        </w:tc>
        <w:tc>
          <w:tcPr>
            <w:tcW w:w="930" w:type="dxa"/>
            <w:tcBorders>
              <w:top w:val="single" w:sz="8" w:space="0" w:color="auto"/>
              <w:left w:val="nil"/>
              <w:bottom w:val="nil"/>
              <w:right w:val="nil"/>
            </w:tcBorders>
            <w:shd w:val="clear" w:color="auto" w:fill="auto"/>
            <w:vAlign w:val="center"/>
            <w:hideMark/>
          </w:tcPr>
          <w:p w14:paraId="42B0D03F"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39,7</w:t>
            </w:r>
          </w:p>
        </w:tc>
        <w:tc>
          <w:tcPr>
            <w:tcW w:w="930" w:type="dxa"/>
            <w:tcBorders>
              <w:top w:val="single" w:sz="8" w:space="0" w:color="auto"/>
              <w:left w:val="nil"/>
              <w:bottom w:val="nil"/>
              <w:right w:val="nil"/>
            </w:tcBorders>
            <w:shd w:val="clear" w:color="auto" w:fill="auto"/>
            <w:vAlign w:val="center"/>
            <w:hideMark/>
          </w:tcPr>
          <w:p w14:paraId="1431CAB2"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39,0</w:t>
            </w:r>
          </w:p>
        </w:tc>
      </w:tr>
      <w:tr w:rsidR="009A2A34" w:rsidRPr="007B4F58" w14:paraId="0CB67B21" w14:textId="77777777" w:rsidTr="00CC1F9E">
        <w:trPr>
          <w:trHeight w:val="272"/>
        </w:trPr>
        <w:tc>
          <w:tcPr>
            <w:tcW w:w="3686" w:type="dxa"/>
            <w:tcBorders>
              <w:top w:val="nil"/>
              <w:left w:val="nil"/>
              <w:bottom w:val="nil"/>
              <w:right w:val="nil"/>
            </w:tcBorders>
            <w:shd w:val="clear" w:color="auto" w:fill="auto"/>
            <w:vAlign w:val="center"/>
            <w:hideMark/>
          </w:tcPr>
          <w:p w14:paraId="235E1650" w14:textId="77777777" w:rsidR="009A2A34" w:rsidRPr="007B4F58" w:rsidRDefault="009A2A34" w:rsidP="00CC1F9E">
            <w:pPr>
              <w:rPr>
                <w:rFonts w:cs="Calibri"/>
                <w:color w:val="000000"/>
                <w:sz w:val="16"/>
                <w:szCs w:val="16"/>
              </w:rPr>
            </w:pPr>
            <w:r w:rsidRPr="007B4F58">
              <w:rPr>
                <w:rFonts w:cs="Calibri"/>
                <w:color w:val="000000"/>
                <w:sz w:val="16"/>
                <w:szCs w:val="16"/>
              </w:rPr>
              <w:t>Daňové príjmy</w:t>
            </w:r>
          </w:p>
        </w:tc>
        <w:tc>
          <w:tcPr>
            <w:tcW w:w="850" w:type="dxa"/>
            <w:tcBorders>
              <w:top w:val="nil"/>
              <w:left w:val="single" w:sz="8" w:space="0" w:color="auto"/>
              <w:bottom w:val="nil"/>
              <w:right w:val="single" w:sz="8" w:space="0" w:color="auto"/>
            </w:tcBorders>
            <w:shd w:val="clear" w:color="auto" w:fill="auto"/>
            <w:vAlign w:val="center"/>
            <w:hideMark/>
          </w:tcPr>
          <w:p w14:paraId="6B8AC5D7" w14:textId="77777777" w:rsidR="009A2A34" w:rsidRPr="007B4F58" w:rsidRDefault="009A2A34" w:rsidP="00CC1F9E">
            <w:pPr>
              <w:jc w:val="center"/>
              <w:rPr>
                <w:rFonts w:cs="Calibri"/>
                <w:color w:val="000000"/>
                <w:sz w:val="18"/>
                <w:szCs w:val="18"/>
              </w:rPr>
            </w:pPr>
            <w:r w:rsidRPr="007B4F58">
              <w:rPr>
                <w:rFonts w:cs="Calibri"/>
                <w:color w:val="000000"/>
                <w:sz w:val="18"/>
                <w:szCs w:val="18"/>
              </w:rPr>
              <w:t>20,1</w:t>
            </w:r>
          </w:p>
        </w:tc>
        <w:tc>
          <w:tcPr>
            <w:tcW w:w="802" w:type="dxa"/>
            <w:tcBorders>
              <w:top w:val="nil"/>
              <w:left w:val="nil"/>
              <w:bottom w:val="nil"/>
              <w:right w:val="single" w:sz="8" w:space="0" w:color="auto"/>
            </w:tcBorders>
            <w:shd w:val="clear" w:color="auto" w:fill="auto"/>
            <w:vAlign w:val="center"/>
            <w:hideMark/>
          </w:tcPr>
          <w:p w14:paraId="45D4AD96" w14:textId="77777777" w:rsidR="009A2A34" w:rsidRPr="007B4F58" w:rsidRDefault="009A2A34" w:rsidP="00CC1F9E">
            <w:pPr>
              <w:jc w:val="center"/>
              <w:rPr>
                <w:rFonts w:cs="Calibri"/>
                <w:color w:val="000000"/>
                <w:sz w:val="18"/>
                <w:szCs w:val="18"/>
              </w:rPr>
            </w:pPr>
            <w:r w:rsidRPr="007B4F58">
              <w:rPr>
                <w:rFonts w:cs="Calibri"/>
                <w:color w:val="000000"/>
                <w:sz w:val="18"/>
                <w:szCs w:val="18"/>
              </w:rPr>
              <w:t>20,1</w:t>
            </w:r>
          </w:p>
        </w:tc>
        <w:tc>
          <w:tcPr>
            <w:tcW w:w="915" w:type="dxa"/>
            <w:tcBorders>
              <w:top w:val="nil"/>
              <w:left w:val="nil"/>
              <w:bottom w:val="nil"/>
              <w:right w:val="single" w:sz="8" w:space="0" w:color="auto"/>
            </w:tcBorders>
            <w:shd w:val="clear" w:color="auto" w:fill="auto"/>
            <w:vAlign w:val="center"/>
            <w:hideMark/>
          </w:tcPr>
          <w:p w14:paraId="0B141D4D" w14:textId="77777777" w:rsidR="009A2A34" w:rsidRPr="007B4F58" w:rsidRDefault="009A2A34" w:rsidP="00CC1F9E">
            <w:pPr>
              <w:jc w:val="center"/>
              <w:rPr>
                <w:rFonts w:cs="Calibri"/>
                <w:color w:val="000000"/>
                <w:sz w:val="18"/>
                <w:szCs w:val="18"/>
              </w:rPr>
            </w:pPr>
            <w:r w:rsidRPr="007B4F58">
              <w:rPr>
                <w:rFonts w:cs="Calibri"/>
                <w:color w:val="000000"/>
                <w:sz w:val="18"/>
                <w:szCs w:val="18"/>
              </w:rPr>
              <w:t>19,6</w:t>
            </w:r>
          </w:p>
        </w:tc>
        <w:tc>
          <w:tcPr>
            <w:tcW w:w="922" w:type="dxa"/>
            <w:tcBorders>
              <w:top w:val="nil"/>
              <w:left w:val="nil"/>
              <w:bottom w:val="nil"/>
              <w:right w:val="nil"/>
            </w:tcBorders>
            <w:shd w:val="clear" w:color="auto" w:fill="auto"/>
            <w:vAlign w:val="center"/>
            <w:hideMark/>
          </w:tcPr>
          <w:p w14:paraId="1DB4C33B"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19,3</w:t>
            </w:r>
          </w:p>
        </w:tc>
        <w:tc>
          <w:tcPr>
            <w:tcW w:w="930" w:type="dxa"/>
            <w:tcBorders>
              <w:top w:val="nil"/>
              <w:left w:val="nil"/>
              <w:bottom w:val="nil"/>
              <w:right w:val="nil"/>
            </w:tcBorders>
            <w:shd w:val="clear" w:color="auto" w:fill="auto"/>
            <w:vAlign w:val="center"/>
            <w:hideMark/>
          </w:tcPr>
          <w:p w14:paraId="3AB26103"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18,8</w:t>
            </w:r>
          </w:p>
        </w:tc>
        <w:tc>
          <w:tcPr>
            <w:tcW w:w="930" w:type="dxa"/>
            <w:tcBorders>
              <w:top w:val="nil"/>
              <w:left w:val="nil"/>
              <w:bottom w:val="nil"/>
              <w:right w:val="nil"/>
            </w:tcBorders>
            <w:shd w:val="clear" w:color="auto" w:fill="auto"/>
            <w:vAlign w:val="center"/>
            <w:hideMark/>
          </w:tcPr>
          <w:p w14:paraId="68407ADE"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18,5</w:t>
            </w:r>
          </w:p>
        </w:tc>
      </w:tr>
      <w:tr w:rsidR="009A2A34" w:rsidRPr="007B4F58" w14:paraId="1DB05247" w14:textId="77777777" w:rsidTr="00CC1F9E">
        <w:trPr>
          <w:trHeight w:val="272"/>
        </w:trPr>
        <w:tc>
          <w:tcPr>
            <w:tcW w:w="3686" w:type="dxa"/>
            <w:tcBorders>
              <w:top w:val="nil"/>
              <w:left w:val="nil"/>
              <w:bottom w:val="nil"/>
              <w:right w:val="nil"/>
            </w:tcBorders>
            <w:shd w:val="clear" w:color="auto" w:fill="auto"/>
            <w:vAlign w:val="center"/>
            <w:hideMark/>
          </w:tcPr>
          <w:p w14:paraId="4F9E6AB8" w14:textId="77777777" w:rsidR="009A2A34" w:rsidRPr="007B4F58" w:rsidRDefault="009A2A34" w:rsidP="00CC1F9E">
            <w:pPr>
              <w:rPr>
                <w:rFonts w:cs="Calibri"/>
                <w:color w:val="000000"/>
                <w:sz w:val="16"/>
                <w:szCs w:val="16"/>
              </w:rPr>
            </w:pPr>
            <w:r w:rsidRPr="007B4F58">
              <w:rPr>
                <w:rFonts w:cs="Calibri"/>
                <w:color w:val="000000"/>
                <w:sz w:val="16"/>
                <w:szCs w:val="16"/>
              </w:rPr>
              <w:t>Príspevky na sociálne zabezpečenie</w:t>
            </w:r>
          </w:p>
        </w:tc>
        <w:tc>
          <w:tcPr>
            <w:tcW w:w="850" w:type="dxa"/>
            <w:tcBorders>
              <w:top w:val="nil"/>
              <w:left w:val="single" w:sz="8" w:space="0" w:color="auto"/>
              <w:bottom w:val="nil"/>
              <w:right w:val="single" w:sz="8" w:space="0" w:color="auto"/>
            </w:tcBorders>
            <w:shd w:val="clear" w:color="auto" w:fill="auto"/>
            <w:vAlign w:val="center"/>
            <w:hideMark/>
          </w:tcPr>
          <w:p w14:paraId="0B70E47F" w14:textId="77777777" w:rsidR="009A2A34" w:rsidRPr="007B4F58" w:rsidRDefault="009A2A34" w:rsidP="00CC1F9E">
            <w:pPr>
              <w:jc w:val="center"/>
              <w:rPr>
                <w:rFonts w:cs="Calibri"/>
                <w:color w:val="000000"/>
                <w:sz w:val="18"/>
                <w:szCs w:val="18"/>
              </w:rPr>
            </w:pPr>
            <w:r w:rsidRPr="007B4F58">
              <w:rPr>
                <w:rFonts w:cs="Calibri"/>
                <w:color w:val="000000"/>
                <w:sz w:val="18"/>
                <w:szCs w:val="18"/>
              </w:rPr>
              <w:t>14,9</w:t>
            </w:r>
          </w:p>
        </w:tc>
        <w:tc>
          <w:tcPr>
            <w:tcW w:w="802" w:type="dxa"/>
            <w:tcBorders>
              <w:top w:val="nil"/>
              <w:left w:val="nil"/>
              <w:bottom w:val="nil"/>
              <w:right w:val="single" w:sz="8" w:space="0" w:color="auto"/>
            </w:tcBorders>
            <w:shd w:val="clear" w:color="auto" w:fill="auto"/>
            <w:vAlign w:val="center"/>
            <w:hideMark/>
          </w:tcPr>
          <w:p w14:paraId="04FA92D7" w14:textId="77777777" w:rsidR="009A2A34" w:rsidRPr="007B4F58" w:rsidRDefault="009A2A34" w:rsidP="00CC1F9E">
            <w:pPr>
              <w:jc w:val="center"/>
              <w:rPr>
                <w:rFonts w:cs="Calibri"/>
                <w:color w:val="000000"/>
                <w:sz w:val="18"/>
                <w:szCs w:val="18"/>
              </w:rPr>
            </w:pPr>
            <w:r w:rsidRPr="007B4F58">
              <w:rPr>
                <w:rFonts w:cs="Calibri"/>
                <w:color w:val="000000"/>
                <w:sz w:val="18"/>
                <w:szCs w:val="18"/>
              </w:rPr>
              <w:t>15,4</w:t>
            </w:r>
          </w:p>
        </w:tc>
        <w:tc>
          <w:tcPr>
            <w:tcW w:w="915" w:type="dxa"/>
            <w:tcBorders>
              <w:top w:val="nil"/>
              <w:left w:val="nil"/>
              <w:bottom w:val="nil"/>
              <w:right w:val="single" w:sz="8" w:space="0" w:color="auto"/>
            </w:tcBorders>
            <w:shd w:val="clear" w:color="auto" w:fill="auto"/>
            <w:vAlign w:val="center"/>
            <w:hideMark/>
          </w:tcPr>
          <w:p w14:paraId="1BDFE626" w14:textId="77777777" w:rsidR="009A2A34" w:rsidRPr="007B4F58" w:rsidRDefault="009A2A34" w:rsidP="00CC1F9E">
            <w:pPr>
              <w:jc w:val="center"/>
              <w:rPr>
                <w:rFonts w:cs="Calibri"/>
                <w:color w:val="000000"/>
                <w:sz w:val="18"/>
                <w:szCs w:val="18"/>
              </w:rPr>
            </w:pPr>
            <w:r w:rsidRPr="007B4F58">
              <w:rPr>
                <w:rFonts w:cs="Calibri"/>
                <w:color w:val="000000"/>
                <w:sz w:val="18"/>
                <w:szCs w:val="18"/>
              </w:rPr>
              <w:t>15,6</w:t>
            </w:r>
          </w:p>
        </w:tc>
        <w:tc>
          <w:tcPr>
            <w:tcW w:w="922" w:type="dxa"/>
            <w:tcBorders>
              <w:top w:val="nil"/>
              <w:left w:val="nil"/>
              <w:bottom w:val="nil"/>
              <w:right w:val="nil"/>
            </w:tcBorders>
            <w:shd w:val="clear" w:color="auto" w:fill="auto"/>
            <w:vAlign w:val="center"/>
            <w:hideMark/>
          </w:tcPr>
          <w:p w14:paraId="778D0170"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15,5</w:t>
            </w:r>
          </w:p>
        </w:tc>
        <w:tc>
          <w:tcPr>
            <w:tcW w:w="930" w:type="dxa"/>
            <w:tcBorders>
              <w:top w:val="nil"/>
              <w:left w:val="nil"/>
              <w:bottom w:val="nil"/>
              <w:right w:val="nil"/>
            </w:tcBorders>
            <w:shd w:val="clear" w:color="auto" w:fill="auto"/>
            <w:vAlign w:val="center"/>
            <w:hideMark/>
          </w:tcPr>
          <w:p w14:paraId="777D2A6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15,7</w:t>
            </w:r>
          </w:p>
        </w:tc>
        <w:tc>
          <w:tcPr>
            <w:tcW w:w="930" w:type="dxa"/>
            <w:tcBorders>
              <w:top w:val="nil"/>
              <w:left w:val="nil"/>
              <w:bottom w:val="nil"/>
              <w:right w:val="nil"/>
            </w:tcBorders>
            <w:shd w:val="clear" w:color="auto" w:fill="auto"/>
            <w:vAlign w:val="center"/>
            <w:hideMark/>
          </w:tcPr>
          <w:p w14:paraId="17CFE5D1"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15,8</w:t>
            </w:r>
          </w:p>
        </w:tc>
      </w:tr>
      <w:tr w:rsidR="009A2A34" w:rsidRPr="007B4F58" w14:paraId="1190CFFF" w14:textId="77777777" w:rsidTr="00CC1F9E">
        <w:trPr>
          <w:trHeight w:val="272"/>
        </w:trPr>
        <w:tc>
          <w:tcPr>
            <w:tcW w:w="3686" w:type="dxa"/>
            <w:tcBorders>
              <w:top w:val="nil"/>
              <w:left w:val="nil"/>
              <w:bottom w:val="nil"/>
              <w:right w:val="nil"/>
            </w:tcBorders>
            <w:shd w:val="clear" w:color="auto" w:fill="auto"/>
            <w:vAlign w:val="center"/>
            <w:hideMark/>
          </w:tcPr>
          <w:p w14:paraId="10512EFC" w14:textId="77777777" w:rsidR="009A2A34" w:rsidRPr="007B4F58" w:rsidRDefault="009A2A34" w:rsidP="00CC1F9E">
            <w:pPr>
              <w:rPr>
                <w:rFonts w:cs="Calibri"/>
                <w:color w:val="000000"/>
                <w:sz w:val="16"/>
                <w:szCs w:val="16"/>
              </w:rPr>
            </w:pPr>
            <w:r w:rsidRPr="007B4F58">
              <w:rPr>
                <w:rFonts w:cs="Calibri"/>
                <w:color w:val="000000"/>
                <w:sz w:val="16"/>
                <w:szCs w:val="16"/>
              </w:rPr>
              <w:t>Nedaňové príjmy</w:t>
            </w:r>
          </w:p>
        </w:tc>
        <w:tc>
          <w:tcPr>
            <w:tcW w:w="850" w:type="dxa"/>
            <w:tcBorders>
              <w:top w:val="nil"/>
              <w:left w:val="single" w:sz="8" w:space="0" w:color="auto"/>
              <w:bottom w:val="nil"/>
              <w:right w:val="single" w:sz="8" w:space="0" w:color="auto"/>
            </w:tcBorders>
            <w:shd w:val="clear" w:color="auto" w:fill="auto"/>
            <w:vAlign w:val="center"/>
            <w:hideMark/>
          </w:tcPr>
          <w:p w14:paraId="15842E13" w14:textId="77777777" w:rsidR="009A2A34" w:rsidRPr="007B4F58" w:rsidRDefault="009A2A34" w:rsidP="00CC1F9E">
            <w:pPr>
              <w:jc w:val="center"/>
              <w:rPr>
                <w:rFonts w:cs="Calibri"/>
                <w:color w:val="000000"/>
                <w:sz w:val="18"/>
                <w:szCs w:val="18"/>
              </w:rPr>
            </w:pPr>
            <w:r w:rsidRPr="007B4F58">
              <w:rPr>
                <w:rFonts w:cs="Calibri"/>
                <w:color w:val="000000"/>
                <w:sz w:val="18"/>
                <w:szCs w:val="18"/>
              </w:rPr>
              <w:t>3,3</w:t>
            </w:r>
          </w:p>
        </w:tc>
        <w:tc>
          <w:tcPr>
            <w:tcW w:w="802" w:type="dxa"/>
            <w:tcBorders>
              <w:top w:val="nil"/>
              <w:left w:val="nil"/>
              <w:bottom w:val="nil"/>
              <w:right w:val="single" w:sz="8" w:space="0" w:color="auto"/>
            </w:tcBorders>
            <w:shd w:val="clear" w:color="auto" w:fill="auto"/>
            <w:vAlign w:val="center"/>
            <w:hideMark/>
          </w:tcPr>
          <w:p w14:paraId="0AE84F0B" w14:textId="77777777" w:rsidR="009A2A34" w:rsidRPr="007B4F58" w:rsidRDefault="009A2A34" w:rsidP="00CC1F9E">
            <w:pPr>
              <w:jc w:val="center"/>
              <w:rPr>
                <w:rFonts w:cs="Calibri"/>
                <w:color w:val="000000"/>
                <w:sz w:val="18"/>
                <w:szCs w:val="18"/>
              </w:rPr>
            </w:pPr>
            <w:r w:rsidRPr="007B4F58">
              <w:rPr>
                <w:rFonts w:cs="Calibri"/>
                <w:color w:val="000000"/>
                <w:sz w:val="18"/>
                <w:szCs w:val="18"/>
              </w:rPr>
              <w:t>3,8</w:t>
            </w:r>
          </w:p>
        </w:tc>
        <w:tc>
          <w:tcPr>
            <w:tcW w:w="915" w:type="dxa"/>
            <w:tcBorders>
              <w:top w:val="nil"/>
              <w:left w:val="nil"/>
              <w:bottom w:val="nil"/>
              <w:right w:val="single" w:sz="8" w:space="0" w:color="auto"/>
            </w:tcBorders>
            <w:shd w:val="clear" w:color="auto" w:fill="auto"/>
            <w:vAlign w:val="center"/>
            <w:hideMark/>
          </w:tcPr>
          <w:p w14:paraId="0D2D1F0F" w14:textId="77777777" w:rsidR="009A2A34" w:rsidRPr="007B4F58" w:rsidRDefault="009A2A34" w:rsidP="00CC1F9E">
            <w:pPr>
              <w:jc w:val="center"/>
              <w:rPr>
                <w:rFonts w:cs="Calibri"/>
                <w:color w:val="000000"/>
                <w:sz w:val="18"/>
                <w:szCs w:val="18"/>
              </w:rPr>
            </w:pPr>
            <w:r w:rsidRPr="007B4F58">
              <w:rPr>
                <w:rFonts w:cs="Calibri"/>
                <w:color w:val="000000"/>
                <w:sz w:val="18"/>
                <w:szCs w:val="18"/>
              </w:rPr>
              <w:t>3,5</w:t>
            </w:r>
          </w:p>
        </w:tc>
        <w:tc>
          <w:tcPr>
            <w:tcW w:w="922" w:type="dxa"/>
            <w:tcBorders>
              <w:top w:val="nil"/>
              <w:left w:val="nil"/>
              <w:bottom w:val="nil"/>
              <w:right w:val="nil"/>
            </w:tcBorders>
            <w:shd w:val="clear" w:color="auto" w:fill="auto"/>
            <w:vAlign w:val="center"/>
            <w:hideMark/>
          </w:tcPr>
          <w:p w14:paraId="170D2F8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3,2</w:t>
            </w:r>
          </w:p>
        </w:tc>
        <w:tc>
          <w:tcPr>
            <w:tcW w:w="930" w:type="dxa"/>
            <w:tcBorders>
              <w:top w:val="nil"/>
              <w:left w:val="nil"/>
              <w:bottom w:val="nil"/>
              <w:right w:val="nil"/>
            </w:tcBorders>
            <w:shd w:val="clear" w:color="auto" w:fill="auto"/>
            <w:vAlign w:val="center"/>
            <w:hideMark/>
          </w:tcPr>
          <w:p w14:paraId="6FE641C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3,0</w:t>
            </w:r>
          </w:p>
        </w:tc>
        <w:tc>
          <w:tcPr>
            <w:tcW w:w="930" w:type="dxa"/>
            <w:tcBorders>
              <w:top w:val="nil"/>
              <w:left w:val="nil"/>
              <w:bottom w:val="nil"/>
              <w:right w:val="nil"/>
            </w:tcBorders>
            <w:shd w:val="clear" w:color="auto" w:fill="auto"/>
            <w:vAlign w:val="center"/>
            <w:hideMark/>
          </w:tcPr>
          <w:p w14:paraId="6F75B43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2,9</w:t>
            </w:r>
          </w:p>
        </w:tc>
      </w:tr>
      <w:tr w:rsidR="009A2A34" w:rsidRPr="007B4F58" w14:paraId="6F1A585F" w14:textId="77777777" w:rsidTr="00CC1F9E">
        <w:trPr>
          <w:trHeight w:val="272"/>
        </w:trPr>
        <w:tc>
          <w:tcPr>
            <w:tcW w:w="3686" w:type="dxa"/>
            <w:tcBorders>
              <w:top w:val="nil"/>
              <w:left w:val="nil"/>
              <w:bottom w:val="nil"/>
              <w:right w:val="nil"/>
            </w:tcBorders>
            <w:shd w:val="clear" w:color="auto" w:fill="auto"/>
            <w:vAlign w:val="center"/>
            <w:hideMark/>
          </w:tcPr>
          <w:p w14:paraId="7B882DE5" w14:textId="1FAA2788" w:rsidR="009A2A34" w:rsidRPr="007B4F58" w:rsidRDefault="009A2A34" w:rsidP="00CC1F9E">
            <w:pPr>
              <w:rPr>
                <w:rFonts w:cs="Calibri"/>
                <w:color w:val="000000"/>
                <w:sz w:val="16"/>
                <w:szCs w:val="16"/>
              </w:rPr>
            </w:pPr>
            <w:r w:rsidRPr="007B4F58">
              <w:rPr>
                <w:rFonts w:cs="Calibri"/>
                <w:color w:val="000000"/>
                <w:sz w:val="16"/>
                <w:szCs w:val="16"/>
              </w:rPr>
              <w:t>Granty a</w:t>
            </w:r>
            <w:r w:rsidR="0087584D">
              <w:rPr>
                <w:rFonts w:cs="Calibri"/>
                <w:color w:val="000000"/>
                <w:sz w:val="16"/>
                <w:szCs w:val="16"/>
              </w:rPr>
              <w:t> </w:t>
            </w:r>
            <w:r w:rsidRPr="007B4F58">
              <w:rPr>
                <w:rFonts w:cs="Calibri"/>
                <w:color w:val="000000"/>
                <w:sz w:val="16"/>
                <w:szCs w:val="16"/>
              </w:rPr>
              <w:t>transfery</w:t>
            </w:r>
          </w:p>
        </w:tc>
        <w:tc>
          <w:tcPr>
            <w:tcW w:w="850" w:type="dxa"/>
            <w:tcBorders>
              <w:top w:val="nil"/>
              <w:left w:val="single" w:sz="8" w:space="0" w:color="auto"/>
              <w:bottom w:val="nil"/>
              <w:right w:val="single" w:sz="8" w:space="0" w:color="auto"/>
            </w:tcBorders>
            <w:shd w:val="clear" w:color="auto" w:fill="auto"/>
            <w:vAlign w:val="center"/>
            <w:hideMark/>
          </w:tcPr>
          <w:p w14:paraId="3255963D" w14:textId="77777777" w:rsidR="009A2A34" w:rsidRPr="007B4F58" w:rsidRDefault="009A2A34" w:rsidP="00CC1F9E">
            <w:pPr>
              <w:jc w:val="center"/>
              <w:rPr>
                <w:rFonts w:cs="Calibri"/>
                <w:color w:val="000000"/>
                <w:sz w:val="18"/>
                <w:szCs w:val="18"/>
              </w:rPr>
            </w:pPr>
            <w:r w:rsidRPr="007B4F58">
              <w:rPr>
                <w:rFonts w:cs="Calibri"/>
                <w:color w:val="000000"/>
                <w:sz w:val="18"/>
                <w:szCs w:val="18"/>
              </w:rPr>
              <w:t>2,3</w:t>
            </w:r>
          </w:p>
        </w:tc>
        <w:tc>
          <w:tcPr>
            <w:tcW w:w="802" w:type="dxa"/>
            <w:tcBorders>
              <w:top w:val="nil"/>
              <w:left w:val="nil"/>
              <w:bottom w:val="nil"/>
              <w:right w:val="single" w:sz="8" w:space="0" w:color="auto"/>
            </w:tcBorders>
            <w:shd w:val="clear" w:color="auto" w:fill="auto"/>
            <w:vAlign w:val="center"/>
            <w:hideMark/>
          </w:tcPr>
          <w:p w14:paraId="1871794E" w14:textId="77777777" w:rsidR="009A2A34" w:rsidRPr="007B4F58" w:rsidRDefault="009A2A34" w:rsidP="00CC1F9E">
            <w:pPr>
              <w:jc w:val="center"/>
              <w:rPr>
                <w:rFonts w:cs="Calibri"/>
                <w:color w:val="000000"/>
                <w:sz w:val="18"/>
                <w:szCs w:val="18"/>
              </w:rPr>
            </w:pPr>
            <w:r w:rsidRPr="007B4F58">
              <w:rPr>
                <w:rFonts w:cs="Calibri"/>
                <w:color w:val="000000"/>
                <w:sz w:val="18"/>
                <w:szCs w:val="18"/>
              </w:rPr>
              <w:t>3,8</w:t>
            </w:r>
          </w:p>
        </w:tc>
        <w:tc>
          <w:tcPr>
            <w:tcW w:w="915" w:type="dxa"/>
            <w:tcBorders>
              <w:top w:val="nil"/>
              <w:left w:val="nil"/>
              <w:bottom w:val="nil"/>
              <w:right w:val="single" w:sz="8" w:space="0" w:color="auto"/>
            </w:tcBorders>
            <w:shd w:val="clear" w:color="auto" w:fill="auto"/>
            <w:vAlign w:val="center"/>
            <w:hideMark/>
          </w:tcPr>
          <w:p w14:paraId="54476254" w14:textId="77777777" w:rsidR="009A2A34" w:rsidRPr="007B4F58" w:rsidRDefault="009A2A34" w:rsidP="00CC1F9E">
            <w:pPr>
              <w:jc w:val="center"/>
              <w:rPr>
                <w:rFonts w:cs="Calibri"/>
                <w:color w:val="000000"/>
                <w:sz w:val="18"/>
                <w:szCs w:val="18"/>
              </w:rPr>
            </w:pPr>
            <w:r w:rsidRPr="007B4F58">
              <w:rPr>
                <w:rFonts w:cs="Calibri"/>
                <w:color w:val="000000"/>
                <w:sz w:val="18"/>
                <w:szCs w:val="18"/>
              </w:rPr>
              <w:t>2,3</w:t>
            </w:r>
          </w:p>
        </w:tc>
        <w:tc>
          <w:tcPr>
            <w:tcW w:w="922" w:type="dxa"/>
            <w:tcBorders>
              <w:top w:val="nil"/>
              <w:left w:val="nil"/>
              <w:bottom w:val="nil"/>
              <w:right w:val="nil"/>
            </w:tcBorders>
            <w:shd w:val="clear" w:color="auto" w:fill="auto"/>
            <w:vAlign w:val="center"/>
            <w:hideMark/>
          </w:tcPr>
          <w:p w14:paraId="519404C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2,4</w:t>
            </w:r>
          </w:p>
        </w:tc>
        <w:tc>
          <w:tcPr>
            <w:tcW w:w="930" w:type="dxa"/>
            <w:tcBorders>
              <w:top w:val="nil"/>
              <w:left w:val="nil"/>
              <w:bottom w:val="nil"/>
              <w:right w:val="nil"/>
            </w:tcBorders>
            <w:shd w:val="clear" w:color="auto" w:fill="auto"/>
            <w:vAlign w:val="center"/>
            <w:hideMark/>
          </w:tcPr>
          <w:p w14:paraId="3689604D"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2,2</w:t>
            </w:r>
          </w:p>
        </w:tc>
        <w:tc>
          <w:tcPr>
            <w:tcW w:w="930" w:type="dxa"/>
            <w:tcBorders>
              <w:top w:val="nil"/>
              <w:left w:val="nil"/>
              <w:bottom w:val="nil"/>
              <w:right w:val="nil"/>
            </w:tcBorders>
            <w:shd w:val="clear" w:color="auto" w:fill="auto"/>
            <w:vAlign w:val="center"/>
            <w:hideMark/>
          </w:tcPr>
          <w:p w14:paraId="4F40416A"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1,8</w:t>
            </w:r>
          </w:p>
        </w:tc>
      </w:tr>
      <w:tr w:rsidR="009A2A34" w:rsidRPr="007B4F58" w14:paraId="1E4E222F" w14:textId="77777777" w:rsidTr="00CC1F9E">
        <w:trPr>
          <w:trHeight w:val="287"/>
        </w:trPr>
        <w:tc>
          <w:tcPr>
            <w:tcW w:w="3686" w:type="dxa"/>
            <w:tcBorders>
              <w:top w:val="nil"/>
              <w:left w:val="nil"/>
              <w:bottom w:val="single" w:sz="8" w:space="0" w:color="auto"/>
              <w:right w:val="nil"/>
            </w:tcBorders>
            <w:shd w:val="clear" w:color="auto" w:fill="auto"/>
            <w:noWrap/>
            <w:vAlign w:val="center"/>
            <w:hideMark/>
          </w:tcPr>
          <w:p w14:paraId="60BD1EAF"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 toho EU fondy</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524F0840" w14:textId="77777777" w:rsidR="009A2A34" w:rsidRPr="007B4F58" w:rsidRDefault="009A2A34" w:rsidP="00CC1F9E">
            <w:pPr>
              <w:jc w:val="center"/>
              <w:rPr>
                <w:rFonts w:cs="Calibri"/>
                <w:color w:val="000000"/>
                <w:sz w:val="18"/>
                <w:szCs w:val="18"/>
              </w:rPr>
            </w:pPr>
            <w:r w:rsidRPr="007B4F58">
              <w:rPr>
                <w:rFonts w:cs="Calibri"/>
                <w:color w:val="000000"/>
                <w:sz w:val="18"/>
                <w:szCs w:val="18"/>
              </w:rPr>
              <w:t>1,3</w:t>
            </w:r>
          </w:p>
        </w:tc>
        <w:tc>
          <w:tcPr>
            <w:tcW w:w="802" w:type="dxa"/>
            <w:tcBorders>
              <w:top w:val="nil"/>
              <w:left w:val="nil"/>
              <w:bottom w:val="single" w:sz="8" w:space="0" w:color="auto"/>
              <w:right w:val="single" w:sz="8" w:space="0" w:color="auto"/>
            </w:tcBorders>
            <w:shd w:val="clear" w:color="auto" w:fill="auto"/>
            <w:noWrap/>
            <w:vAlign w:val="center"/>
            <w:hideMark/>
          </w:tcPr>
          <w:p w14:paraId="3CFC4F93" w14:textId="77777777" w:rsidR="009A2A34" w:rsidRPr="007B4F58" w:rsidRDefault="009A2A34" w:rsidP="00CC1F9E">
            <w:pPr>
              <w:jc w:val="center"/>
              <w:rPr>
                <w:rFonts w:cs="Calibri"/>
                <w:color w:val="000000"/>
                <w:sz w:val="18"/>
                <w:szCs w:val="18"/>
              </w:rPr>
            </w:pPr>
            <w:r w:rsidRPr="007B4F58">
              <w:rPr>
                <w:rFonts w:cs="Calibri"/>
                <w:color w:val="000000"/>
                <w:sz w:val="18"/>
                <w:szCs w:val="18"/>
              </w:rPr>
              <w:t>2,9</w:t>
            </w:r>
          </w:p>
        </w:tc>
        <w:tc>
          <w:tcPr>
            <w:tcW w:w="915" w:type="dxa"/>
            <w:tcBorders>
              <w:top w:val="nil"/>
              <w:left w:val="nil"/>
              <w:bottom w:val="single" w:sz="8" w:space="0" w:color="auto"/>
              <w:right w:val="single" w:sz="8" w:space="0" w:color="auto"/>
            </w:tcBorders>
            <w:shd w:val="clear" w:color="auto" w:fill="auto"/>
            <w:noWrap/>
            <w:vAlign w:val="center"/>
            <w:hideMark/>
          </w:tcPr>
          <w:p w14:paraId="36858974" w14:textId="77777777" w:rsidR="009A2A34" w:rsidRPr="007B4F58" w:rsidRDefault="009A2A34" w:rsidP="00CC1F9E">
            <w:pPr>
              <w:jc w:val="center"/>
              <w:rPr>
                <w:rFonts w:cs="Calibri"/>
                <w:color w:val="000000"/>
                <w:sz w:val="18"/>
                <w:szCs w:val="18"/>
              </w:rPr>
            </w:pPr>
            <w:r w:rsidRPr="007B4F58">
              <w:rPr>
                <w:rFonts w:cs="Calibri"/>
                <w:color w:val="000000"/>
                <w:sz w:val="18"/>
                <w:szCs w:val="18"/>
              </w:rPr>
              <w:t>1,6</w:t>
            </w:r>
          </w:p>
        </w:tc>
        <w:tc>
          <w:tcPr>
            <w:tcW w:w="922" w:type="dxa"/>
            <w:tcBorders>
              <w:top w:val="nil"/>
              <w:left w:val="nil"/>
              <w:bottom w:val="single" w:sz="8" w:space="0" w:color="auto"/>
              <w:right w:val="nil"/>
            </w:tcBorders>
            <w:shd w:val="clear" w:color="auto" w:fill="auto"/>
            <w:noWrap/>
            <w:vAlign w:val="center"/>
            <w:hideMark/>
          </w:tcPr>
          <w:p w14:paraId="3BF6F2D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1,7</w:t>
            </w:r>
          </w:p>
        </w:tc>
        <w:tc>
          <w:tcPr>
            <w:tcW w:w="930" w:type="dxa"/>
            <w:tcBorders>
              <w:top w:val="nil"/>
              <w:left w:val="nil"/>
              <w:bottom w:val="single" w:sz="8" w:space="0" w:color="auto"/>
              <w:right w:val="nil"/>
            </w:tcBorders>
            <w:shd w:val="clear" w:color="auto" w:fill="auto"/>
            <w:noWrap/>
            <w:vAlign w:val="center"/>
            <w:hideMark/>
          </w:tcPr>
          <w:p w14:paraId="0BCE274D"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1,6</w:t>
            </w:r>
          </w:p>
        </w:tc>
        <w:tc>
          <w:tcPr>
            <w:tcW w:w="930" w:type="dxa"/>
            <w:tcBorders>
              <w:top w:val="nil"/>
              <w:left w:val="nil"/>
              <w:bottom w:val="single" w:sz="8" w:space="0" w:color="auto"/>
              <w:right w:val="nil"/>
            </w:tcBorders>
            <w:shd w:val="clear" w:color="auto" w:fill="auto"/>
            <w:noWrap/>
            <w:vAlign w:val="center"/>
            <w:hideMark/>
          </w:tcPr>
          <w:p w14:paraId="7EC6739C"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1,1</w:t>
            </w:r>
          </w:p>
        </w:tc>
      </w:tr>
      <w:tr w:rsidR="009A2A34" w:rsidRPr="007B4F58" w14:paraId="7B324C96" w14:textId="77777777" w:rsidTr="00CC1F9E">
        <w:trPr>
          <w:trHeight w:val="272"/>
        </w:trPr>
        <w:tc>
          <w:tcPr>
            <w:tcW w:w="3686" w:type="dxa"/>
            <w:tcBorders>
              <w:top w:val="nil"/>
              <w:left w:val="nil"/>
              <w:bottom w:val="nil"/>
              <w:right w:val="nil"/>
            </w:tcBorders>
            <w:shd w:val="clear" w:color="auto" w:fill="auto"/>
            <w:noWrap/>
            <w:vAlign w:val="center"/>
            <w:hideMark/>
          </w:tcPr>
          <w:p w14:paraId="368217F4" w14:textId="77777777" w:rsidR="009A2A34" w:rsidRPr="007B4F58" w:rsidRDefault="009A2A34" w:rsidP="00CC1F9E">
            <w:pPr>
              <w:rPr>
                <w:rFonts w:cs="Calibri"/>
                <w:b/>
                <w:bCs/>
                <w:color w:val="000000"/>
                <w:sz w:val="16"/>
                <w:szCs w:val="16"/>
              </w:rPr>
            </w:pPr>
            <w:r w:rsidRPr="007B4F58">
              <w:rPr>
                <w:rFonts w:cs="Calibri"/>
                <w:b/>
                <w:bCs/>
                <w:color w:val="000000"/>
                <w:sz w:val="16"/>
                <w:szCs w:val="16"/>
              </w:rPr>
              <w:t>2. Výdavky spolu</w:t>
            </w:r>
          </w:p>
        </w:tc>
        <w:tc>
          <w:tcPr>
            <w:tcW w:w="850" w:type="dxa"/>
            <w:tcBorders>
              <w:top w:val="nil"/>
              <w:left w:val="single" w:sz="8" w:space="0" w:color="auto"/>
              <w:bottom w:val="nil"/>
              <w:right w:val="single" w:sz="8" w:space="0" w:color="auto"/>
            </w:tcBorders>
            <w:shd w:val="clear" w:color="auto" w:fill="auto"/>
            <w:noWrap/>
            <w:vAlign w:val="center"/>
            <w:hideMark/>
          </w:tcPr>
          <w:p w14:paraId="37DDABEE"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42,3</w:t>
            </w:r>
          </w:p>
        </w:tc>
        <w:tc>
          <w:tcPr>
            <w:tcW w:w="802" w:type="dxa"/>
            <w:tcBorders>
              <w:top w:val="nil"/>
              <w:left w:val="nil"/>
              <w:bottom w:val="nil"/>
              <w:right w:val="single" w:sz="8" w:space="0" w:color="auto"/>
            </w:tcBorders>
            <w:shd w:val="clear" w:color="auto" w:fill="auto"/>
            <w:noWrap/>
            <w:vAlign w:val="center"/>
            <w:hideMark/>
          </w:tcPr>
          <w:p w14:paraId="4E199D74"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47,9</w:t>
            </w:r>
          </w:p>
        </w:tc>
        <w:tc>
          <w:tcPr>
            <w:tcW w:w="915" w:type="dxa"/>
            <w:tcBorders>
              <w:top w:val="nil"/>
              <w:left w:val="nil"/>
              <w:bottom w:val="nil"/>
              <w:right w:val="single" w:sz="8" w:space="0" w:color="auto"/>
            </w:tcBorders>
            <w:shd w:val="clear" w:color="auto" w:fill="auto"/>
            <w:noWrap/>
            <w:vAlign w:val="center"/>
            <w:hideMark/>
          </w:tcPr>
          <w:p w14:paraId="47BA5CBB"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46,9</w:t>
            </w:r>
          </w:p>
        </w:tc>
        <w:tc>
          <w:tcPr>
            <w:tcW w:w="922" w:type="dxa"/>
            <w:tcBorders>
              <w:top w:val="nil"/>
              <w:left w:val="nil"/>
              <w:bottom w:val="nil"/>
              <w:right w:val="nil"/>
            </w:tcBorders>
            <w:shd w:val="clear" w:color="auto" w:fill="auto"/>
            <w:noWrap/>
            <w:vAlign w:val="center"/>
            <w:hideMark/>
          </w:tcPr>
          <w:p w14:paraId="538459DC"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45,9</w:t>
            </w:r>
          </w:p>
        </w:tc>
        <w:tc>
          <w:tcPr>
            <w:tcW w:w="930" w:type="dxa"/>
            <w:tcBorders>
              <w:top w:val="nil"/>
              <w:left w:val="nil"/>
              <w:bottom w:val="nil"/>
              <w:right w:val="nil"/>
            </w:tcBorders>
            <w:shd w:val="clear" w:color="auto" w:fill="auto"/>
            <w:noWrap/>
            <w:vAlign w:val="center"/>
            <w:hideMark/>
          </w:tcPr>
          <w:p w14:paraId="1778244B"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44,9</w:t>
            </w:r>
          </w:p>
        </w:tc>
        <w:tc>
          <w:tcPr>
            <w:tcW w:w="930" w:type="dxa"/>
            <w:tcBorders>
              <w:top w:val="nil"/>
              <w:left w:val="nil"/>
              <w:bottom w:val="nil"/>
              <w:right w:val="nil"/>
            </w:tcBorders>
            <w:shd w:val="clear" w:color="auto" w:fill="auto"/>
            <w:noWrap/>
            <w:vAlign w:val="center"/>
            <w:hideMark/>
          </w:tcPr>
          <w:p w14:paraId="7714FCC7"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44,5</w:t>
            </w:r>
          </w:p>
        </w:tc>
      </w:tr>
      <w:tr w:rsidR="009A2A34" w:rsidRPr="007B4F58" w14:paraId="5FF490C4" w14:textId="77777777" w:rsidTr="00CC1F9E">
        <w:trPr>
          <w:trHeight w:val="272"/>
        </w:trPr>
        <w:tc>
          <w:tcPr>
            <w:tcW w:w="3686" w:type="dxa"/>
            <w:tcBorders>
              <w:top w:val="nil"/>
              <w:left w:val="nil"/>
              <w:bottom w:val="nil"/>
              <w:right w:val="nil"/>
            </w:tcBorders>
            <w:shd w:val="clear" w:color="auto" w:fill="auto"/>
            <w:noWrap/>
            <w:vAlign w:val="center"/>
            <w:hideMark/>
          </w:tcPr>
          <w:p w14:paraId="53B0FEB7" w14:textId="77777777" w:rsidR="009A2A34" w:rsidRPr="007B4F58" w:rsidRDefault="009A2A34" w:rsidP="00CC1F9E">
            <w:pPr>
              <w:rPr>
                <w:rFonts w:cs="Calibri"/>
                <w:b/>
                <w:bCs/>
                <w:color w:val="000000"/>
                <w:sz w:val="16"/>
                <w:szCs w:val="16"/>
              </w:rPr>
            </w:pPr>
            <w:r w:rsidRPr="007B4F58">
              <w:rPr>
                <w:rFonts w:cs="Calibri"/>
                <w:b/>
                <w:bCs/>
                <w:color w:val="000000"/>
                <w:sz w:val="16"/>
                <w:szCs w:val="16"/>
              </w:rPr>
              <w:t xml:space="preserve">  Bežné výdavky</w:t>
            </w:r>
          </w:p>
        </w:tc>
        <w:tc>
          <w:tcPr>
            <w:tcW w:w="850" w:type="dxa"/>
            <w:tcBorders>
              <w:top w:val="nil"/>
              <w:left w:val="single" w:sz="8" w:space="0" w:color="auto"/>
              <w:bottom w:val="nil"/>
              <w:right w:val="single" w:sz="8" w:space="0" w:color="auto"/>
            </w:tcBorders>
            <w:shd w:val="clear" w:color="auto" w:fill="auto"/>
            <w:noWrap/>
            <w:vAlign w:val="center"/>
            <w:hideMark/>
          </w:tcPr>
          <w:p w14:paraId="4828A5CC" w14:textId="77777777" w:rsidR="009A2A34" w:rsidRPr="007B4F58" w:rsidRDefault="009A2A34" w:rsidP="00CC1F9E">
            <w:pPr>
              <w:jc w:val="center"/>
              <w:rPr>
                <w:rFonts w:cs="Calibri"/>
                <w:color w:val="000000"/>
                <w:sz w:val="18"/>
                <w:szCs w:val="18"/>
              </w:rPr>
            </w:pPr>
            <w:r w:rsidRPr="007B4F58">
              <w:rPr>
                <w:rFonts w:cs="Calibri"/>
                <w:color w:val="000000"/>
                <w:sz w:val="18"/>
                <w:szCs w:val="18"/>
              </w:rPr>
              <w:t>38,5</w:t>
            </w:r>
          </w:p>
        </w:tc>
        <w:tc>
          <w:tcPr>
            <w:tcW w:w="802" w:type="dxa"/>
            <w:tcBorders>
              <w:top w:val="nil"/>
              <w:left w:val="nil"/>
              <w:bottom w:val="nil"/>
              <w:right w:val="single" w:sz="8" w:space="0" w:color="auto"/>
            </w:tcBorders>
            <w:shd w:val="clear" w:color="auto" w:fill="auto"/>
            <w:noWrap/>
            <w:vAlign w:val="center"/>
            <w:hideMark/>
          </w:tcPr>
          <w:p w14:paraId="5A6D4B7D" w14:textId="77777777" w:rsidR="009A2A34" w:rsidRPr="007B4F58" w:rsidRDefault="009A2A34" w:rsidP="00CC1F9E">
            <w:pPr>
              <w:jc w:val="center"/>
              <w:rPr>
                <w:rFonts w:cs="Calibri"/>
                <w:color w:val="000000"/>
                <w:sz w:val="18"/>
                <w:szCs w:val="18"/>
              </w:rPr>
            </w:pPr>
            <w:r w:rsidRPr="007B4F58">
              <w:rPr>
                <w:rFonts w:cs="Calibri"/>
                <w:color w:val="000000"/>
                <w:sz w:val="18"/>
                <w:szCs w:val="18"/>
              </w:rPr>
              <w:t>42,9</w:t>
            </w:r>
          </w:p>
        </w:tc>
        <w:tc>
          <w:tcPr>
            <w:tcW w:w="915" w:type="dxa"/>
            <w:tcBorders>
              <w:top w:val="nil"/>
              <w:left w:val="nil"/>
              <w:bottom w:val="nil"/>
              <w:right w:val="single" w:sz="8" w:space="0" w:color="auto"/>
            </w:tcBorders>
            <w:shd w:val="clear" w:color="auto" w:fill="auto"/>
            <w:noWrap/>
            <w:vAlign w:val="center"/>
            <w:hideMark/>
          </w:tcPr>
          <w:p w14:paraId="2DF5E615" w14:textId="77777777" w:rsidR="009A2A34" w:rsidRPr="007B4F58" w:rsidRDefault="009A2A34" w:rsidP="00CC1F9E">
            <w:pPr>
              <w:jc w:val="center"/>
              <w:rPr>
                <w:rFonts w:cs="Calibri"/>
                <w:color w:val="000000"/>
                <w:sz w:val="18"/>
                <w:szCs w:val="18"/>
              </w:rPr>
            </w:pPr>
            <w:r w:rsidRPr="007B4F58">
              <w:rPr>
                <w:rFonts w:cs="Calibri"/>
                <w:color w:val="000000"/>
                <w:sz w:val="18"/>
                <w:szCs w:val="18"/>
              </w:rPr>
              <w:t>42,4</w:t>
            </w:r>
          </w:p>
        </w:tc>
        <w:tc>
          <w:tcPr>
            <w:tcW w:w="922" w:type="dxa"/>
            <w:tcBorders>
              <w:top w:val="nil"/>
              <w:left w:val="nil"/>
              <w:bottom w:val="nil"/>
              <w:right w:val="nil"/>
            </w:tcBorders>
            <w:shd w:val="clear" w:color="auto" w:fill="auto"/>
            <w:noWrap/>
            <w:vAlign w:val="center"/>
            <w:hideMark/>
          </w:tcPr>
          <w:p w14:paraId="4D888E24"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41,3</w:t>
            </w:r>
          </w:p>
        </w:tc>
        <w:tc>
          <w:tcPr>
            <w:tcW w:w="930" w:type="dxa"/>
            <w:tcBorders>
              <w:top w:val="nil"/>
              <w:left w:val="nil"/>
              <w:bottom w:val="nil"/>
              <w:right w:val="nil"/>
            </w:tcBorders>
            <w:shd w:val="clear" w:color="auto" w:fill="auto"/>
            <w:noWrap/>
            <w:vAlign w:val="center"/>
            <w:hideMark/>
          </w:tcPr>
          <w:p w14:paraId="0AC1E51B"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41,5</w:t>
            </w:r>
          </w:p>
        </w:tc>
        <w:tc>
          <w:tcPr>
            <w:tcW w:w="930" w:type="dxa"/>
            <w:tcBorders>
              <w:top w:val="nil"/>
              <w:left w:val="nil"/>
              <w:bottom w:val="nil"/>
              <w:right w:val="nil"/>
            </w:tcBorders>
            <w:shd w:val="clear" w:color="auto" w:fill="auto"/>
            <w:noWrap/>
            <w:vAlign w:val="center"/>
            <w:hideMark/>
          </w:tcPr>
          <w:p w14:paraId="4B7EF11C"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41,4</w:t>
            </w:r>
          </w:p>
        </w:tc>
      </w:tr>
      <w:tr w:rsidR="009A2A34" w:rsidRPr="007B4F58" w14:paraId="3F1CA96C" w14:textId="77777777" w:rsidTr="00CC1F9E">
        <w:trPr>
          <w:trHeight w:val="272"/>
        </w:trPr>
        <w:tc>
          <w:tcPr>
            <w:tcW w:w="3686" w:type="dxa"/>
            <w:tcBorders>
              <w:top w:val="nil"/>
              <w:left w:val="nil"/>
              <w:bottom w:val="nil"/>
              <w:right w:val="nil"/>
            </w:tcBorders>
            <w:shd w:val="clear" w:color="auto" w:fill="auto"/>
            <w:noWrap/>
            <w:vAlign w:val="center"/>
            <w:hideMark/>
          </w:tcPr>
          <w:p w14:paraId="4462A7FD"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Kompenzácie zamestnancov</w:t>
            </w:r>
          </w:p>
        </w:tc>
        <w:tc>
          <w:tcPr>
            <w:tcW w:w="850" w:type="dxa"/>
            <w:tcBorders>
              <w:top w:val="nil"/>
              <w:left w:val="single" w:sz="8" w:space="0" w:color="auto"/>
              <w:bottom w:val="nil"/>
              <w:right w:val="single" w:sz="8" w:space="0" w:color="auto"/>
            </w:tcBorders>
            <w:shd w:val="clear" w:color="auto" w:fill="auto"/>
            <w:noWrap/>
            <w:vAlign w:val="center"/>
            <w:hideMark/>
          </w:tcPr>
          <w:p w14:paraId="17D36742" w14:textId="77777777" w:rsidR="009A2A34" w:rsidRPr="007B4F58" w:rsidRDefault="009A2A34" w:rsidP="00CC1F9E">
            <w:pPr>
              <w:jc w:val="center"/>
              <w:rPr>
                <w:rFonts w:cs="Calibri"/>
                <w:color w:val="000000"/>
                <w:sz w:val="18"/>
                <w:szCs w:val="18"/>
              </w:rPr>
            </w:pPr>
            <w:r w:rsidRPr="007B4F58">
              <w:rPr>
                <w:rFonts w:cs="Calibri"/>
                <w:color w:val="000000"/>
                <w:sz w:val="18"/>
                <w:szCs w:val="18"/>
              </w:rPr>
              <w:t>10,6</w:t>
            </w:r>
          </w:p>
        </w:tc>
        <w:tc>
          <w:tcPr>
            <w:tcW w:w="802" w:type="dxa"/>
            <w:tcBorders>
              <w:top w:val="nil"/>
              <w:left w:val="nil"/>
              <w:bottom w:val="nil"/>
              <w:right w:val="single" w:sz="8" w:space="0" w:color="auto"/>
            </w:tcBorders>
            <w:shd w:val="clear" w:color="auto" w:fill="auto"/>
            <w:noWrap/>
            <w:vAlign w:val="center"/>
            <w:hideMark/>
          </w:tcPr>
          <w:p w14:paraId="242D1A5B" w14:textId="77777777" w:rsidR="009A2A34" w:rsidRPr="007B4F58" w:rsidRDefault="009A2A34" w:rsidP="00CC1F9E">
            <w:pPr>
              <w:jc w:val="center"/>
              <w:rPr>
                <w:rFonts w:cs="Calibri"/>
                <w:color w:val="000000"/>
                <w:sz w:val="18"/>
                <w:szCs w:val="18"/>
              </w:rPr>
            </w:pPr>
            <w:r w:rsidRPr="007B4F58">
              <w:rPr>
                <w:rFonts w:cs="Calibri"/>
                <w:color w:val="000000"/>
                <w:sz w:val="18"/>
                <w:szCs w:val="18"/>
              </w:rPr>
              <w:t>11,0</w:t>
            </w:r>
          </w:p>
        </w:tc>
        <w:tc>
          <w:tcPr>
            <w:tcW w:w="915" w:type="dxa"/>
            <w:tcBorders>
              <w:top w:val="nil"/>
              <w:left w:val="nil"/>
              <w:bottom w:val="nil"/>
              <w:right w:val="single" w:sz="8" w:space="0" w:color="auto"/>
            </w:tcBorders>
            <w:shd w:val="clear" w:color="auto" w:fill="auto"/>
            <w:noWrap/>
            <w:vAlign w:val="center"/>
            <w:hideMark/>
          </w:tcPr>
          <w:p w14:paraId="7158E48E" w14:textId="77777777" w:rsidR="009A2A34" w:rsidRPr="007B4F58" w:rsidRDefault="009A2A34" w:rsidP="00CC1F9E">
            <w:pPr>
              <w:jc w:val="center"/>
              <w:rPr>
                <w:rFonts w:cs="Calibri"/>
                <w:color w:val="000000"/>
                <w:sz w:val="18"/>
                <w:szCs w:val="18"/>
              </w:rPr>
            </w:pPr>
            <w:r w:rsidRPr="007B4F58">
              <w:rPr>
                <w:rFonts w:cs="Calibri"/>
                <w:color w:val="000000"/>
                <w:sz w:val="18"/>
                <w:szCs w:val="18"/>
              </w:rPr>
              <w:t>10,8</w:t>
            </w:r>
          </w:p>
        </w:tc>
        <w:tc>
          <w:tcPr>
            <w:tcW w:w="922" w:type="dxa"/>
            <w:tcBorders>
              <w:top w:val="nil"/>
              <w:left w:val="nil"/>
              <w:bottom w:val="nil"/>
              <w:right w:val="nil"/>
            </w:tcBorders>
            <w:shd w:val="clear" w:color="auto" w:fill="auto"/>
            <w:noWrap/>
            <w:vAlign w:val="center"/>
            <w:hideMark/>
          </w:tcPr>
          <w:p w14:paraId="7A45111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10,5</w:t>
            </w:r>
          </w:p>
        </w:tc>
        <w:tc>
          <w:tcPr>
            <w:tcW w:w="930" w:type="dxa"/>
            <w:tcBorders>
              <w:top w:val="nil"/>
              <w:left w:val="nil"/>
              <w:bottom w:val="nil"/>
              <w:right w:val="nil"/>
            </w:tcBorders>
            <w:shd w:val="clear" w:color="auto" w:fill="auto"/>
            <w:noWrap/>
            <w:vAlign w:val="center"/>
            <w:hideMark/>
          </w:tcPr>
          <w:p w14:paraId="46ACD88C"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10,4</w:t>
            </w:r>
          </w:p>
        </w:tc>
        <w:tc>
          <w:tcPr>
            <w:tcW w:w="930" w:type="dxa"/>
            <w:tcBorders>
              <w:top w:val="nil"/>
              <w:left w:val="nil"/>
              <w:bottom w:val="nil"/>
              <w:right w:val="nil"/>
            </w:tcBorders>
            <w:shd w:val="clear" w:color="auto" w:fill="auto"/>
            <w:noWrap/>
            <w:vAlign w:val="center"/>
            <w:hideMark/>
          </w:tcPr>
          <w:p w14:paraId="6FFC5A2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10,3</w:t>
            </w:r>
          </w:p>
        </w:tc>
      </w:tr>
      <w:tr w:rsidR="009A2A34" w:rsidRPr="007B4F58" w14:paraId="23762F80" w14:textId="77777777" w:rsidTr="00CC1F9E">
        <w:trPr>
          <w:trHeight w:val="272"/>
        </w:trPr>
        <w:tc>
          <w:tcPr>
            <w:tcW w:w="3686" w:type="dxa"/>
            <w:tcBorders>
              <w:top w:val="nil"/>
              <w:left w:val="nil"/>
              <w:bottom w:val="nil"/>
              <w:right w:val="nil"/>
            </w:tcBorders>
            <w:shd w:val="clear" w:color="auto" w:fill="auto"/>
            <w:noWrap/>
            <w:vAlign w:val="center"/>
            <w:hideMark/>
          </w:tcPr>
          <w:p w14:paraId="499C60E3"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Medzispotreba</w:t>
            </w:r>
          </w:p>
        </w:tc>
        <w:tc>
          <w:tcPr>
            <w:tcW w:w="850" w:type="dxa"/>
            <w:tcBorders>
              <w:top w:val="nil"/>
              <w:left w:val="single" w:sz="8" w:space="0" w:color="auto"/>
              <w:bottom w:val="nil"/>
              <w:right w:val="single" w:sz="8" w:space="0" w:color="auto"/>
            </w:tcBorders>
            <w:shd w:val="clear" w:color="auto" w:fill="auto"/>
            <w:noWrap/>
            <w:vAlign w:val="center"/>
            <w:hideMark/>
          </w:tcPr>
          <w:p w14:paraId="0F3DB757" w14:textId="77777777" w:rsidR="009A2A34" w:rsidRPr="007B4F58" w:rsidRDefault="009A2A34" w:rsidP="00CC1F9E">
            <w:pPr>
              <w:jc w:val="center"/>
              <w:rPr>
                <w:rFonts w:cs="Calibri"/>
                <w:color w:val="000000"/>
                <w:sz w:val="18"/>
                <w:szCs w:val="18"/>
              </w:rPr>
            </w:pPr>
            <w:r w:rsidRPr="007B4F58">
              <w:rPr>
                <w:rFonts w:cs="Calibri"/>
                <w:color w:val="000000"/>
                <w:sz w:val="18"/>
                <w:szCs w:val="18"/>
              </w:rPr>
              <w:t>5,9</w:t>
            </w:r>
          </w:p>
        </w:tc>
        <w:tc>
          <w:tcPr>
            <w:tcW w:w="802" w:type="dxa"/>
            <w:tcBorders>
              <w:top w:val="nil"/>
              <w:left w:val="nil"/>
              <w:bottom w:val="nil"/>
              <w:right w:val="single" w:sz="8" w:space="0" w:color="auto"/>
            </w:tcBorders>
            <w:shd w:val="clear" w:color="auto" w:fill="auto"/>
            <w:noWrap/>
            <w:vAlign w:val="center"/>
            <w:hideMark/>
          </w:tcPr>
          <w:p w14:paraId="4DAF3409" w14:textId="77777777" w:rsidR="009A2A34" w:rsidRPr="007B4F58" w:rsidRDefault="009A2A34" w:rsidP="00CC1F9E">
            <w:pPr>
              <w:jc w:val="center"/>
              <w:rPr>
                <w:rFonts w:cs="Calibri"/>
                <w:color w:val="000000"/>
                <w:sz w:val="18"/>
                <w:szCs w:val="18"/>
              </w:rPr>
            </w:pPr>
            <w:r w:rsidRPr="007B4F58">
              <w:rPr>
                <w:rFonts w:cs="Calibri"/>
                <w:color w:val="000000"/>
                <w:sz w:val="18"/>
                <w:szCs w:val="18"/>
              </w:rPr>
              <w:t>5,6</w:t>
            </w:r>
          </w:p>
        </w:tc>
        <w:tc>
          <w:tcPr>
            <w:tcW w:w="915" w:type="dxa"/>
            <w:tcBorders>
              <w:top w:val="nil"/>
              <w:left w:val="nil"/>
              <w:bottom w:val="nil"/>
              <w:right w:val="single" w:sz="8" w:space="0" w:color="auto"/>
            </w:tcBorders>
            <w:shd w:val="clear" w:color="auto" w:fill="auto"/>
            <w:noWrap/>
            <w:vAlign w:val="center"/>
            <w:hideMark/>
          </w:tcPr>
          <w:p w14:paraId="556C1649" w14:textId="77777777" w:rsidR="009A2A34" w:rsidRPr="007B4F58" w:rsidRDefault="009A2A34" w:rsidP="00CC1F9E">
            <w:pPr>
              <w:jc w:val="center"/>
              <w:rPr>
                <w:rFonts w:cs="Calibri"/>
                <w:color w:val="000000"/>
                <w:sz w:val="18"/>
                <w:szCs w:val="18"/>
              </w:rPr>
            </w:pPr>
            <w:r w:rsidRPr="007B4F58">
              <w:rPr>
                <w:rFonts w:cs="Calibri"/>
                <w:color w:val="000000"/>
                <w:sz w:val="18"/>
                <w:szCs w:val="18"/>
              </w:rPr>
              <w:t>6,2</w:t>
            </w:r>
          </w:p>
        </w:tc>
        <w:tc>
          <w:tcPr>
            <w:tcW w:w="922" w:type="dxa"/>
            <w:tcBorders>
              <w:top w:val="nil"/>
              <w:left w:val="nil"/>
              <w:bottom w:val="nil"/>
              <w:right w:val="nil"/>
            </w:tcBorders>
            <w:shd w:val="clear" w:color="auto" w:fill="auto"/>
            <w:noWrap/>
            <w:vAlign w:val="center"/>
            <w:hideMark/>
          </w:tcPr>
          <w:p w14:paraId="2E9FC045"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5,7</w:t>
            </w:r>
          </w:p>
        </w:tc>
        <w:tc>
          <w:tcPr>
            <w:tcW w:w="930" w:type="dxa"/>
            <w:tcBorders>
              <w:top w:val="nil"/>
              <w:left w:val="nil"/>
              <w:bottom w:val="nil"/>
              <w:right w:val="nil"/>
            </w:tcBorders>
            <w:shd w:val="clear" w:color="auto" w:fill="auto"/>
            <w:noWrap/>
            <w:vAlign w:val="center"/>
            <w:hideMark/>
          </w:tcPr>
          <w:p w14:paraId="419FD110"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5,7</w:t>
            </w:r>
          </w:p>
        </w:tc>
        <w:tc>
          <w:tcPr>
            <w:tcW w:w="930" w:type="dxa"/>
            <w:tcBorders>
              <w:top w:val="nil"/>
              <w:left w:val="nil"/>
              <w:bottom w:val="nil"/>
              <w:right w:val="nil"/>
            </w:tcBorders>
            <w:shd w:val="clear" w:color="auto" w:fill="auto"/>
            <w:noWrap/>
            <w:vAlign w:val="center"/>
            <w:hideMark/>
          </w:tcPr>
          <w:p w14:paraId="2B241CEB"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5,5</w:t>
            </w:r>
          </w:p>
        </w:tc>
      </w:tr>
      <w:tr w:rsidR="009A2A34" w:rsidRPr="007B4F58" w14:paraId="666A8E61" w14:textId="77777777" w:rsidTr="00CC1F9E">
        <w:trPr>
          <w:trHeight w:val="272"/>
        </w:trPr>
        <w:tc>
          <w:tcPr>
            <w:tcW w:w="3686" w:type="dxa"/>
            <w:tcBorders>
              <w:top w:val="nil"/>
              <w:left w:val="nil"/>
              <w:bottom w:val="nil"/>
              <w:right w:val="nil"/>
            </w:tcBorders>
            <w:shd w:val="clear" w:color="auto" w:fill="auto"/>
            <w:noWrap/>
            <w:vAlign w:val="center"/>
            <w:hideMark/>
          </w:tcPr>
          <w:p w14:paraId="080909F6"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Subvencie</w:t>
            </w:r>
          </w:p>
        </w:tc>
        <w:tc>
          <w:tcPr>
            <w:tcW w:w="850" w:type="dxa"/>
            <w:tcBorders>
              <w:top w:val="nil"/>
              <w:left w:val="single" w:sz="8" w:space="0" w:color="auto"/>
              <w:bottom w:val="nil"/>
              <w:right w:val="single" w:sz="8" w:space="0" w:color="auto"/>
            </w:tcBorders>
            <w:shd w:val="clear" w:color="auto" w:fill="auto"/>
            <w:noWrap/>
            <w:vAlign w:val="center"/>
            <w:hideMark/>
          </w:tcPr>
          <w:p w14:paraId="5DCFC848" w14:textId="77777777" w:rsidR="009A2A34" w:rsidRPr="007B4F58" w:rsidRDefault="009A2A34" w:rsidP="00CC1F9E">
            <w:pPr>
              <w:jc w:val="center"/>
              <w:rPr>
                <w:rFonts w:cs="Calibri"/>
                <w:color w:val="000000"/>
                <w:sz w:val="18"/>
                <w:szCs w:val="18"/>
              </w:rPr>
            </w:pPr>
            <w:r w:rsidRPr="007B4F58">
              <w:rPr>
                <w:rFonts w:cs="Calibri"/>
                <w:color w:val="000000"/>
                <w:sz w:val="18"/>
                <w:szCs w:val="18"/>
              </w:rPr>
              <w:t>1,1</w:t>
            </w:r>
          </w:p>
        </w:tc>
        <w:tc>
          <w:tcPr>
            <w:tcW w:w="802" w:type="dxa"/>
            <w:tcBorders>
              <w:top w:val="nil"/>
              <w:left w:val="nil"/>
              <w:bottom w:val="nil"/>
              <w:right w:val="single" w:sz="8" w:space="0" w:color="auto"/>
            </w:tcBorders>
            <w:shd w:val="clear" w:color="auto" w:fill="auto"/>
            <w:noWrap/>
            <w:vAlign w:val="center"/>
            <w:hideMark/>
          </w:tcPr>
          <w:p w14:paraId="0743488D" w14:textId="77777777" w:rsidR="009A2A34" w:rsidRPr="007B4F58" w:rsidRDefault="009A2A34" w:rsidP="00CC1F9E">
            <w:pPr>
              <w:jc w:val="center"/>
              <w:rPr>
                <w:rFonts w:cs="Calibri"/>
                <w:color w:val="000000"/>
                <w:sz w:val="18"/>
                <w:szCs w:val="18"/>
              </w:rPr>
            </w:pPr>
            <w:r w:rsidRPr="007B4F58">
              <w:rPr>
                <w:rFonts w:cs="Calibri"/>
                <w:color w:val="000000"/>
                <w:sz w:val="18"/>
                <w:szCs w:val="18"/>
              </w:rPr>
              <w:t>3,3</w:t>
            </w:r>
          </w:p>
        </w:tc>
        <w:tc>
          <w:tcPr>
            <w:tcW w:w="915" w:type="dxa"/>
            <w:tcBorders>
              <w:top w:val="nil"/>
              <w:left w:val="nil"/>
              <w:bottom w:val="nil"/>
              <w:right w:val="single" w:sz="8" w:space="0" w:color="auto"/>
            </w:tcBorders>
            <w:shd w:val="clear" w:color="auto" w:fill="auto"/>
            <w:noWrap/>
            <w:vAlign w:val="center"/>
            <w:hideMark/>
          </w:tcPr>
          <w:p w14:paraId="3B430D42" w14:textId="77777777" w:rsidR="009A2A34" w:rsidRPr="007B4F58" w:rsidRDefault="009A2A34" w:rsidP="00CC1F9E">
            <w:pPr>
              <w:jc w:val="center"/>
              <w:rPr>
                <w:rFonts w:cs="Calibri"/>
                <w:color w:val="000000"/>
                <w:sz w:val="18"/>
                <w:szCs w:val="18"/>
              </w:rPr>
            </w:pPr>
            <w:r w:rsidRPr="007B4F58">
              <w:rPr>
                <w:rFonts w:cs="Calibri"/>
                <w:color w:val="000000"/>
                <w:sz w:val="18"/>
                <w:szCs w:val="18"/>
              </w:rPr>
              <w:t>1,5</w:t>
            </w:r>
          </w:p>
        </w:tc>
        <w:tc>
          <w:tcPr>
            <w:tcW w:w="922" w:type="dxa"/>
            <w:tcBorders>
              <w:top w:val="nil"/>
              <w:left w:val="nil"/>
              <w:bottom w:val="nil"/>
              <w:right w:val="nil"/>
            </w:tcBorders>
            <w:shd w:val="clear" w:color="auto" w:fill="auto"/>
            <w:noWrap/>
            <w:vAlign w:val="center"/>
            <w:hideMark/>
          </w:tcPr>
          <w:p w14:paraId="1660741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0,9</w:t>
            </w:r>
          </w:p>
        </w:tc>
        <w:tc>
          <w:tcPr>
            <w:tcW w:w="930" w:type="dxa"/>
            <w:tcBorders>
              <w:top w:val="nil"/>
              <w:left w:val="nil"/>
              <w:bottom w:val="nil"/>
              <w:right w:val="nil"/>
            </w:tcBorders>
            <w:shd w:val="clear" w:color="auto" w:fill="auto"/>
            <w:noWrap/>
            <w:vAlign w:val="center"/>
            <w:hideMark/>
          </w:tcPr>
          <w:p w14:paraId="0D53864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0,8</w:t>
            </w:r>
          </w:p>
        </w:tc>
        <w:tc>
          <w:tcPr>
            <w:tcW w:w="930" w:type="dxa"/>
            <w:tcBorders>
              <w:top w:val="nil"/>
              <w:left w:val="nil"/>
              <w:bottom w:val="nil"/>
              <w:right w:val="nil"/>
            </w:tcBorders>
            <w:shd w:val="clear" w:color="auto" w:fill="auto"/>
            <w:noWrap/>
            <w:vAlign w:val="center"/>
            <w:hideMark/>
          </w:tcPr>
          <w:p w14:paraId="58523FE8"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0,8</w:t>
            </w:r>
          </w:p>
        </w:tc>
      </w:tr>
      <w:tr w:rsidR="009A2A34" w:rsidRPr="007B4F58" w14:paraId="30FA0323" w14:textId="77777777" w:rsidTr="00CC1F9E">
        <w:trPr>
          <w:trHeight w:val="272"/>
        </w:trPr>
        <w:tc>
          <w:tcPr>
            <w:tcW w:w="3686" w:type="dxa"/>
            <w:tcBorders>
              <w:top w:val="nil"/>
              <w:left w:val="nil"/>
              <w:bottom w:val="nil"/>
              <w:right w:val="nil"/>
            </w:tcBorders>
            <w:shd w:val="clear" w:color="auto" w:fill="auto"/>
            <w:noWrap/>
            <w:vAlign w:val="center"/>
            <w:hideMark/>
          </w:tcPr>
          <w:p w14:paraId="20E51D0C"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Úrokové náklady</w:t>
            </w:r>
          </w:p>
        </w:tc>
        <w:tc>
          <w:tcPr>
            <w:tcW w:w="850" w:type="dxa"/>
            <w:tcBorders>
              <w:top w:val="nil"/>
              <w:left w:val="single" w:sz="8" w:space="0" w:color="auto"/>
              <w:bottom w:val="nil"/>
              <w:right w:val="single" w:sz="8" w:space="0" w:color="auto"/>
            </w:tcBorders>
            <w:shd w:val="clear" w:color="auto" w:fill="auto"/>
            <w:noWrap/>
            <w:vAlign w:val="center"/>
            <w:hideMark/>
          </w:tcPr>
          <w:p w14:paraId="109807DD" w14:textId="77777777" w:rsidR="009A2A34" w:rsidRPr="007B4F58" w:rsidRDefault="009A2A34" w:rsidP="00CC1F9E">
            <w:pPr>
              <w:jc w:val="center"/>
              <w:rPr>
                <w:rFonts w:cs="Calibri"/>
                <w:color w:val="000000"/>
                <w:sz w:val="18"/>
                <w:szCs w:val="18"/>
              </w:rPr>
            </w:pPr>
            <w:r w:rsidRPr="007B4F58">
              <w:rPr>
                <w:rFonts w:cs="Calibri"/>
                <w:color w:val="000000"/>
                <w:sz w:val="18"/>
                <w:szCs w:val="18"/>
              </w:rPr>
              <w:t>1,0</w:t>
            </w:r>
          </w:p>
        </w:tc>
        <w:tc>
          <w:tcPr>
            <w:tcW w:w="802" w:type="dxa"/>
            <w:tcBorders>
              <w:top w:val="nil"/>
              <w:left w:val="nil"/>
              <w:bottom w:val="nil"/>
              <w:right w:val="single" w:sz="8" w:space="0" w:color="auto"/>
            </w:tcBorders>
            <w:shd w:val="clear" w:color="auto" w:fill="auto"/>
            <w:noWrap/>
            <w:vAlign w:val="center"/>
            <w:hideMark/>
          </w:tcPr>
          <w:p w14:paraId="33726D19" w14:textId="77777777" w:rsidR="009A2A34" w:rsidRPr="007B4F58" w:rsidRDefault="009A2A34" w:rsidP="00CC1F9E">
            <w:pPr>
              <w:jc w:val="center"/>
              <w:rPr>
                <w:rFonts w:cs="Calibri"/>
                <w:color w:val="000000"/>
                <w:sz w:val="18"/>
                <w:szCs w:val="18"/>
              </w:rPr>
            </w:pPr>
            <w:r w:rsidRPr="007B4F58">
              <w:rPr>
                <w:rFonts w:cs="Calibri"/>
                <w:color w:val="000000"/>
                <w:sz w:val="18"/>
                <w:szCs w:val="18"/>
              </w:rPr>
              <w:t>1,2</w:t>
            </w:r>
          </w:p>
        </w:tc>
        <w:tc>
          <w:tcPr>
            <w:tcW w:w="915" w:type="dxa"/>
            <w:tcBorders>
              <w:top w:val="nil"/>
              <w:left w:val="nil"/>
              <w:bottom w:val="nil"/>
              <w:right w:val="single" w:sz="8" w:space="0" w:color="auto"/>
            </w:tcBorders>
            <w:shd w:val="clear" w:color="auto" w:fill="auto"/>
            <w:noWrap/>
            <w:vAlign w:val="center"/>
            <w:hideMark/>
          </w:tcPr>
          <w:p w14:paraId="47D01A52" w14:textId="77777777" w:rsidR="009A2A34" w:rsidRPr="007B4F58" w:rsidRDefault="009A2A34" w:rsidP="00CC1F9E">
            <w:pPr>
              <w:jc w:val="center"/>
              <w:rPr>
                <w:rFonts w:cs="Calibri"/>
                <w:color w:val="000000"/>
                <w:sz w:val="18"/>
                <w:szCs w:val="18"/>
              </w:rPr>
            </w:pPr>
            <w:r w:rsidRPr="007B4F58">
              <w:rPr>
                <w:rFonts w:cs="Calibri"/>
                <w:color w:val="000000"/>
                <w:sz w:val="18"/>
                <w:szCs w:val="18"/>
              </w:rPr>
              <w:t>1,4</w:t>
            </w:r>
          </w:p>
        </w:tc>
        <w:tc>
          <w:tcPr>
            <w:tcW w:w="922" w:type="dxa"/>
            <w:tcBorders>
              <w:top w:val="nil"/>
              <w:left w:val="nil"/>
              <w:bottom w:val="nil"/>
              <w:right w:val="nil"/>
            </w:tcBorders>
            <w:shd w:val="clear" w:color="auto" w:fill="auto"/>
            <w:noWrap/>
            <w:vAlign w:val="center"/>
            <w:hideMark/>
          </w:tcPr>
          <w:p w14:paraId="158E8526"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1,6</w:t>
            </w:r>
          </w:p>
        </w:tc>
        <w:tc>
          <w:tcPr>
            <w:tcW w:w="930" w:type="dxa"/>
            <w:tcBorders>
              <w:top w:val="nil"/>
              <w:left w:val="nil"/>
              <w:bottom w:val="nil"/>
              <w:right w:val="nil"/>
            </w:tcBorders>
            <w:shd w:val="clear" w:color="auto" w:fill="auto"/>
            <w:noWrap/>
            <w:vAlign w:val="center"/>
            <w:hideMark/>
          </w:tcPr>
          <w:p w14:paraId="1796AF9D"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1,6</w:t>
            </w:r>
          </w:p>
        </w:tc>
        <w:tc>
          <w:tcPr>
            <w:tcW w:w="930" w:type="dxa"/>
            <w:tcBorders>
              <w:top w:val="nil"/>
              <w:left w:val="nil"/>
              <w:bottom w:val="nil"/>
              <w:right w:val="nil"/>
            </w:tcBorders>
            <w:shd w:val="clear" w:color="auto" w:fill="auto"/>
            <w:noWrap/>
            <w:vAlign w:val="center"/>
            <w:hideMark/>
          </w:tcPr>
          <w:p w14:paraId="0ADBE557"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1,9</w:t>
            </w:r>
          </w:p>
        </w:tc>
      </w:tr>
      <w:tr w:rsidR="009A2A34" w:rsidRPr="007B4F58" w14:paraId="1D42BB1B" w14:textId="77777777" w:rsidTr="00CC1F9E">
        <w:trPr>
          <w:trHeight w:val="272"/>
        </w:trPr>
        <w:tc>
          <w:tcPr>
            <w:tcW w:w="3686" w:type="dxa"/>
            <w:tcBorders>
              <w:top w:val="nil"/>
              <w:left w:val="nil"/>
              <w:bottom w:val="nil"/>
              <w:right w:val="nil"/>
            </w:tcBorders>
            <w:shd w:val="clear" w:color="auto" w:fill="auto"/>
            <w:noWrap/>
            <w:vAlign w:val="center"/>
            <w:hideMark/>
          </w:tcPr>
          <w:p w14:paraId="025728F7"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Celkové sociálne transfery</w:t>
            </w:r>
          </w:p>
        </w:tc>
        <w:tc>
          <w:tcPr>
            <w:tcW w:w="850" w:type="dxa"/>
            <w:tcBorders>
              <w:top w:val="nil"/>
              <w:left w:val="single" w:sz="8" w:space="0" w:color="auto"/>
              <w:bottom w:val="nil"/>
              <w:right w:val="single" w:sz="8" w:space="0" w:color="auto"/>
            </w:tcBorders>
            <w:shd w:val="clear" w:color="auto" w:fill="auto"/>
            <w:noWrap/>
            <w:vAlign w:val="center"/>
            <w:hideMark/>
          </w:tcPr>
          <w:p w14:paraId="64CB37A3" w14:textId="77777777" w:rsidR="009A2A34" w:rsidRPr="007B4F58" w:rsidRDefault="009A2A34" w:rsidP="00CC1F9E">
            <w:pPr>
              <w:jc w:val="center"/>
              <w:rPr>
                <w:rFonts w:cs="Calibri"/>
                <w:color w:val="000000"/>
                <w:sz w:val="18"/>
                <w:szCs w:val="18"/>
              </w:rPr>
            </w:pPr>
            <w:r w:rsidRPr="007B4F58">
              <w:rPr>
                <w:rFonts w:cs="Calibri"/>
                <w:color w:val="000000"/>
                <w:sz w:val="18"/>
                <w:szCs w:val="18"/>
              </w:rPr>
              <w:t>17,9</w:t>
            </w:r>
          </w:p>
        </w:tc>
        <w:tc>
          <w:tcPr>
            <w:tcW w:w="802" w:type="dxa"/>
            <w:tcBorders>
              <w:top w:val="nil"/>
              <w:left w:val="nil"/>
              <w:bottom w:val="nil"/>
              <w:right w:val="single" w:sz="8" w:space="0" w:color="auto"/>
            </w:tcBorders>
            <w:shd w:val="clear" w:color="auto" w:fill="auto"/>
            <w:noWrap/>
            <w:vAlign w:val="center"/>
            <w:hideMark/>
          </w:tcPr>
          <w:p w14:paraId="632252FD" w14:textId="77777777" w:rsidR="009A2A34" w:rsidRPr="007B4F58" w:rsidRDefault="009A2A34" w:rsidP="00CC1F9E">
            <w:pPr>
              <w:jc w:val="center"/>
              <w:rPr>
                <w:rFonts w:cs="Calibri"/>
                <w:color w:val="000000"/>
                <w:sz w:val="18"/>
                <w:szCs w:val="18"/>
              </w:rPr>
            </w:pPr>
            <w:r w:rsidRPr="007B4F58">
              <w:rPr>
                <w:rFonts w:cs="Calibri"/>
                <w:color w:val="000000"/>
                <w:sz w:val="18"/>
                <w:szCs w:val="18"/>
              </w:rPr>
              <w:t>19,7</w:t>
            </w:r>
          </w:p>
        </w:tc>
        <w:tc>
          <w:tcPr>
            <w:tcW w:w="915" w:type="dxa"/>
            <w:tcBorders>
              <w:top w:val="nil"/>
              <w:left w:val="nil"/>
              <w:bottom w:val="nil"/>
              <w:right w:val="single" w:sz="8" w:space="0" w:color="auto"/>
            </w:tcBorders>
            <w:shd w:val="clear" w:color="auto" w:fill="auto"/>
            <w:noWrap/>
            <w:vAlign w:val="center"/>
            <w:hideMark/>
          </w:tcPr>
          <w:p w14:paraId="36D69E89" w14:textId="77777777" w:rsidR="009A2A34" w:rsidRPr="007B4F58" w:rsidRDefault="009A2A34" w:rsidP="00CC1F9E">
            <w:pPr>
              <w:jc w:val="center"/>
              <w:rPr>
                <w:rFonts w:cs="Calibri"/>
                <w:color w:val="000000"/>
                <w:sz w:val="18"/>
                <w:szCs w:val="18"/>
              </w:rPr>
            </w:pPr>
            <w:r w:rsidRPr="007B4F58">
              <w:rPr>
                <w:rFonts w:cs="Calibri"/>
                <w:color w:val="000000"/>
                <w:sz w:val="18"/>
                <w:szCs w:val="18"/>
              </w:rPr>
              <w:t>20,3</w:t>
            </w:r>
          </w:p>
        </w:tc>
        <w:tc>
          <w:tcPr>
            <w:tcW w:w="922" w:type="dxa"/>
            <w:tcBorders>
              <w:top w:val="nil"/>
              <w:left w:val="nil"/>
              <w:bottom w:val="nil"/>
              <w:right w:val="nil"/>
            </w:tcBorders>
            <w:shd w:val="clear" w:color="auto" w:fill="auto"/>
            <w:noWrap/>
            <w:vAlign w:val="center"/>
            <w:hideMark/>
          </w:tcPr>
          <w:p w14:paraId="628CB373"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20,6</w:t>
            </w:r>
          </w:p>
        </w:tc>
        <w:tc>
          <w:tcPr>
            <w:tcW w:w="930" w:type="dxa"/>
            <w:tcBorders>
              <w:top w:val="nil"/>
              <w:left w:val="nil"/>
              <w:bottom w:val="nil"/>
              <w:right w:val="nil"/>
            </w:tcBorders>
            <w:shd w:val="clear" w:color="auto" w:fill="auto"/>
            <w:noWrap/>
            <w:vAlign w:val="center"/>
            <w:hideMark/>
          </w:tcPr>
          <w:p w14:paraId="4ACD402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20,6</w:t>
            </w:r>
          </w:p>
        </w:tc>
        <w:tc>
          <w:tcPr>
            <w:tcW w:w="930" w:type="dxa"/>
            <w:tcBorders>
              <w:top w:val="nil"/>
              <w:left w:val="nil"/>
              <w:bottom w:val="nil"/>
              <w:right w:val="nil"/>
            </w:tcBorders>
            <w:shd w:val="clear" w:color="auto" w:fill="auto"/>
            <w:noWrap/>
            <w:vAlign w:val="center"/>
            <w:hideMark/>
          </w:tcPr>
          <w:p w14:paraId="3F222DC5"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20,6</w:t>
            </w:r>
          </w:p>
        </w:tc>
      </w:tr>
      <w:tr w:rsidR="009A2A34" w:rsidRPr="007B4F58" w14:paraId="41D0CE8D" w14:textId="77777777" w:rsidTr="00CC1F9E">
        <w:trPr>
          <w:trHeight w:val="272"/>
        </w:trPr>
        <w:tc>
          <w:tcPr>
            <w:tcW w:w="3686" w:type="dxa"/>
            <w:tcBorders>
              <w:top w:val="nil"/>
              <w:left w:val="nil"/>
              <w:bottom w:val="nil"/>
              <w:right w:val="nil"/>
            </w:tcBorders>
            <w:shd w:val="clear" w:color="auto" w:fill="auto"/>
            <w:noWrap/>
            <w:vAlign w:val="center"/>
            <w:hideMark/>
          </w:tcPr>
          <w:p w14:paraId="2410BACD"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 Sociálne dávky okrem naturálnych soc. transferov</w:t>
            </w:r>
          </w:p>
        </w:tc>
        <w:tc>
          <w:tcPr>
            <w:tcW w:w="850" w:type="dxa"/>
            <w:tcBorders>
              <w:top w:val="nil"/>
              <w:left w:val="single" w:sz="8" w:space="0" w:color="auto"/>
              <w:bottom w:val="nil"/>
              <w:right w:val="single" w:sz="8" w:space="0" w:color="auto"/>
            </w:tcBorders>
            <w:shd w:val="clear" w:color="auto" w:fill="auto"/>
            <w:noWrap/>
            <w:vAlign w:val="center"/>
            <w:hideMark/>
          </w:tcPr>
          <w:p w14:paraId="30DB0298" w14:textId="77777777" w:rsidR="009A2A34" w:rsidRPr="007B4F58" w:rsidRDefault="009A2A34" w:rsidP="00CC1F9E">
            <w:pPr>
              <w:jc w:val="center"/>
              <w:rPr>
                <w:rFonts w:cs="Calibri"/>
                <w:color w:val="000000"/>
                <w:sz w:val="18"/>
                <w:szCs w:val="18"/>
              </w:rPr>
            </w:pPr>
            <w:r w:rsidRPr="007B4F58">
              <w:rPr>
                <w:rFonts w:cs="Calibri"/>
                <w:color w:val="000000"/>
                <w:sz w:val="18"/>
                <w:szCs w:val="18"/>
              </w:rPr>
              <w:t>14,5</w:t>
            </w:r>
          </w:p>
        </w:tc>
        <w:tc>
          <w:tcPr>
            <w:tcW w:w="802" w:type="dxa"/>
            <w:tcBorders>
              <w:top w:val="nil"/>
              <w:left w:val="nil"/>
              <w:bottom w:val="nil"/>
              <w:right w:val="single" w:sz="8" w:space="0" w:color="auto"/>
            </w:tcBorders>
            <w:shd w:val="clear" w:color="auto" w:fill="auto"/>
            <w:noWrap/>
            <w:vAlign w:val="center"/>
            <w:hideMark/>
          </w:tcPr>
          <w:p w14:paraId="5CFF5CEE" w14:textId="77777777" w:rsidR="009A2A34" w:rsidRPr="007B4F58" w:rsidRDefault="009A2A34" w:rsidP="00CC1F9E">
            <w:pPr>
              <w:jc w:val="center"/>
              <w:rPr>
                <w:rFonts w:cs="Calibri"/>
                <w:color w:val="000000"/>
                <w:sz w:val="18"/>
                <w:szCs w:val="18"/>
              </w:rPr>
            </w:pPr>
            <w:r w:rsidRPr="007B4F58">
              <w:rPr>
                <w:rFonts w:cs="Calibri"/>
                <w:color w:val="000000"/>
                <w:sz w:val="18"/>
                <w:szCs w:val="18"/>
              </w:rPr>
              <w:t>16,3</w:t>
            </w:r>
          </w:p>
        </w:tc>
        <w:tc>
          <w:tcPr>
            <w:tcW w:w="915" w:type="dxa"/>
            <w:tcBorders>
              <w:top w:val="nil"/>
              <w:left w:val="nil"/>
              <w:bottom w:val="nil"/>
              <w:right w:val="single" w:sz="8" w:space="0" w:color="auto"/>
            </w:tcBorders>
            <w:shd w:val="clear" w:color="auto" w:fill="auto"/>
            <w:noWrap/>
            <w:vAlign w:val="center"/>
            <w:hideMark/>
          </w:tcPr>
          <w:p w14:paraId="4B9CFCE3" w14:textId="77777777" w:rsidR="009A2A34" w:rsidRPr="007B4F58" w:rsidRDefault="009A2A34" w:rsidP="00CC1F9E">
            <w:pPr>
              <w:jc w:val="center"/>
              <w:rPr>
                <w:rFonts w:cs="Calibri"/>
                <w:color w:val="000000"/>
                <w:sz w:val="18"/>
                <w:szCs w:val="18"/>
              </w:rPr>
            </w:pPr>
            <w:r w:rsidRPr="007B4F58">
              <w:rPr>
                <w:rFonts w:cs="Calibri"/>
                <w:color w:val="000000"/>
                <w:sz w:val="18"/>
                <w:szCs w:val="18"/>
              </w:rPr>
              <w:t>16,6</w:t>
            </w:r>
          </w:p>
        </w:tc>
        <w:tc>
          <w:tcPr>
            <w:tcW w:w="922" w:type="dxa"/>
            <w:tcBorders>
              <w:top w:val="nil"/>
              <w:left w:val="nil"/>
              <w:bottom w:val="nil"/>
              <w:right w:val="nil"/>
            </w:tcBorders>
            <w:shd w:val="clear" w:color="auto" w:fill="auto"/>
            <w:noWrap/>
            <w:vAlign w:val="center"/>
            <w:hideMark/>
          </w:tcPr>
          <w:p w14:paraId="609E75EB"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16,8</w:t>
            </w:r>
          </w:p>
        </w:tc>
        <w:tc>
          <w:tcPr>
            <w:tcW w:w="930" w:type="dxa"/>
            <w:tcBorders>
              <w:top w:val="nil"/>
              <w:left w:val="nil"/>
              <w:bottom w:val="nil"/>
              <w:right w:val="nil"/>
            </w:tcBorders>
            <w:shd w:val="clear" w:color="auto" w:fill="auto"/>
            <w:noWrap/>
            <w:vAlign w:val="center"/>
            <w:hideMark/>
          </w:tcPr>
          <w:p w14:paraId="3A1E8FF7"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16,9</w:t>
            </w:r>
          </w:p>
        </w:tc>
        <w:tc>
          <w:tcPr>
            <w:tcW w:w="930" w:type="dxa"/>
            <w:tcBorders>
              <w:top w:val="nil"/>
              <w:left w:val="nil"/>
              <w:bottom w:val="nil"/>
              <w:right w:val="nil"/>
            </w:tcBorders>
            <w:shd w:val="clear" w:color="auto" w:fill="auto"/>
            <w:noWrap/>
            <w:vAlign w:val="center"/>
            <w:hideMark/>
          </w:tcPr>
          <w:p w14:paraId="4185B72B"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16,7</w:t>
            </w:r>
          </w:p>
        </w:tc>
      </w:tr>
      <w:tr w:rsidR="009A2A34" w:rsidRPr="007B4F58" w14:paraId="2AD3A429" w14:textId="77777777" w:rsidTr="00CC1F9E">
        <w:trPr>
          <w:trHeight w:val="272"/>
        </w:trPr>
        <w:tc>
          <w:tcPr>
            <w:tcW w:w="3686" w:type="dxa"/>
            <w:tcBorders>
              <w:top w:val="nil"/>
              <w:left w:val="nil"/>
              <w:bottom w:val="nil"/>
              <w:right w:val="nil"/>
            </w:tcBorders>
            <w:shd w:val="clear" w:color="auto" w:fill="auto"/>
            <w:noWrap/>
            <w:vAlign w:val="center"/>
            <w:hideMark/>
          </w:tcPr>
          <w:p w14:paraId="0290E093"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 Naturálne sociálne transfery</w:t>
            </w:r>
          </w:p>
        </w:tc>
        <w:tc>
          <w:tcPr>
            <w:tcW w:w="850" w:type="dxa"/>
            <w:tcBorders>
              <w:top w:val="nil"/>
              <w:left w:val="single" w:sz="8" w:space="0" w:color="auto"/>
              <w:bottom w:val="nil"/>
              <w:right w:val="single" w:sz="8" w:space="0" w:color="auto"/>
            </w:tcBorders>
            <w:shd w:val="clear" w:color="auto" w:fill="auto"/>
            <w:noWrap/>
            <w:vAlign w:val="center"/>
            <w:hideMark/>
          </w:tcPr>
          <w:p w14:paraId="0B0429B8" w14:textId="77777777" w:rsidR="009A2A34" w:rsidRPr="007B4F58" w:rsidRDefault="009A2A34" w:rsidP="00CC1F9E">
            <w:pPr>
              <w:jc w:val="center"/>
              <w:rPr>
                <w:rFonts w:cs="Calibri"/>
                <w:color w:val="000000"/>
                <w:sz w:val="18"/>
                <w:szCs w:val="18"/>
              </w:rPr>
            </w:pPr>
            <w:r w:rsidRPr="007B4F58">
              <w:rPr>
                <w:rFonts w:cs="Calibri"/>
                <w:color w:val="000000"/>
                <w:sz w:val="18"/>
                <w:szCs w:val="18"/>
              </w:rPr>
              <w:t>3,4</w:t>
            </w:r>
          </w:p>
        </w:tc>
        <w:tc>
          <w:tcPr>
            <w:tcW w:w="802" w:type="dxa"/>
            <w:tcBorders>
              <w:top w:val="nil"/>
              <w:left w:val="nil"/>
              <w:bottom w:val="nil"/>
              <w:right w:val="single" w:sz="8" w:space="0" w:color="auto"/>
            </w:tcBorders>
            <w:shd w:val="clear" w:color="auto" w:fill="auto"/>
            <w:noWrap/>
            <w:vAlign w:val="center"/>
            <w:hideMark/>
          </w:tcPr>
          <w:p w14:paraId="39C121CF" w14:textId="77777777" w:rsidR="009A2A34" w:rsidRPr="007B4F58" w:rsidRDefault="009A2A34" w:rsidP="00CC1F9E">
            <w:pPr>
              <w:jc w:val="center"/>
              <w:rPr>
                <w:rFonts w:cs="Calibri"/>
                <w:color w:val="000000"/>
                <w:sz w:val="18"/>
                <w:szCs w:val="18"/>
              </w:rPr>
            </w:pPr>
            <w:r w:rsidRPr="007B4F58">
              <w:rPr>
                <w:rFonts w:cs="Calibri"/>
                <w:color w:val="000000"/>
                <w:sz w:val="18"/>
                <w:szCs w:val="18"/>
              </w:rPr>
              <w:t>3,4</w:t>
            </w:r>
          </w:p>
        </w:tc>
        <w:tc>
          <w:tcPr>
            <w:tcW w:w="915" w:type="dxa"/>
            <w:tcBorders>
              <w:top w:val="nil"/>
              <w:left w:val="nil"/>
              <w:bottom w:val="nil"/>
              <w:right w:val="single" w:sz="8" w:space="0" w:color="auto"/>
            </w:tcBorders>
            <w:shd w:val="clear" w:color="auto" w:fill="auto"/>
            <w:noWrap/>
            <w:vAlign w:val="center"/>
            <w:hideMark/>
          </w:tcPr>
          <w:p w14:paraId="413AC1E1" w14:textId="77777777" w:rsidR="009A2A34" w:rsidRPr="007B4F58" w:rsidRDefault="009A2A34" w:rsidP="00CC1F9E">
            <w:pPr>
              <w:jc w:val="center"/>
              <w:rPr>
                <w:rFonts w:cs="Calibri"/>
                <w:color w:val="000000"/>
                <w:sz w:val="18"/>
                <w:szCs w:val="18"/>
              </w:rPr>
            </w:pPr>
            <w:r w:rsidRPr="007B4F58">
              <w:rPr>
                <w:rFonts w:cs="Calibri"/>
                <w:color w:val="000000"/>
                <w:sz w:val="18"/>
                <w:szCs w:val="18"/>
              </w:rPr>
              <w:t>3,8</w:t>
            </w:r>
          </w:p>
        </w:tc>
        <w:tc>
          <w:tcPr>
            <w:tcW w:w="922" w:type="dxa"/>
            <w:tcBorders>
              <w:top w:val="nil"/>
              <w:left w:val="nil"/>
              <w:bottom w:val="nil"/>
              <w:right w:val="nil"/>
            </w:tcBorders>
            <w:shd w:val="clear" w:color="auto" w:fill="auto"/>
            <w:noWrap/>
            <w:vAlign w:val="center"/>
            <w:hideMark/>
          </w:tcPr>
          <w:p w14:paraId="062CAE6E"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3,8</w:t>
            </w:r>
          </w:p>
        </w:tc>
        <w:tc>
          <w:tcPr>
            <w:tcW w:w="930" w:type="dxa"/>
            <w:tcBorders>
              <w:top w:val="nil"/>
              <w:left w:val="nil"/>
              <w:bottom w:val="nil"/>
              <w:right w:val="nil"/>
            </w:tcBorders>
            <w:shd w:val="clear" w:color="auto" w:fill="auto"/>
            <w:noWrap/>
            <w:vAlign w:val="center"/>
            <w:hideMark/>
          </w:tcPr>
          <w:p w14:paraId="7B2C75B1"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3,8</w:t>
            </w:r>
          </w:p>
        </w:tc>
        <w:tc>
          <w:tcPr>
            <w:tcW w:w="930" w:type="dxa"/>
            <w:tcBorders>
              <w:top w:val="nil"/>
              <w:left w:val="nil"/>
              <w:bottom w:val="nil"/>
              <w:right w:val="nil"/>
            </w:tcBorders>
            <w:shd w:val="clear" w:color="auto" w:fill="auto"/>
            <w:noWrap/>
            <w:vAlign w:val="center"/>
            <w:hideMark/>
          </w:tcPr>
          <w:p w14:paraId="73AC0F4B"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3,9</w:t>
            </w:r>
          </w:p>
        </w:tc>
      </w:tr>
      <w:tr w:rsidR="009A2A34" w:rsidRPr="007B4F58" w14:paraId="75361232" w14:textId="77777777" w:rsidTr="00CC1F9E">
        <w:trPr>
          <w:trHeight w:val="272"/>
        </w:trPr>
        <w:tc>
          <w:tcPr>
            <w:tcW w:w="3686" w:type="dxa"/>
            <w:tcBorders>
              <w:top w:val="nil"/>
              <w:left w:val="nil"/>
              <w:bottom w:val="nil"/>
              <w:right w:val="nil"/>
            </w:tcBorders>
            <w:shd w:val="clear" w:color="auto" w:fill="auto"/>
            <w:noWrap/>
            <w:vAlign w:val="center"/>
            <w:hideMark/>
          </w:tcPr>
          <w:p w14:paraId="144D92BD"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Ostatné bežné transfery</w:t>
            </w:r>
          </w:p>
        </w:tc>
        <w:tc>
          <w:tcPr>
            <w:tcW w:w="850" w:type="dxa"/>
            <w:tcBorders>
              <w:top w:val="nil"/>
              <w:left w:val="single" w:sz="8" w:space="0" w:color="auto"/>
              <w:bottom w:val="nil"/>
              <w:right w:val="single" w:sz="8" w:space="0" w:color="auto"/>
            </w:tcBorders>
            <w:shd w:val="clear" w:color="auto" w:fill="auto"/>
            <w:noWrap/>
            <w:vAlign w:val="center"/>
            <w:hideMark/>
          </w:tcPr>
          <w:p w14:paraId="7F0307F7" w14:textId="77777777" w:rsidR="009A2A34" w:rsidRPr="007B4F58" w:rsidRDefault="009A2A34" w:rsidP="00CC1F9E">
            <w:pPr>
              <w:jc w:val="center"/>
              <w:rPr>
                <w:rFonts w:cs="Calibri"/>
                <w:color w:val="000000"/>
                <w:sz w:val="18"/>
                <w:szCs w:val="18"/>
              </w:rPr>
            </w:pPr>
            <w:r w:rsidRPr="007B4F58">
              <w:rPr>
                <w:rFonts w:cs="Calibri"/>
                <w:color w:val="000000"/>
                <w:sz w:val="18"/>
                <w:szCs w:val="18"/>
              </w:rPr>
              <w:t>1,8</w:t>
            </w:r>
          </w:p>
        </w:tc>
        <w:tc>
          <w:tcPr>
            <w:tcW w:w="802" w:type="dxa"/>
            <w:tcBorders>
              <w:top w:val="nil"/>
              <w:left w:val="nil"/>
              <w:bottom w:val="nil"/>
              <w:right w:val="single" w:sz="8" w:space="0" w:color="auto"/>
            </w:tcBorders>
            <w:shd w:val="clear" w:color="auto" w:fill="auto"/>
            <w:noWrap/>
            <w:vAlign w:val="center"/>
            <w:hideMark/>
          </w:tcPr>
          <w:p w14:paraId="32558E7C" w14:textId="77777777" w:rsidR="009A2A34" w:rsidRPr="007B4F58" w:rsidRDefault="009A2A34" w:rsidP="00CC1F9E">
            <w:pPr>
              <w:jc w:val="center"/>
              <w:rPr>
                <w:rFonts w:cs="Calibri"/>
                <w:color w:val="000000"/>
                <w:sz w:val="18"/>
                <w:szCs w:val="18"/>
              </w:rPr>
            </w:pPr>
            <w:r w:rsidRPr="007B4F58">
              <w:rPr>
                <w:rFonts w:cs="Calibri"/>
                <w:color w:val="000000"/>
                <w:sz w:val="18"/>
                <w:szCs w:val="18"/>
              </w:rPr>
              <w:t>2,0</w:t>
            </w:r>
          </w:p>
        </w:tc>
        <w:tc>
          <w:tcPr>
            <w:tcW w:w="915" w:type="dxa"/>
            <w:tcBorders>
              <w:top w:val="nil"/>
              <w:left w:val="nil"/>
              <w:bottom w:val="nil"/>
              <w:right w:val="single" w:sz="8" w:space="0" w:color="auto"/>
            </w:tcBorders>
            <w:shd w:val="clear" w:color="auto" w:fill="auto"/>
            <w:noWrap/>
            <w:vAlign w:val="center"/>
            <w:hideMark/>
          </w:tcPr>
          <w:p w14:paraId="1747F95A" w14:textId="77777777" w:rsidR="009A2A34" w:rsidRPr="007B4F58" w:rsidRDefault="009A2A34" w:rsidP="00CC1F9E">
            <w:pPr>
              <w:jc w:val="center"/>
              <w:rPr>
                <w:rFonts w:cs="Calibri"/>
                <w:color w:val="000000"/>
                <w:sz w:val="18"/>
                <w:szCs w:val="18"/>
              </w:rPr>
            </w:pPr>
            <w:r w:rsidRPr="007B4F58">
              <w:rPr>
                <w:rFonts w:cs="Calibri"/>
                <w:color w:val="000000"/>
                <w:sz w:val="18"/>
                <w:szCs w:val="18"/>
              </w:rPr>
              <w:t>2,0</w:t>
            </w:r>
          </w:p>
        </w:tc>
        <w:tc>
          <w:tcPr>
            <w:tcW w:w="922" w:type="dxa"/>
            <w:tcBorders>
              <w:top w:val="nil"/>
              <w:left w:val="nil"/>
              <w:bottom w:val="nil"/>
              <w:right w:val="nil"/>
            </w:tcBorders>
            <w:shd w:val="clear" w:color="auto" w:fill="auto"/>
            <w:noWrap/>
            <w:vAlign w:val="center"/>
            <w:hideMark/>
          </w:tcPr>
          <w:p w14:paraId="3F359E0E"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1,9</w:t>
            </w:r>
          </w:p>
        </w:tc>
        <w:tc>
          <w:tcPr>
            <w:tcW w:w="930" w:type="dxa"/>
            <w:tcBorders>
              <w:top w:val="nil"/>
              <w:left w:val="nil"/>
              <w:bottom w:val="nil"/>
              <w:right w:val="nil"/>
            </w:tcBorders>
            <w:shd w:val="clear" w:color="auto" w:fill="auto"/>
            <w:noWrap/>
            <w:vAlign w:val="center"/>
            <w:hideMark/>
          </w:tcPr>
          <w:p w14:paraId="06FD46F2"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2,2</w:t>
            </w:r>
          </w:p>
        </w:tc>
        <w:tc>
          <w:tcPr>
            <w:tcW w:w="930" w:type="dxa"/>
            <w:tcBorders>
              <w:top w:val="nil"/>
              <w:left w:val="nil"/>
              <w:bottom w:val="nil"/>
              <w:right w:val="nil"/>
            </w:tcBorders>
            <w:shd w:val="clear" w:color="auto" w:fill="auto"/>
            <w:noWrap/>
            <w:vAlign w:val="center"/>
            <w:hideMark/>
          </w:tcPr>
          <w:p w14:paraId="3D976CC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2,2</w:t>
            </w:r>
          </w:p>
        </w:tc>
      </w:tr>
      <w:tr w:rsidR="009A2A34" w:rsidRPr="007B4F58" w14:paraId="2D8A4992" w14:textId="77777777" w:rsidTr="00CC1F9E">
        <w:trPr>
          <w:trHeight w:val="287"/>
        </w:trPr>
        <w:tc>
          <w:tcPr>
            <w:tcW w:w="3686" w:type="dxa"/>
            <w:tcBorders>
              <w:top w:val="nil"/>
              <w:left w:val="nil"/>
              <w:bottom w:val="single" w:sz="8" w:space="0" w:color="auto"/>
              <w:right w:val="nil"/>
            </w:tcBorders>
            <w:shd w:val="clear" w:color="auto" w:fill="auto"/>
            <w:noWrap/>
            <w:vAlign w:val="center"/>
            <w:hideMark/>
          </w:tcPr>
          <w:p w14:paraId="3664EF91" w14:textId="77777777" w:rsidR="009A2A34" w:rsidRPr="007B4F58" w:rsidRDefault="009A2A34" w:rsidP="00CC1F9E">
            <w:pPr>
              <w:rPr>
                <w:rFonts w:cs="Calibri"/>
                <w:b/>
                <w:bCs/>
                <w:color w:val="000000"/>
                <w:sz w:val="16"/>
                <w:szCs w:val="16"/>
              </w:rPr>
            </w:pPr>
            <w:r w:rsidRPr="007B4F58">
              <w:rPr>
                <w:rFonts w:cs="Calibri"/>
                <w:b/>
                <w:bCs/>
                <w:color w:val="000000"/>
                <w:sz w:val="16"/>
                <w:szCs w:val="16"/>
              </w:rPr>
              <w:t xml:space="preserve"> Kapitálové výdavky</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59475AA0" w14:textId="77777777" w:rsidR="009A2A34" w:rsidRPr="007B4F58" w:rsidRDefault="009A2A34" w:rsidP="00CC1F9E">
            <w:pPr>
              <w:jc w:val="center"/>
              <w:rPr>
                <w:rFonts w:cs="Calibri"/>
                <w:color w:val="000000"/>
                <w:sz w:val="18"/>
                <w:szCs w:val="18"/>
              </w:rPr>
            </w:pPr>
            <w:r w:rsidRPr="007B4F58">
              <w:rPr>
                <w:rFonts w:cs="Calibri"/>
                <w:color w:val="000000"/>
                <w:sz w:val="18"/>
                <w:szCs w:val="18"/>
              </w:rPr>
              <w:t>3,8</w:t>
            </w:r>
          </w:p>
        </w:tc>
        <w:tc>
          <w:tcPr>
            <w:tcW w:w="802" w:type="dxa"/>
            <w:tcBorders>
              <w:top w:val="nil"/>
              <w:left w:val="nil"/>
              <w:bottom w:val="single" w:sz="8" w:space="0" w:color="auto"/>
              <w:right w:val="single" w:sz="8" w:space="0" w:color="auto"/>
            </w:tcBorders>
            <w:shd w:val="clear" w:color="auto" w:fill="auto"/>
            <w:noWrap/>
            <w:vAlign w:val="center"/>
            <w:hideMark/>
          </w:tcPr>
          <w:p w14:paraId="216C9ADF" w14:textId="77777777" w:rsidR="009A2A34" w:rsidRPr="007B4F58" w:rsidRDefault="009A2A34" w:rsidP="00CC1F9E">
            <w:pPr>
              <w:jc w:val="center"/>
              <w:rPr>
                <w:rFonts w:cs="Calibri"/>
                <w:color w:val="000000"/>
                <w:sz w:val="18"/>
                <w:szCs w:val="18"/>
              </w:rPr>
            </w:pPr>
            <w:r w:rsidRPr="007B4F58">
              <w:rPr>
                <w:rFonts w:cs="Calibri"/>
                <w:color w:val="000000"/>
                <w:sz w:val="18"/>
                <w:szCs w:val="18"/>
              </w:rPr>
              <w:t>5,0</w:t>
            </w:r>
          </w:p>
        </w:tc>
        <w:tc>
          <w:tcPr>
            <w:tcW w:w="915" w:type="dxa"/>
            <w:tcBorders>
              <w:top w:val="nil"/>
              <w:left w:val="nil"/>
              <w:bottom w:val="single" w:sz="8" w:space="0" w:color="auto"/>
              <w:right w:val="single" w:sz="8" w:space="0" w:color="auto"/>
            </w:tcBorders>
            <w:shd w:val="clear" w:color="auto" w:fill="auto"/>
            <w:noWrap/>
            <w:vAlign w:val="center"/>
            <w:hideMark/>
          </w:tcPr>
          <w:p w14:paraId="5E7E2252" w14:textId="77777777" w:rsidR="009A2A34" w:rsidRPr="007B4F58" w:rsidRDefault="009A2A34" w:rsidP="00CC1F9E">
            <w:pPr>
              <w:jc w:val="center"/>
              <w:rPr>
                <w:rFonts w:cs="Calibri"/>
                <w:color w:val="000000"/>
                <w:sz w:val="18"/>
                <w:szCs w:val="18"/>
              </w:rPr>
            </w:pPr>
            <w:r w:rsidRPr="007B4F58">
              <w:rPr>
                <w:rFonts w:cs="Calibri"/>
                <w:color w:val="000000"/>
                <w:sz w:val="18"/>
                <w:szCs w:val="18"/>
              </w:rPr>
              <w:t>4,6</w:t>
            </w:r>
          </w:p>
        </w:tc>
        <w:tc>
          <w:tcPr>
            <w:tcW w:w="922" w:type="dxa"/>
            <w:tcBorders>
              <w:top w:val="nil"/>
              <w:left w:val="nil"/>
              <w:bottom w:val="single" w:sz="8" w:space="0" w:color="auto"/>
              <w:right w:val="nil"/>
            </w:tcBorders>
            <w:shd w:val="clear" w:color="auto" w:fill="auto"/>
            <w:noWrap/>
            <w:vAlign w:val="center"/>
            <w:hideMark/>
          </w:tcPr>
          <w:p w14:paraId="27F77E4E"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4,7</w:t>
            </w:r>
          </w:p>
        </w:tc>
        <w:tc>
          <w:tcPr>
            <w:tcW w:w="930" w:type="dxa"/>
            <w:tcBorders>
              <w:top w:val="nil"/>
              <w:left w:val="nil"/>
              <w:bottom w:val="single" w:sz="8" w:space="0" w:color="auto"/>
              <w:right w:val="nil"/>
            </w:tcBorders>
            <w:shd w:val="clear" w:color="auto" w:fill="auto"/>
            <w:noWrap/>
            <w:vAlign w:val="center"/>
            <w:hideMark/>
          </w:tcPr>
          <w:p w14:paraId="5CB539FF"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3,4</w:t>
            </w:r>
          </w:p>
        </w:tc>
        <w:tc>
          <w:tcPr>
            <w:tcW w:w="930" w:type="dxa"/>
            <w:tcBorders>
              <w:top w:val="nil"/>
              <w:left w:val="nil"/>
              <w:bottom w:val="single" w:sz="8" w:space="0" w:color="auto"/>
              <w:right w:val="nil"/>
            </w:tcBorders>
            <w:shd w:val="clear" w:color="auto" w:fill="auto"/>
            <w:noWrap/>
            <w:vAlign w:val="center"/>
            <w:hideMark/>
          </w:tcPr>
          <w:p w14:paraId="2F7EC64D"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3,1</w:t>
            </w:r>
          </w:p>
        </w:tc>
      </w:tr>
      <w:tr w:rsidR="009A2A34" w:rsidRPr="007B4F58" w14:paraId="7DB6A936" w14:textId="77777777" w:rsidTr="00CC1F9E">
        <w:trPr>
          <w:trHeight w:val="272"/>
        </w:trPr>
        <w:tc>
          <w:tcPr>
            <w:tcW w:w="3686" w:type="dxa"/>
            <w:tcBorders>
              <w:top w:val="nil"/>
              <w:left w:val="nil"/>
              <w:bottom w:val="nil"/>
              <w:right w:val="nil"/>
            </w:tcBorders>
            <w:shd w:val="clear" w:color="auto" w:fill="auto"/>
            <w:noWrap/>
            <w:vAlign w:val="center"/>
            <w:hideMark/>
          </w:tcPr>
          <w:p w14:paraId="2D353876"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Kapitálové investície</w:t>
            </w:r>
          </w:p>
        </w:tc>
        <w:tc>
          <w:tcPr>
            <w:tcW w:w="850" w:type="dxa"/>
            <w:tcBorders>
              <w:top w:val="nil"/>
              <w:left w:val="single" w:sz="8" w:space="0" w:color="auto"/>
              <w:bottom w:val="nil"/>
              <w:right w:val="single" w:sz="8" w:space="0" w:color="auto"/>
            </w:tcBorders>
            <w:shd w:val="clear" w:color="auto" w:fill="auto"/>
            <w:noWrap/>
            <w:vAlign w:val="center"/>
            <w:hideMark/>
          </w:tcPr>
          <w:p w14:paraId="6DC3D936" w14:textId="77777777" w:rsidR="009A2A34" w:rsidRPr="007B4F58" w:rsidRDefault="009A2A34" w:rsidP="00CC1F9E">
            <w:pPr>
              <w:jc w:val="center"/>
              <w:rPr>
                <w:rFonts w:cs="Calibri"/>
                <w:color w:val="000000"/>
                <w:sz w:val="18"/>
                <w:szCs w:val="18"/>
              </w:rPr>
            </w:pPr>
            <w:r w:rsidRPr="007B4F58">
              <w:rPr>
                <w:rFonts w:cs="Calibri"/>
                <w:color w:val="000000"/>
                <w:sz w:val="18"/>
                <w:szCs w:val="18"/>
              </w:rPr>
              <w:t>3,1</w:t>
            </w:r>
          </w:p>
        </w:tc>
        <w:tc>
          <w:tcPr>
            <w:tcW w:w="802" w:type="dxa"/>
            <w:tcBorders>
              <w:top w:val="nil"/>
              <w:left w:val="nil"/>
              <w:bottom w:val="nil"/>
              <w:right w:val="single" w:sz="8" w:space="0" w:color="auto"/>
            </w:tcBorders>
            <w:shd w:val="clear" w:color="auto" w:fill="auto"/>
            <w:noWrap/>
            <w:vAlign w:val="center"/>
            <w:hideMark/>
          </w:tcPr>
          <w:p w14:paraId="0D70DE5D" w14:textId="77777777" w:rsidR="009A2A34" w:rsidRPr="007B4F58" w:rsidRDefault="009A2A34" w:rsidP="00CC1F9E">
            <w:pPr>
              <w:jc w:val="center"/>
              <w:rPr>
                <w:rFonts w:cs="Calibri"/>
                <w:color w:val="000000"/>
                <w:sz w:val="18"/>
                <w:szCs w:val="18"/>
              </w:rPr>
            </w:pPr>
            <w:r w:rsidRPr="007B4F58">
              <w:rPr>
                <w:rFonts w:cs="Calibri"/>
                <w:color w:val="000000"/>
                <w:sz w:val="18"/>
                <w:szCs w:val="18"/>
              </w:rPr>
              <w:t>4,9</w:t>
            </w:r>
          </w:p>
        </w:tc>
        <w:tc>
          <w:tcPr>
            <w:tcW w:w="915" w:type="dxa"/>
            <w:tcBorders>
              <w:top w:val="nil"/>
              <w:left w:val="nil"/>
              <w:bottom w:val="nil"/>
              <w:right w:val="single" w:sz="8" w:space="0" w:color="auto"/>
            </w:tcBorders>
            <w:shd w:val="clear" w:color="auto" w:fill="auto"/>
            <w:noWrap/>
            <w:vAlign w:val="center"/>
            <w:hideMark/>
          </w:tcPr>
          <w:p w14:paraId="3E0F3F12" w14:textId="77777777" w:rsidR="009A2A34" w:rsidRPr="007B4F58" w:rsidRDefault="009A2A34" w:rsidP="00CC1F9E">
            <w:pPr>
              <w:jc w:val="center"/>
              <w:rPr>
                <w:rFonts w:cs="Calibri"/>
                <w:color w:val="000000"/>
                <w:sz w:val="18"/>
                <w:szCs w:val="18"/>
              </w:rPr>
            </w:pPr>
            <w:r w:rsidRPr="007B4F58">
              <w:rPr>
                <w:rFonts w:cs="Calibri"/>
                <w:color w:val="000000"/>
                <w:sz w:val="18"/>
                <w:szCs w:val="18"/>
              </w:rPr>
              <w:t>3,8</w:t>
            </w:r>
          </w:p>
        </w:tc>
        <w:tc>
          <w:tcPr>
            <w:tcW w:w="922" w:type="dxa"/>
            <w:tcBorders>
              <w:top w:val="nil"/>
              <w:left w:val="nil"/>
              <w:bottom w:val="nil"/>
              <w:right w:val="nil"/>
            </w:tcBorders>
            <w:shd w:val="clear" w:color="auto" w:fill="auto"/>
            <w:noWrap/>
            <w:vAlign w:val="center"/>
            <w:hideMark/>
          </w:tcPr>
          <w:p w14:paraId="69F37299"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4,1</w:t>
            </w:r>
          </w:p>
        </w:tc>
        <w:tc>
          <w:tcPr>
            <w:tcW w:w="930" w:type="dxa"/>
            <w:tcBorders>
              <w:top w:val="nil"/>
              <w:left w:val="nil"/>
              <w:bottom w:val="nil"/>
              <w:right w:val="nil"/>
            </w:tcBorders>
            <w:shd w:val="clear" w:color="auto" w:fill="auto"/>
            <w:noWrap/>
            <w:vAlign w:val="center"/>
            <w:hideMark/>
          </w:tcPr>
          <w:p w14:paraId="3B80485A"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3,0</w:t>
            </w:r>
          </w:p>
        </w:tc>
        <w:tc>
          <w:tcPr>
            <w:tcW w:w="930" w:type="dxa"/>
            <w:tcBorders>
              <w:top w:val="nil"/>
              <w:left w:val="nil"/>
              <w:bottom w:val="nil"/>
              <w:right w:val="nil"/>
            </w:tcBorders>
            <w:shd w:val="clear" w:color="auto" w:fill="auto"/>
            <w:noWrap/>
            <w:vAlign w:val="center"/>
            <w:hideMark/>
          </w:tcPr>
          <w:p w14:paraId="43646655"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2,7</w:t>
            </w:r>
          </w:p>
        </w:tc>
      </w:tr>
      <w:tr w:rsidR="009A2A34" w:rsidRPr="007B4F58" w14:paraId="50CAF879" w14:textId="77777777" w:rsidTr="00CC1F9E">
        <w:trPr>
          <w:trHeight w:val="272"/>
        </w:trPr>
        <w:tc>
          <w:tcPr>
            <w:tcW w:w="3686" w:type="dxa"/>
            <w:tcBorders>
              <w:top w:val="nil"/>
              <w:left w:val="nil"/>
              <w:bottom w:val="nil"/>
              <w:right w:val="nil"/>
            </w:tcBorders>
            <w:shd w:val="clear" w:color="auto" w:fill="auto"/>
            <w:noWrap/>
            <w:vAlign w:val="center"/>
            <w:hideMark/>
          </w:tcPr>
          <w:p w14:paraId="638670C1"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 Tvorba hrubého fixného kapitálu</w:t>
            </w:r>
          </w:p>
        </w:tc>
        <w:tc>
          <w:tcPr>
            <w:tcW w:w="850" w:type="dxa"/>
            <w:tcBorders>
              <w:top w:val="nil"/>
              <w:left w:val="single" w:sz="8" w:space="0" w:color="auto"/>
              <w:bottom w:val="nil"/>
              <w:right w:val="single" w:sz="8" w:space="0" w:color="auto"/>
            </w:tcBorders>
            <w:shd w:val="clear" w:color="auto" w:fill="auto"/>
            <w:noWrap/>
            <w:vAlign w:val="center"/>
            <w:hideMark/>
          </w:tcPr>
          <w:p w14:paraId="37A08AEF" w14:textId="77777777" w:rsidR="009A2A34" w:rsidRPr="007B4F58" w:rsidRDefault="009A2A34" w:rsidP="00CC1F9E">
            <w:pPr>
              <w:jc w:val="center"/>
              <w:rPr>
                <w:rFonts w:cs="Calibri"/>
                <w:color w:val="000000"/>
                <w:sz w:val="18"/>
                <w:szCs w:val="18"/>
              </w:rPr>
            </w:pPr>
            <w:r w:rsidRPr="007B4F58">
              <w:rPr>
                <w:rFonts w:cs="Calibri"/>
                <w:color w:val="000000"/>
                <w:sz w:val="18"/>
                <w:szCs w:val="18"/>
              </w:rPr>
              <w:t>3,1</w:t>
            </w:r>
          </w:p>
        </w:tc>
        <w:tc>
          <w:tcPr>
            <w:tcW w:w="802" w:type="dxa"/>
            <w:tcBorders>
              <w:top w:val="nil"/>
              <w:left w:val="nil"/>
              <w:bottom w:val="nil"/>
              <w:right w:val="single" w:sz="8" w:space="0" w:color="auto"/>
            </w:tcBorders>
            <w:shd w:val="clear" w:color="auto" w:fill="auto"/>
            <w:noWrap/>
            <w:vAlign w:val="center"/>
            <w:hideMark/>
          </w:tcPr>
          <w:p w14:paraId="24FEBF1A" w14:textId="77777777" w:rsidR="009A2A34" w:rsidRPr="007B4F58" w:rsidRDefault="009A2A34" w:rsidP="00CC1F9E">
            <w:pPr>
              <w:jc w:val="center"/>
              <w:rPr>
                <w:rFonts w:cs="Calibri"/>
                <w:color w:val="000000"/>
                <w:sz w:val="18"/>
                <w:szCs w:val="18"/>
              </w:rPr>
            </w:pPr>
            <w:r w:rsidRPr="007B4F58">
              <w:rPr>
                <w:rFonts w:cs="Calibri"/>
                <w:color w:val="000000"/>
                <w:sz w:val="18"/>
                <w:szCs w:val="18"/>
              </w:rPr>
              <w:t>4,7</w:t>
            </w:r>
          </w:p>
        </w:tc>
        <w:tc>
          <w:tcPr>
            <w:tcW w:w="915" w:type="dxa"/>
            <w:tcBorders>
              <w:top w:val="nil"/>
              <w:left w:val="nil"/>
              <w:bottom w:val="nil"/>
              <w:right w:val="single" w:sz="8" w:space="0" w:color="auto"/>
            </w:tcBorders>
            <w:shd w:val="clear" w:color="auto" w:fill="auto"/>
            <w:noWrap/>
            <w:vAlign w:val="center"/>
            <w:hideMark/>
          </w:tcPr>
          <w:p w14:paraId="5BF61ED6" w14:textId="77777777" w:rsidR="009A2A34" w:rsidRPr="007B4F58" w:rsidRDefault="009A2A34" w:rsidP="00CC1F9E">
            <w:pPr>
              <w:jc w:val="center"/>
              <w:rPr>
                <w:rFonts w:cs="Calibri"/>
                <w:color w:val="000000"/>
                <w:sz w:val="18"/>
                <w:szCs w:val="18"/>
              </w:rPr>
            </w:pPr>
            <w:r w:rsidRPr="007B4F58">
              <w:rPr>
                <w:rFonts w:cs="Calibri"/>
                <w:color w:val="000000"/>
                <w:sz w:val="18"/>
                <w:szCs w:val="18"/>
              </w:rPr>
              <w:t>3,7</w:t>
            </w:r>
          </w:p>
        </w:tc>
        <w:tc>
          <w:tcPr>
            <w:tcW w:w="922" w:type="dxa"/>
            <w:tcBorders>
              <w:top w:val="nil"/>
              <w:left w:val="nil"/>
              <w:bottom w:val="nil"/>
              <w:right w:val="nil"/>
            </w:tcBorders>
            <w:shd w:val="clear" w:color="auto" w:fill="auto"/>
            <w:noWrap/>
            <w:vAlign w:val="center"/>
            <w:hideMark/>
          </w:tcPr>
          <w:p w14:paraId="0C09E225"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4,0</w:t>
            </w:r>
          </w:p>
        </w:tc>
        <w:tc>
          <w:tcPr>
            <w:tcW w:w="930" w:type="dxa"/>
            <w:tcBorders>
              <w:top w:val="nil"/>
              <w:left w:val="nil"/>
              <w:bottom w:val="nil"/>
              <w:right w:val="nil"/>
            </w:tcBorders>
            <w:shd w:val="clear" w:color="auto" w:fill="auto"/>
            <w:noWrap/>
            <w:vAlign w:val="center"/>
            <w:hideMark/>
          </w:tcPr>
          <w:p w14:paraId="72355638"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2,9</w:t>
            </w:r>
          </w:p>
        </w:tc>
        <w:tc>
          <w:tcPr>
            <w:tcW w:w="930" w:type="dxa"/>
            <w:tcBorders>
              <w:top w:val="nil"/>
              <w:left w:val="nil"/>
              <w:bottom w:val="nil"/>
              <w:right w:val="nil"/>
            </w:tcBorders>
            <w:shd w:val="clear" w:color="auto" w:fill="auto"/>
            <w:noWrap/>
            <w:vAlign w:val="center"/>
            <w:hideMark/>
          </w:tcPr>
          <w:p w14:paraId="033985B4"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2,6</w:t>
            </w:r>
          </w:p>
        </w:tc>
      </w:tr>
      <w:tr w:rsidR="009A2A34" w:rsidRPr="007B4F58" w14:paraId="67D78B04" w14:textId="77777777" w:rsidTr="00CC1F9E">
        <w:trPr>
          <w:trHeight w:val="287"/>
        </w:trPr>
        <w:tc>
          <w:tcPr>
            <w:tcW w:w="3686" w:type="dxa"/>
            <w:tcBorders>
              <w:top w:val="nil"/>
              <w:left w:val="nil"/>
              <w:bottom w:val="single" w:sz="8" w:space="0" w:color="auto"/>
              <w:right w:val="nil"/>
            </w:tcBorders>
            <w:shd w:val="clear" w:color="auto" w:fill="auto"/>
            <w:noWrap/>
            <w:vAlign w:val="center"/>
            <w:hideMark/>
          </w:tcPr>
          <w:p w14:paraId="15AB08A3" w14:textId="77777777" w:rsidR="009A2A34" w:rsidRPr="007B4F58" w:rsidRDefault="009A2A34" w:rsidP="00CC1F9E">
            <w:pPr>
              <w:rPr>
                <w:rFonts w:cs="Calibri"/>
                <w:color w:val="000000"/>
                <w:sz w:val="16"/>
                <w:szCs w:val="16"/>
              </w:rPr>
            </w:pPr>
            <w:r w:rsidRPr="007B4F58">
              <w:rPr>
                <w:rFonts w:cs="Calibri"/>
                <w:color w:val="000000"/>
                <w:sz w:val="16"/>
                <w:szCs w:val="16"/>
              </w:rPr>
              <w:t xml:space="preserve">    Kapitálové transfery</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5D77150D" w14:textId="77777777" w:rsidR="009A2A34" w:rsidRPr="007B4F58" w:rsidRDefault="009A2A34" w:rsidP="00CC1F9E">
            <w:pPr>
              <w:jc w:val="center"/>
              <w:rPr>
                <w:rFonts w:cs="Calibri"/>
                <w:color w:val="000000"/>
                <w:sz w:val="18"/>
                <w:szCs w:val="18"/>
              </w:rPr>
            </w:pPr>
            <w:r w:rsidRPr="007B4F58">
              <w:rPr>
                <w:rFonts w:cs="Calibri"/>
                <w:color w:val="000000"/>
                <w:sz w:val="18"/>
                <w:szCs w:val="18"/>
              </w:rPr>
              <w:t>0,7</w:t>
            </w:r>
          </w:p>
        </w:tc>
        <w:tc>
          <w:tcPr>
            <w:tcW w:w="802" w:type="dxa"/>
            <w:tcBorders>
              <w:top w:val="nil"/>
              <w:left w:val="nil"/>
              <w:bottom w:val="single" w:sz="8" w:space="0" w:color="auto"/>
              <w:right w:val="single" w:sz="8" w:space="0" w:color="auto"/>
            </w:tcBorders>
            <w:shd w:val="clear" w:color="auto" w:fill="auto"/>
            <w:noWrap/>
            <w:vAlign w:val="center"/>
            <w:hideMark/>
          </w:tcPr>
          <w:p w14:paraId="3C6F8AA2" w14:textId="77777777" w:rsidR="009A2A34" w:rsidRPr="007B4F58" w:rsidRDefault="009A2A34" w:rsidP="00CC1F9E">
            <w:pPr>
              <w:jc w:val="center"/>
              <w:rPr>
                <w:rFonts w:cs="Calibri"/>
                <w:color w:val="000000"/>
                <w:sz w:val="18"/>
                <w:szCs w:val="18"/>
              </w:rPr>
            </w:pPr>
            <w:r w:rsidRPr="007B4F58">
              <w:rPr>
                <w:rFonts w:cs="Calibri"/>
                <w:color w:val="000000"/>
                <w:sz w:val="18"/>
                <w:szCs w:val="18"/>
              </w:rPr>
              <w:t>0,2</w:t>
            </w:r>
          </w:p>
        </w:tc>
        <w:tc>
          <w:tcPr>
            <w:tcW w:w="915" w:type="dxa"/>
            <w:tcBorders>
              <w:top w:val="nil"/>
              <w:left w:val="nil"/>
              <w:bottom w:val="single" w:sz="8" w:space="0" w:color="auto"/>
              <w:right w:val="single" w:sz="8" w:space="0" w:color="auto"/>
            </w:tcBorders>
            <w:shd w:val="clear" w:color="auto" w:fill="auto"/>
            <w:noWrap/>
            <w:vAlign w:val="center"/>
            <w:hideMark/>
          </w:tcPr>
          <w:p w14:paraId="1E264CCF" w14:textId="77777777" w:rsidR="009A2A34" w:rsidRPr="007B4F58" w:rsidRDefault="009A2A34" w:rsidP="00CC1F9E">
            <w:pPr>
              <w:jc w:val="center"/>
              <w:rPr>
                <w:rFonts w:cs="Calibri"/>
                <w:color w:val="000000"/>
                <w:sz w:val="18"/>
                <w:szCs w:val="18"/>
              </w:rPr>
            </w:pPr>
            <w:r w:rsidRPr="007B4F58">
              <w:rPr>
                <w:rFonts w:cs="Calibri"/>
                <w:color w:val="000000"/>
                <w:sz w:val="18"/>
                <w:szCs w:val="18"/>
              </w:rPr>
              <w:t>0,8</w:t>
            </w:r>
          </w:p>
        </w:tc>
        <w:tc>
          <w:tcPr>
            <w:tcW w:w="922" w:type="dxa"/>
            <w:tcBorders>
              <w:top w:val="nil"/>
              <w:left w:val="nil"/>
              <w:bottom w:val="single" w:sz="8" w:space="0" w:color="auto"/>
              <w:right w:val="nil"/>
            </w:tcBorders>
            <w:shd w:val="clear" w:color="auto" w:fill="auto"/>
            <w:noWrap/>
            <w:vAlign w:val="center"/>
            <w:hideMark/>
          </w:tcPr>
          <w:p w14:paraId="3E5D6084"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0,6</w:t>
            </w:r>
          </w:p>
        </w:tc>
        <w:tc>
          <w:tcPr>
            <w:tcW w:w="930" w:type="dxa"/>
            <w:tcBorders>
              <w:top w:val="nil"/>
              <w:left w:val="nil"/>
              <w:bottom w:val="single" w:sz="8" w:space="0" w:color="auto"/>
              <w:right w:val="nil"/>
            </w:tcBorders>
            <w:shd w:val="clear" w:color="auto" w:fill="auto"/>
            <w:noWrap/>
            <w:vAlign w:val="center"/>
            <w:hideMark/>
          </w:tcPr>
          <w:p w14:paraId="1F4C6E17"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0,4</w:t>
            </w:r>
          </w:p>
        </w:tc>
        <w:tc>
          <w:tcPr>
            <w:tcW w:w="930" w:type="dxa"/>
            <w:tcBorders>
              <w:top w:val="nil"/>
              <w:left w:val="nil"/>
              <w:bottom w:val="single" w:sz="8" w:space="0" w:color="auto"/>
              <w:right w:val="nil"/>
            </w:tcBorders>
            <w:shd w:val="clear" w:color="auto" w:fill="auto"/>
            <w:noWrap/>
            <w:vAlign w:val="center"/>
            <w:hideMark/>
          </w:tcPr>
          <w:p w14:paraId="52281C6E" w14:textId="77777777" w:rsidR="009A2A34" w:rsidRPr="001526C9" w:rsidRDefault="009A2A34" w:rsidP="00CC1F9E">
            <w:pPr>
              <w:jc w:val="center"/>
              <w:rPr>
                <w:rFonts w:cs="Calibri"/>
                <w:color w:val="000000"/>
                <w:sz w:val="18"/>
                <w:szCs w:val="18"/>
                <w:highlight w:val="yellow"/>
              </w:rPr>
            </w:pPr>
            <w:r w:rsidRPr="001526C9">
              <w:rPr>
                <w:rFonts w:cs="Calibri"/>
                <w:color w:val="000000"/>
                <w:sz w:val="18"/>
                <w:szCs w:val="18"/>
              </w:rPr>
              <w:t>0,4</w:t>
            </w:r>
          </w:p>
        </w:tc>
      </w:tr>
      <w:tr w:rsidR="009A2A34" w:rsidRPr="007B4F58" w14:paraId="357C6164" w14:textId="77777777" w:rsidTr="00CC1F9E">
        <w:trPr>
          <w:trHeight w:val="287"/>
        </w:trPr>
        <w:tc>
          <w:tcPr>
            <w:tcW w:w="3686" w:type="dxa"/>
            <w:tcBorders>
              <w:top w:val="nil"/>
              <w:left w:val="nil"/>
              <w:bottom w:val="single" w:sz="8" w:space="0" w:color="auto"/>
              <w:right w:val="nil"/>
            </w:tcBorders>
            <w:shd w:val="clear" w:color="auto" w:fill="auto"/>
            <w:noWrap/>
            <w:vAlign w:val="center"/>
            <w:hideMark/>
          </w:tcPr>
          <w:p w14:paraId="2494AC40" w14:textId="5E16874B" w:rsidR="009A2A34" w:rsidRPr="007B4F58" w:rsidRDefault="0087584D" w:rsidP="00CC1F9E">
            <w:pPr>
              <w:rPr>
                <w:rFonts w:cs="Calibri"/>
                <w:b/>
                <w:bCs/>
                <w:color w:val="000000"/>
                <w:sz w:val="16"/>
                <w:szCs w:val="16"/>
              </w:rPr>
            </w:pPr>
            <w:r>
              <w:rPr>
                <w:rFonts w:cs="Calibri"/>
                <w:b/>
                <w:bCs/>
                <w:color w:val="000000"/>
                <w:sz w:val="16"/>
                <w:szCs w:val="16"/>
              </w:rPr>
              <w:t>3</w:t>
            </w:r>
            <w:r w:rsidR="009A2A34" w:rsidRPr="007B4F58">
              <w:rPr>
                <w:rFonts w:cs="Calibri"/>
                <w:b/>
                <w:bCs/>
                <w:color w:val="000000"/>
                <w:sz w:val="16"/>
                <w:szCs w:val="16"/>
              </w:rPr>
              <w:t xml:space="preserve">. </w:t>
            </w:r>
            <w:r w:rsidR="00E34102">
              <w:rPr>
                <w:rFonts w:cs="Calibri"/>
                <w:b/>
                <w:bCs/>
                <w:color w:val="000000"/>
                <w:sz w:val="16"/>
                <w:szCs w:val="16"/>
              </w:rPr>
              <w:t>(Očakávaná) s</w:t>
            </w:r>
            <w:r w:rsidR="009A2A34">
              <w:rPr>
                <w:rFonts w:cs="Calibri"/>
                <w:b/>
                <w:bCs/>
                <w:color w:val="000000"/>
                <w:sz w:val="16"/>
                <w:szCs w:val="16"/>
              </w:rPr>
              <w:t xml:space="preserve">kutočnosť / </w:t>
            </w:r>
            <w:r w:rsidR="009A2A34" w:rsidRPr="007B4F58">
              <w:rPr>
                <w:rFonts w:cs="Calibri"/>
                <w:b/>
                <w:bCs/>
                <w:color w:val="000000"/>
                <w:sz w:val="16"/>
                <w:szCs w:val="16"/>
              </w:rPr>
              <w:t>Cielené saldo verejnej správy</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76A0E2AC"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-1,7</w:t>
            </w:r>
          </w:p>
        </w:tc>
        <w:tc>
          <w:tcPr>
            <w:tcW w:w="802" w:type="dxa"/>
            <w:tcBorders>
              <w:top w:val="nil"/>
              <w:left w:val="nil"/>
              <w:bottom w:val="single" w:sz="8" w:space="0" w:color="auto"/>
              <w:right w:val="single" w:sz="8" w:space="0" w:color="auto"/>
            </w:tcBorders>
            <w:shd w:val="clear" w:color="auto" w:fill="auto"/>
            <w:noWrap/>
            <w:vAlign w:val="center"/>
            <w:hideMark/>
          </w:tcPr>
          <w:p w14:paraId="1524CF02"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-4,9</w:t>
            </w:r>
          </w:p>
        </w:tc>
        <w:tc>
          <w:tcPr>
            <w:tcW w:w="915" w:type="dxa"/>
            <w:tcBorders>
              <w:top w:val="nil"/>
              <w:left w:val="nil"/>
              <w:bottom w:val="single" w:sz="8" w:space="0" w:color="auto"/>
              <w:right w:val="single" w:sz="8" w:space="0" w:color="auto"/>
            </w:tcBorders>
            <w:shd w:val="clear" w:color="auto" w:fill="auto"/>
            <w:noWrap/>
            <w:vAlign w:val="center"/>
            <w:hideMark/>
          </w:tcPr>
          <w:p w14:paraId="40263035"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-5,9</w:t>
            </w:r>
          </w:p>
        </w:tc>
        <w:tc>
          <w:tcPr>
            <w:tcW w:w="922" w:type="dxa"/>
            <w:tcBorders>
              <w:top w:val="nil"/>
              <w:left w:val="nil"/>
              <w:bottom w:val="single" w:sz="8" w:space="0" w:color="auto"/>
              <w:right w:val="nil"/>
            </w:tcBorders>
            <w:shd w:val="clear" w:color="auto" w:fill="auto"/>
            <w:noWrap/>
            <w:vAlign w:val="center"/>
            <w:hideMark/>
          </w:tcPr>
          <w:p w14:paraId="141428BD" w14:textId="77777777" w:rsidR="009A2A34" w:rsidRPr="00664E8C" w:rsidRDefault="009A2A34" w:rsidP="00CC1F9E">
            <w:pPr>
              <w:jc w:val="center"/>
              <w:rPr>
                <w:rFonts w:cs="Calibri"/>
                <w:b/>
                <w:bCs/>
                <w:color w:val="000000"/>
                <w:sz w:val="18"/>
                <w:szCs w:val="18"/>
              </w:rPr>
            </w:pPr>
            <w:r w:rsidRPr="00664E8C">
              <w:rPr>
                <w:rFonts w:cs="Calibri"/>
                <w:b/>
                <w:bCs/>
                <w:color w:val="000000"/>
                <w:sz w:val="18"/>
                <w:szCs w:val="18"/>
              </w:rPr>
              <w:t>-5,0</w:t>
            </w:r>
          </w:p>
        </w:tc>
        <w:tc>
          <w:tcPr>
            <w:tcW w:w="930" w:type="dxa"/>
            <w:tcBorders>
              <w:top w:val="nil"/>
              <w:left w:val="nil"/>
              <w:bottom w:val="single" w:sz="8" w:space="0" w:color="auto"/>
              <w:right w:val="nil"/>
            </w:tcBorders>
            <w:shd w:val="clear" w:color="auto" w:fill="auto"/>
            <w:noWrap/>
            <w:vAlign w:val="center"/>
            <w:hideMark/>
          </w:tcPr>
          <w:p w14:paraId="646B9913" w14:textId="77777777" w:rsidR="009A2A34" w:rsidRPr="00664E8C" w:rsidRDefault="009A2A34" w:rsidP="00CC1F9E">
            <w:pPr>
              <w:jc w:val="center"/>
              <w:rPr>
                <w:rFonts w:cs="Calibri"/>
                <w:b/>
                <w:bCs/>
                <w:color w:val="000000"/>
                <w:sz w:val="18"/>
                <w:szCs w:val="18"/>
              </w:rPr>
            </w:pPr>
            <w:r w:rsidRPr="00664E8C">
              <w:rPr>
                <w:rFonts w:cs="Calibri"/>
                <w:b/>
                <w:bCs/>
                <w:color w:val="000000"/>
                <w:sz w:val="18"/>
                <w:szCs w:val="18"/>
              </w:rPr>
              <w:t>-4,0</w:t>
            </w:r>
          </w:p>
        </w:tc>
        <w:tc>
          <w:tcPr>
            <w:tcW w:w="930" w:type="dxa"/>
            <w:tcBorders>
              <w:top w:val="nil"/>
              <w:left w:val="nil"/>
              <w:bottom w:val="single" w:sz="8" w:space="0" w:color="auto"/>
              <w:right w:val="nil"/>
            </w:tcBorders>
            <w:shd w:val="clear" w:color="auto" w:fill="auto"/>
            <w:noWrap/>
            <w:vAlign w:val="center"/>
            <w:hideMark/>
          </w:tcPr>
          <w:p w14:paraId="0EDC5382" w14:textId="77777777" w:rsidR="009A2A34" w:rsidRPr="00664E8C" w:rsidRDefault="009A2A34" w:rsidP="00CC1F9E">
            <w:pPr>
              <w:jc w:val="center"/>
              <w:rPr>
                <w:rFonts w:cs="Calibri"/>
                <w:b/>
                <w:bCs/>
                <w:color w:val="000000"/>
                <w:sz w:val="18"/>
                <w:szCs w:val="18"/>
              </w:rPr>
            </w:pPr>
            <w:r w:rsidRPr="00664E8C">
              <w:rPr>
                <w:rFonts w:cs="Calibri"/>
                <w:b/>
                <w:bCs/>
                <w:color w:val="000000"/>
                <w:sz w:val="18"/>
                <w:szCs w:val="18"/>
              </w:rPr>
              <w:t>-3,0</w:t>
            </w:r>
          </w:p>
        </w:tc>
      </w:tr>
      <w:tr w:rsidR="009A2A34" w:rsidRPr="007B4F58" w14:paraId="3222D5FF" w14:textId="77777777" w:rsidTr="00CC1F9E">
        <w:trPr>
          <w:trHeight w:val="287"/>
        </w:trPr>
        <w:tc>
          <w:tcPr>
            <w:tcW w:w="3686" w:type="dxa"/>
            <w:tcBorders>
              <w:top w:val="nil"/>
              <w:left w:val="nil"/>
              <w:bottom w:val="single" w:sz="8" w:space="0" w:color="auto"/>
              <w:right w:val="nil"/>
            </w:tcBorders>
            <w:shd w:val="clear" w:color="auto" w:fill="auto"/>
            <w:noWrap/>
            <w:vAlign w:val="center"/>
            <w:hideMark/>
          </w:tcPr>
          <w:p w14:paraId="7FB117E2" w14:textId="74EDD27E" w:rsidR="009A2A34" w:rsidRPr="007B4F58" w:rsidRDefault="0087584D" w:rsidP="00CC1F9E">
            <w:pPr>
              <w:rPr>
                <w:rFonts w:cs="Calibri"/>
                <w:b/>
                <w:bCs/>
                <w:color w:val="000000"/>
                <w:sz w:val="16"/>
                <w:szCs w:val="16"/>
              </w:rPr>
            </w:pPr>
            <w:r>
              <w:rPr>
                <w:rFonts w:cs="Calibri"/>
                <w:b/>
                <w:bCs/>
                <w:color w:val="000000"/>
                <w:sz w:val="16"/>
                <w:szCs w:val="16"/>
              </w:rPr>
              <w:t>4</w:t>
            </w:r>
            <w:r w:rsidR="009A2A34" w:rsidRPr="007B4F58">
              <w:rPr>
                <w:rFonts w:cs="Calibri"/>
                <w:b/>
                <w:bCs/>
                <w:color w:val="000000"/>
                <w:sz w:val="16"/>
                <w:szCs w:val="16"/>
              </w:rPr>
              <w:t>. Saldo zapracované v</w:t>
            </w:r>
            <w:r w:rsidR="00E34102">
              <w:rPr>
                <w:rFonts w:cs="Calibri"/>
                <w:b/>
                <w:bCs/>
                <w:color w:val="000000"/>
                <w:sz w:val="16"/>
                <w:szCs w:val="16"/>
              </w:rPr>
              <w:t> </w:t>
            </w:r>
            <w:r w:rsidR="009A2A34" w:rsidRPr="007B4F58">
              <w:rPr>
                <w:rFonts w:cs="Calibri"/>
                <w:b/>
                <w:bCs/>
                <w:color w:val="000000"/>
                <w:sz w:val="16"/>
                <w:szCs w:val="16"/>
              </w:rPr>
              <w:t>rozpočte</w:t>
            </w:r>
            <w:r w:rsidR="00E34102">
              <w:rPr>
                <w:rFonts w:cs="Calibri"/>
                <w:b/>
                <w:bCs/>
                <w:color w:val="000000"/>
                <w:sz w:val="16"/>
                <w:szCs w:val="16"/>
              </w:rPr>
              <w:t xml:space="preserve"> Programu stability</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47EE4225"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 </w:t>
            </w:r>
          </w:p>
        </w:tc>
        <w:tc>
          <w:tcPr>
            <w:tcW w:w="802" w:type="dxa"/>
            <w:tcBorders>
              <w:top w:val="nil"/>
              <w:left w:val="nil"/>
              <w:bottom w:val="single" w:sz="8" w:space="0" w:color="auto"/>
              <w:right w:val="single" w:sz="8" w:space="0" w:color="auto"/>
            </w:tcBorders>
            <w:shd w:val="clear" w:color="auto" w:fill="auto"/>
            <w:noWrap/>
            <w:vAlign w:val="center"/>
            <w:hideMark/>
          </w:tcPr>
          <w:p w14:paraId="1A6C67D3"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 </w:t>
            </w:r>
          </w:p>
        </w:tc>
        <w:tc>
          <w:tcPr>
            <w:tcW w:w="915" w:type="dxa"/>
            <w:tcBorders>
              <w:top w:val="nil"/>
              <w:left w:val="nil"/>
              <w:bottom w:val="single" w:sz="8" w:space="0" w:color="auto"/>
              <w:right w:val="single" w:sz="8" w:space="0" w:color="auto"/>
            </w:tcBorders>
            <w:shd w:val="clear" w:color="auto" w:fill="auto"/>
            <w:noWrap/>
            <w:vAlign w:val="center"/>
            <w:hideMark/>
          </w:tcPr>
          <w:p w14:paraId="4BD7D016" w14:textId="77777777" w:rsidR="009A2A34" w:rsidRPr="007B4F58" w:rsidRDefault="009A2A34" w:rsidP="00CC1F9E">
            <w:pPr>
              <w:jc w:val="center"/>
              <w:rPr>
                <w:rFonts w:cs="Calibri"/>
                <w:b/>
                <w:bCs/>
                <w:color w:val="000000"/>
                <w:sz w:val="18"/>
                <w:szCs w:val="18"/>
              </w:rPr>
            </w:pPr>
            <w:r w:rsidRPr="007B4F58">
              <w:rPr>
                <w:rFonts w:cs="Calibri"/>
                <w:b/>
                <w:bCs/>
                <w:color w:val="000000"/>
                <w:sz w:val="18"/>
                <w:szCs w:val="18"/>
              </w:rPr>
              <w:t> </w:t>
            </w:r>
          </w:p>
        </w:tc>
        <w:tc>
          <w:tcPr>
            <w:tcW w:w="922" w:type="dxa"/>
            <w:tcBorders>
              <w:top w:val="nil"/>
              <w:left w:val="nil"/>
              <w:bottom w:val="single" w:sz="8" w:space="0" w:color="auto"/>
              <w:right w:val="nil"/>
            </w:tcBorders>
            <w:shd w:val="clear" w:color="auto" w:fill="auto"/>
            <w:noWrap/>
            <w:vAlign w:val="center"/>
            <w:hideMark/>
          </w:tcPr>
          <w:p w14:paraId="3156ABF1"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-5,4</w:t>
            </w:r>
          </w:p>
        </w:tc>
        <w:tc>
          <w:tcPr>
            <w:tcW w:w="930" w:type="dxa"/>
            <w:tcBorders>
              <w:top w:val="nil"/>
              <w:left w:val="nil"/>
              <w:bottom w:val="single" w:sz="8" w:space="0" w:color="auto"/>
              <w:right w:val="nil"/>
            </w:tcBorders>
            <w:shd w:val="clear" w:color="auto" w:fill="auto"/>
            <w:noWrap/>
            <w:vAlign w:val="center"/>
            <w:hideMark/>
          </w:tcPr>
          <w:p w14:paraId="650F0F1F"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-5,2</w:t>
            </w:r>
          </w:p>
        </w:tc>
        <w:tc>
          <w:tcPr>
            <w:tcW w:w="930" w:type="dxa"/>
            <w:tcBorders>
              <w:top w:val="nil"/>
              <w:left w:val="nil"/>
              <w:bottom w:val="single" w:sz="8" w:space="0" w:color="auto"/>
              <w:right w:val="nil"/>
            </w:tcBorders>
            <w:shd w:val="clear" w:color="auto" w:fill="auto"/>
            <w:noWrap/>
            <w:vAlign w:val="center"/>
            <w:hideMark/>
          </w:tcPr>
          <w:p w14:paraId="0DC3F88C" w14:textId="77777777" w:rsidR="009A2A34" w:rsidRPr="001526C9" w:rsidRDefault="009A2A34" w:rsidP="00CC1F9E">
            <w:pPr>
              <w:jc w:val="center"/>
              <w:rPr>
                <w:rFonts w:cs="Calibri"/>
                <w:b/>
                <w:bCs/>
                <w:color w:val="000000"/>
                <w:sz w:val="18"/>
                <w:szCs w:val="18"/>
                <w:highlight w:val="yellow"/>
              </w:rPr>
            </w:pPr>
            <w:r w:rsidRPr="001526C9">
              <w:rPr>
                <w:rFonts w:cs="Calibri"/>
                <w:b/>
                <w:bCs/>
                <w:color w:val="000000"/>
                <w:sz w:val="18"/>
                <w:szCs w:val="18"/>
              </w:rPr>
              <w:t>-5,5</w:t>
            </w:r>
          </w:p>
        </w:tc>
      </w:tr>
    </w:tbl>
    <w:p w14:paraId="7D7867E2" w14:textId="77777777" w:rsidR="009A2A34" w:rsidRDefault="009A2A34" w:rsidP="009A2A34">
      <w:pPr>
        <w:pStyle w:val="NormalList"/>
        <w:jc w:val="right"/>
        <w:rPr>
          <w:i/>
          <w:iCs/>
          <w:sz w:val="16"/>
          <w:szCs w:val="16"/>
          <w:lang w:eastAsia="sk-SK"/>
        </w:rPr>
      </w:pPr>
      <w:r w:rsidRPr="007B4F58">
        <w:rPr>
          <w:i/>
          <w:iCs/>
          <w:sz w:val="16"/>
          <w:szCs w:val="16"/>
          <w:lang w:eastAsia="sk-SK"/>
        </w:rPr>
        <w:t>Zdroj: MF SR</w:t>
      </w:r>
    </w:p>
    <w:p w14:paraId="0F36378D" w14:textId="77777777" w:rsidR="009A2A34" w:rsidRPr="007B4F58" w:rsidRDefault="009A2A34" w:rsidP="009A2A34">
      <w:pPr>
        <w:pStyle w:val="NormalList"/>
        <w:jc w:val="right"/>
        <w:rPr>
          <w:i/>
          <w:iCs/>
          <w:sz w:val="16"/>
          <w:szCs w:val="16"/>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AD6F1" w:themeFill="accent1" w:themeFillTint="66"/>
        <w:tblLook w:val="04A0" w:firstRow="1" w:lastRow="0" w:firstColumn="1" w:lastColumn="0" w:noHBand="0" w:noVBand="1"/>
      </w:tblPr>
      <w:tblGrid>
        <w:gridCol w:w="9062"/>
      </w:tblGrid>
      <w:tr w:rsidR="009A2A34" w:rsidRPr="005E3B98" w14:paraId="448473E4" w14:textId="77777777" w:rsidTr="00CC1F9E">
        <w:trPr>
          <w:trHeight w:val="1560"/>
        </w:trPr>
        <w:tc>
          <w:tcPr>
            <w:tcW w:w="9062" w:type="dxa"/>
            <w:shd w:val="clear" w:color="auto" w:fill="AAD6F1" w:themeFill="accent1" w:themeFillTint="66"/>
          </w:tcPr>
          <w:p w14:paraId="2DFDC5CF" w14:textId="2EC2C76D" w:rsidR="009A2A34" w:rsidRPr="005F2307" w:rsidRDefault="009A2A34" w:rsidP="00CC1F9E">
            <w:pPr>
              <w:pStyle w:val="Box"/>
              <w:spacing w:after="120" w:line="276" w:lineRule="auto"/>
              <w:rPr>
                <w:color w:val="2C9ADC"/>
                <w:sz w:val="22"/>
                <w:szCs w:val="22"/>
              </w:rPr>
            </w:pPr>
            <w:bookmarkStart w:id="141" w:name="_Toc152932682"/>
            <w:bookmarkStart w:id="142" w:name="_Toc164684548"/>
            <w:r w:rsidRPr="005F2307">
              <w:rPr>
                <w:color w:val="2C9ADC"/>
                <w:sz w:val="22"/>
                <w:szCs w:val="22"/>
              </w:rPr>
              <w:t xml:space="preserve">BOX </w:t>
            </w:r>
            <w:r w:rsidRPr="005F2307">
              <w:rPr>
                <w:color w:val="2C9ADC"/>
                <w:sz w:val="22"/>
                <w:szCs w:val="22"/>
              </w:rPr>
              <w:fldChar w:fldCharType="begin"/>
            </w:r>
            <w:r w:rsidRPr="005F2307">
              <w:rPr>
                <w:color w:val="2C9ADC"/>
                <w:sz w:val="22"/>
                <w:szCs w:val="22"/>
              </w:rPr>
              <w:instrText xml:space="preserve"> SEQ BOX \* ARABIC </w:instrText>
            </w:r>
            <w:r w:rsidRPr="005F2307">
              <w:rPr>
                <w:color w:val="2C9ADC"/>
                <w:sz w:val="22"/>
                <w:szCs w:val="22"/>
              </w:rPr>
              <w:fldChar w:fldCharType="separate"/>
            </w:r>
            <w:r w:rsidR="007435E9">
              <w:rPr>
                <w:noProof/>
                <w:color w:val="2C9ADC"/>
                <w:sz w:val="22"/>
                <w:szCs w:val="22"/>
              </w:rPr>
              <w:t>4</w:t>
            </w:r>
            <w:r w:rsidRPr="005F2307">
              <w:rPr>
                <w:color w:val="2C9ADC"/>
                <w:sz w:val="22"/>
                <w:szCs w:val="22"/>
              </w:rPr>
              <w:fldChar w:fldCharType="end"/>
            </w:r>
            <w:r w:rsidRPr="005F2307">
              <w:rPr>
                <w:color w:val="2C9ADC"/>
                <w:sz w:val="22"/>
                <w:szCs w:val="22"/>
              </w:rPr>
              <w:t xml:space="preserve"> – </w:t>
            </w:r>
            <w:r>
              <w:rPr>
                <w:color w:val="2C9ADC"/>
                <w:sz w:val="22"/>
                <w:szCs w:val="22"/>
              </w:rPr>
              <w:t xml:space="preserve">Výdavkové pravidlo </w:t>
            </w:r>
            <w:bookmarkEnd w:id="141"/>
            <w:r>
              <w:rPr>
                <w:color w:val="2C9ADC"/>
                <w:sz w:val="22"/>
                <w:szCs w:val="22"/>
              </w:rPr>
              <w:t>ako jediný nástroj nových fiškálnych pravidiel</w:t>
            </w:r>
            <w:r w:rsidRPr="005F2307">
              <w:rPr>
                <w:color w:val="2C9ADC"/>
                <w:sz w:val="22"/>
                <w:szCs w:val="22"/>
              </w:rPr>
              <w:t xml:space="preserve"> EÚ</w:t>
            </w:r>
            <w:bookmarkEnd w:id="142"/>
          </w:p>
          <w:p w14:paraId="7B9A68C4" w14:textId="419AAB72" w:rsidR="009A2A34" w:rsidRPr="00CC1F9E" w:rsidRDefault="009A2A34" w:rsidP="00CC1F9E">
            <w:pPr>
              <w:widowControl w:val="0"/>
              <w:jc w:val="both"/>
              <w:rPr>
                <w:rStyle w:val="Siln"/>
                <w:rFonts w:eastAsiaTheme="minorHAnsi" w:cstheme="minorBidi"/>
                <w:b w:val="0"/>
                <w:bCs w:val="0"/>
              </w:rPr>
            </w:pPr>
            <w:r>
              <w:rPr>
                <w:rStyle w:val="Siln"/>
              </w:rPr>
              <w:t>Ústredným prvkom reformovaných pravidiel EÚ bude výdavkové pravidlo, ktoré má zabezpečiť znižovanie deficitu a následne aj dlhu pomocou tej časti rozpočtu, ktor</w:t>
            </w:r>
            <w:r w:rsidR="00E34102">
              <w:rPr>
                <w:rStyle w:val="Siln"/>
              </w:rPr>
              <w:t>ú</w:t>
            </w:r>
            <w:r>
              <w:rPr>
                <w:rStyle w:val="Siln"/>
              </w:rPr>
              <w:t xml:space="preserve"> má vláda priamo pod kontrolou. </w:t>
            </w:r>
            <w:r w:rsidRPr="00364A1B">
              <w:rPr>
                <w:rStyle w:val="Siln"/>
                <w:b w:val="0"/>
                <w:bCs w:val="0"/>
              </w:rPr>
              <w:t>Výdavkové pravidlo vyjadrené v metrike čistých výdavkov</w:t>
            </w:r>
            <w:r w:rsidRPr="00364A1B">
              <w:rPr>
                <w:rStyle w:val="Odkaznapoznmkupodiarou"/>
                <w:b/>
                <w:bCs/>
              </w:rPr>
              <w:footnoteReference w:id="24"/>
            </w:r>
            <w:r w:rsidRPr="00364A1B">
              <w:rPr>
                <w:rStyle w:val="Siln"/>
                <w:b w:val="0"/>
                <w:bCs w:val="0"/>
              </w:rPr>
              <w:t xml:space="preserve"> sa aplikuje aj pre aktuálny rok 2024 a vychádza z neho odporúčanie Rady EÚ pre Slovensko. V novom rámci EÚ pravidiel bude plniť funkciu jediného operatívneho nástroja, no oproti doterajšej podobe pravidiel bude jeho výpočet previazaný s komplexnejšou analýzou udržateľnosti dlhu. Cez</w:t>
            </w:r>
            <w:r w:rsidRPr="00364A1B">
              <w:rPr>
                <w:rStyle w:val="Siln"/>
              </w:rPr>
              <w:t xml:space="preserve"> </w:t>
            </w:r>
            <w:r w:rsidRPr="00364A1B">
              <w:t>cielený deficit a dlh</w:t>
            </w:r>
            <w:r w:rsidRPr="00364A1B">
              <w:rPr>
                <w:rStyle w:val="Odkaznapoznmkupodiarou"/>
              </w:rPr>
              <w:footnoteReference w:id="25"/>
            </w:r>
            <w:r w:rsidRPr="00364A1B">
              <w:t xml:space="preserve"> sa premietne do povoleného medziročného rastu čistých výdavkov na dlhšom období, ktorý bude potrebné dodržať. Prípadné odchýlenia </w:t>
            </w:r>
            <w:r w:rsidR="003A1E61">
              <w:t xml:space="preserve">výdavkov </w:t>
            </w:r>
            <w:r w:rsidRPr="00364A1B">
              <w:t>sa budú</w:t>
            </w:r>
            <w:r w:rsidR="003A1E61">
              <w:t xml:space="preserve"> zároveň </w:t>
            </w:r>
            <w:r w:rsidRPr="00364A1B">
              <w:t xml:space="preserve"> kumulatívne zaznamenávať</w:t>
            </w:r>
            <w:r w:rsidR="003A1E61">
              <w:t xml:space="preserve"> a následne aj korigovať</w:t>
            </w:r>
            <w:r w:rsidRPr="00364A1B">
              <w:t xml:space="preserve">. Naopak, </w:t>
            </w:r>
            <w:r w:rsidR="003A1E61">
              <w:t xml:space="preserve">prípadné odchýlenia príjmov alebo výdavkov mimo výdavkového limitu nebudú sprísňovať ani uvoľňovať vopred stanovený výdavkový plán. </w:t>
            </w:r>
          </w:p>
          <w:p w14:paraId="6DB22DD9" w14:textId="77777777" w:rsidR="009A2A34" w:rsidRDefault="009A2A34" w:rsidP="00CC1F9E">
            <w:pPr>
              <w:widowControl w:val="0"/>
              <w:jc w:val="both"/>
              <w:rPr>
                <w:rStyle w:val="Siln"/>
              </w:rPr>
            </w:pPr>
          </w:p>
          <w:p w14:paraId="6795C767" w14:textId="7BB6AEE7" w:rsidR="009A2A34" w:rsidRDefault="009A2A34" w:rsidP="00CC1F9E">
            <w:pPr>
              <w:widowControl w:val="0"/>
              <w:jc w:val="both"/>
              <w:rPr>
                <w:rStyle w:val="ui-provider"/>
              </w:rPr>
            </w:pPr>
            <w:r>
              <w:rPr>
                <w:rStyle w:val="Siln"/>
              </w:rPr>
              <w:t>Podľa očakávanej skutočnosti v roku 2024 Slovensko plní limit rastu čistých výdavkov odporúčaný Radou EÚ na tento rok</w:t>
            </w:r>
            <w:r>
              <w:rPr>
                <w:rStyle w:val="ui-provider"/>
              </w:rPr>
              <w:t>. Rada EÚ odporúčala Slovensku</w:t>
            </w:r>
            <w:r>
              <w:rPr>
                <w:rStyle w:val="Odkaznapoznmkupodiarou"/>
              </w:rPr>
              <w:footnoteReference w:id="26"/>
            </w:r>
            <w:r>
              <w:rPr>
                <w:rStyle w:val="ui-provider"/>
              </w:rPr>
              <w:t xml:space="preserve"> pre rok 2024 maximálny rast čistých výdavkov na </w:t>
            </w:r>
            <w:r>
              <w:rPr>
                <w:rStyle w:val="ui-provider"/>
              </w:rPr>
              <w:lastRenderedPageBreak/>
              <w:t>úrovni 5,7 %</w:t>
            </w:r>
            <w:r w:rsidR="0037385E">
              <w:rPr>
                <w:rStyle w:val="ui-provider"/>
              </w:rPr>
              <w:t xml:space="preserve"> (CSR2024)</w:t>
            </w:r>
            <w:r>
              <w:rPr>
                <w:rStyle w:val="ui-provider"/>
              </w:rPr>
              <w:t>. V aktuálne očakávanom rozpočte na tento rok upravené výdavky verejnej správy medziročne rastú o 4,9 %. Slovensko tak podľa MF SR splní odporúčanie Rady</w:t>
            </w:r>
            <w:r>
              <w:rPr>
                <w:rStyle w:val="Odkaznapoznmkupodiarou"/>
              </w:rPr>
              <w:footnoteReference w:id="27"/>
            </w:r>
            <w:r>
              <w:rPr>
                <w:rStyle w:val="ui-provider"/>
              </w:rPr>
              <w:t>. K splneniu dochádza napriek medziročnému zvýšeniu deficitu verejnej správy o 1 p. b</w:t>
            </w:r>
            <w:r w:rsidR="00C04AA0">
              <w:rPr>
                <w:rStyle w:val="ui-provider"/>
              </w:rPr>
              <w:t>.</w:t>
            </w:r>
            <w:r>
              <w:rPr>
                <w:rStyle w:val="ui-provider"/>
              </w:rPr>
              <w:t xml:space="preserve"> HDP. Dôvodom je, že odporúčanie formulované ešte počas jari 2023 vychádzalo z očakávanej vyššej inflácie povoľujúcej vyšší rast výdavkov, pričom následné zreálnenie inflácie smerom nadol sa už v povolenom raste dodatočne nezohľadňuje a umožňuje </w:t>
            </w:r>
            <w:r w:rsidR="00E34102">
              <w:rPr>
                <w:rStyle w:val="ui-provider"/>
              </w:rPr>
              <w:t xml:space="preserve">čistým </w:t>
            </w:r>
            <w:r>
              <w:rPr>
                <w:rStyle w:val="ui-provider"/>
              </w:rPr>
              <w:t xml:space="preserve">výdavkom rásť o pôvodných 5,7 %. Príjmy v roku 2024 zároveň rastú </w:t>
            </w:r>
            <w:r w:rsidR="00E34102">
              <w:rPr>
                <w:rStyle w:val="ui-provider"/>
              </w:rPr>
              <w:t xml:space="preserve">bez konsolidačného  balíka </w:t>
            </w:r>
            <w:r>
              <w:rPr>
                <w:rStyle w:val="ui-provider"/>
              </w:rPr>
              <w:t>pomalšie než štandardne</w:t>
            </w:r>
            <w:r w:rsidR="00E34102">
              <w:rPr>
                <w:rStyle w:val="ui-provider"/>
              </w:rPr>
              <w:t>,</w:t>
            </w:r>
            <w:r>
              <w:rPr>
                <w:rStyle w:val="ui-provider"/>
              </w:rPr>
              <w:t xml:space="preserve"> pod tempom rastu ekonomiky. Posledným dôvodom je aj to, že silno rastú aj úrokové náklady, čo výdavkové pravidlo</w:t>
            </w:r>
            <w:r w:rsidR="00627FDF">
              <w:rPr>
                <w:rStyle w:val="ui-provider"/>
              </w:rPr>
              <w:t xml:space="preserve"> so svojím užším rozsahom</w:t>
            </w:r>
            <w:r>
              <w:rPr>
                <w:rStyle w:val="ui-provider"/>
              </w:rPr>
              <w:t xml:space="preserve"> neobmedzuje</w:t>
            </w:r>
            <w:r w:rsidR="00627FDF">
              <w:rPr>
                <w:rStyle w:val="ui-provider"/>
              </w:rPr>
              <w:t xml:space="preserve">. </w:t>
            </w:r>
          </w:p>
          <w:p w14:paraId="104D0DA0" w14:textId="77777777" w:rsidR="00885665" w:rsidRDefault="00885665" w:rsidP="00885665">
            <w:pPr>
              <w:widowControl w:val="0"/>
              <w:jc w:val="both"/>
            </w:pPr>
          </w:p>
          <w:p w14:paraId="780FB812" w14:textId="51C6A4DC" w:rsidR="009A2A34" w:rsidRPr="00F904E5" w:rsidRDefault="00885665" w:rsidP="00CC1F9E">
            <w:pPr>
              <w:widowControl w:val="0"/>
              <w:jc w:val="both"/>
              <w:rPr>
                <w:sz w:val="12"/>
              </w:rPr>
            </w:pPr>
            <w:r>
              <w:rPr>
                <w:b/>
                <w:bCs/>
              </w:rPr>
              <w:t>Ciele vlády znižovať deficit tempom 1 p. b. HDP ročne podľa MF SR zodpovedajú indikatívnemu odporúčaniu rastu čistých výdavkov a</w:t>
            </w:r>
            <w:r w:rsidRPr="00C04AA0">
              <w:rPr>
                <w:b/>
                <w:bCs/>
              </w:rPr>
              <w:t>j</w:t>
            </w:r>
            <w:r>
              <w:t xml:space="preserve"> </w:t>
            </w:r>
            <w:r>
              <w:rPr>
                <w:b/>
                <w:bCs/>
              </w:rPr>
              <w:t xml:space="preserve">od roku 2025. </w:t>
            </w:r>
            <w:r>
              <w:t>Európska komisia začiatkom roka 2024 zaslala členským štátom indikatívne referenčné trajektórie rastu čistých výdavkov</w:t>
            </w:r>
            <w:r>
              <w:rPr>
                <w:rStyle w:val="Odkaznapoznmkupodiarou"/>
              </w:rPr>
              <w:footnoteReference w:id="28"/>
            </w:r>
            <w:r>
              <w:t>, ktoré by mali uplatniť od roku 2025 v pripravovaných viacročných národných fiškálno-štrukturálnych plánoch (MFP)</w:t>
            </w:r>
            <w:r>
              <w:rPr>
                <w:rStyle w:val="Odkaznapoznmkupodiarou"/>
              </w:rPr>
              <w:footnoteReference w:id="29"/>
            </w:r>
            <w:r>
              <w:t>. Dosiahnutie rozpočtových cieľov deficitov, ako si ich stanovila vláda, by na horizonte Programu stability plnilo predbežne indikované povolené tempo rastu čistých výdavkov. K plneniu do roku 2027 by došlo v prípade pomalšieho tempa konsolidácie rozloženej na 7 rokov (čo je umožnené v prípade implementácie zásadnejších reforiem), ale aj pri kratšej konsolidácii realizovanej už počas 4 rokov</w:t>
            </w:r>
            <w:r>
              <w:rPr>
                <w:rStyle w:val="Odkaznapoznmkupodiarou"/>
              </w:rPr>
              <w:footnoteReference w:id="30"/>
            </w:r>
            <w:r>
              <w:t>.</w:t>
            </w:r>
            <w:r w:rsidR="00627FDF">
              <w:t xml:space="preserve"> Mierna rezerva voči stanoveným limitom je dôležitá aj pre prípadné odchýlenia v odhade vývoja ekonomiky (napr. inflácie), ktoré v zmysle nových pravidiel nevedú automaticky k prepočítaniu limitov na výdavky.</w:t>
            </w:r>
          </w:p>
          <w:tbl>
            <w:tblPr>
              <w:tblW w:w="5000"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8846"/>
            </w:tblGrid>
            <w:tr w:rsidR="009A2A34" w:rsidRPr="005E3B98" w14:paraId="693C666E" w14:textId="77777777" w:rsidTr="00CC1F9E">
              <w:trPr>
                <w:trHeight w:val="430"/>
                <w:jc w:val="center"/>
              </w:trPr>
              <w:tc>
                <w:tcPr>
                  <w:tcW w:w="5000" w:type="pct"/>
                  <w:tcBorders>
                    <w:top w:val="nil"/>
                    <w:left w:val="nil"/>
                    <w:bottom w:val="single" w:sz="4" w:space="0" w:color="000000"/>
                    <w:right w:val="nil"/>
                  </w:tcBorders>
                  <w:shd w:val="clear" w:color="auto" w:fill="auto"/>
                  <w:vAlign w:val="center"/>
                </w:tcPr>
                <w:p w14:paraId="0E157BD6" w14:textId="2648D344" w:rsidR="009A2A34" w:rsidRPr="001D2AB6" w:rsidRDefault="009A2A34" w:rsidP="00664E8C">
                  <w:pPr>
                    <w:pStyle w:val="Graf"/>
                    <w:spacing w:before="120" w:after="0"/>
                  </w:pPr>
                  <w:bookmarkStart w:id="143" w:name="_Toc164684578"/>
                  <w:r w:rsidRPr="001D2AB6">
                    <w:t xml:space="preserve">GRAF </w:t>
                  </w:r>
                  <w:r w:rsidRPr="001D2AB6">
                    <w:rPr>
                      <w:szCs w:val="20"/>
                    </w:rPr>
                    <w:fldChar w:fldCharType="begin"/>
                  </w:r>
                  <w:r w:rsidRPr="001D2AB6">
                    <w:rPr>
                      <w:szCs w:val="20"/>
                    </w:rPr>
                    <w:instrText xml:space="preserve"> SEQ GRAF \* ARABIC </w:instrText>
                  </w:r>
                  <w:r w:rsidRPr="001D2AB6">
                    <w:rPr>
                      <w:szCs w:val="20"/>
                    </w:rPr>
                    <w:fldChar w:fldCharType="separate"/>
                  </w:r>
                  <w:r w:rsidR="007435E9">
                    <w:rPr>
                      <w:noProof/>
                      <w:szCs w:val="20"/>
                    </w:rPr>
                    <w:t>13</w:t>
                  </w:r>
                  <w:r w:rsidRPr="001D2AB6">
                    <w:rPr>
                      <w:szCs w:val="20"/>
                    </w:rPr>
                    <w:fldChar w:fldCharType="end"/>
                  </w:r>
                  <w:r w:rsidRPr="001D2AB6">
                    <w:t xml:space="preserve"> – </w:t>
                  </w:r>
                  <w:r w:rsidRPr="00945DD8">
                    <w:t>Rast</w:t>
                  </w:r>
                  <w:r w:rsidRPr="001D2AB6">
                    <w:t xml:space="preserve"> národne financovaných čistých primárnych výdavkov</w:t>
                  </w:r>
                  <w:r w:rsidRPr="00945DD8">
                    <w:t xml:space="preserve"> (%)</w:t>
                  </w:r>
                  <w:bookmarkEnd w:id="143"/>
                </w:p>
              </w:tc>
            </w:tr>
            <w:tr w:rsidR="009A2A34" w:rsidRPr="005E3B98" w14:paraId="234508F6" w14:textId="77777777" w:rsidTr="00CC1F9E">
              <w:trPr>
                <w:trHeight w:val="18"/>
                <w:jc w:val="center"/>
              </w:trPr>
              <w:tc>
                <w:tcPr>
                  <w:tcW w:w="5000" w:type="pct"/>
                  <w:tcBorders>
                    <w:top w:val="single" w:sz="4" w:space="0" w:color="000000"/>
                    <w:left w:val="nil"/>
                    <w:bottom w:val="single" w:sz="4" w:space="0" w:color="000000"/>
                    <w:right w:val="nil"/>
                  </w:tcBorders>
                  <w:shd w:val="clear" w:color="auto" w:fill="auto"/>
                  <w:vAlign w:val="center"/>
                </w:tcPr>
                <w:p w14:paraId="4D3271D0" w14:textId="3445827B" w:rsidR="009A2A34" w:rsidRPr="00CC1F9E" w:rsidRDefault="00771072" w:rsidP="00CC1F9E">
                  <w:pPr>
                    <w:spacing w:before="40" w:after="40"/>
                    <w:jc w:val="center"/>
                    <w:rPr>
                      <w:color w:val="545454"/>
                      <w:sz w:val="18"/>
                      <w:szCs w:val="18"/>
                    </w:rPr>
                  </w:pPr>
                  <w:r w:rsidRPr="00CC1F9E">
                    <w:rPr>
                      <w:noProof/>
                      <w:color w:val="545454"/>
                    </w:rPr>
                    <mc:AlternateContent>
                      <mc:Choice Requires="wps">
                        <w:drawing>
                          <wp:anchor distT="0" distB="0" distL="114300" distR="114300" simplePos="0" relativeHeight="251680768" behindDoc="0" locked="0" layoutInCell="1" allowOverlap="1" wp14:anchorId="04C84D6E" wp14:editId="5338A0F0">
                            <wp:simplePos x="0" y="0"/>
                            <wp:positionH relativeFrom="column">
                              <wp:posOffset>2529840</wp:posOffset>
                            </wp:positionH>
                            <wp:positionV relativeFrom="paragraph">
                              <wp:posOffset>342900</wp:posOffset>
                            </wp:positionV>
                            <wp:extent cx="1809750" cy="478155"/>
                            <wp:effectExtent l="0" t="0" r="0" b="0"/>
                            <wp:wrapNone/>
                            <wp:docPr id="62" name="Textové pole 62"/>
                            <wp:cNvGraphicFramePr/>
                            <a:graphic xmlns:a="http://schemas.openxmlformats.org/drawingml/2006/main">
                              <a:graphicData uri="http://schemas.microsoft.com/office/word/2010/wordprocessingShape">
                                <wps:wsp>
                                  <wps:cNvSpPr txBox="1"/>
                                  <wps:spPr>
                                    <a:xfrm>
                                      <a:off x="0" y="0"/>
                                      <a:ext cx="1809750" cy="478155"/>
                                    </a:xfrm>
                                    <a:prstGeom prst="rect">
                                      <a:avLst/>
                                    </a:prstGeom>
                                    <a:noFill/>
                                    <a:ln w="6350">
                                      <a:noFill/>
                                    </a:ln>
                                  </wps:spPr>
                                  <wps:txbx>
                                    <w:txbxContent>
                                      <w:p w14:paraId="15178D6F" w14:textId="40914949" w:rsidR="009A2A34" w:rsidRPr="003A1E61" w:rsidRDefault="009A2A34" w:rsidP="009A2A34">
                                        <w:pPr>
                                          <w:jc w:val="center"/>
                                          <w:rPr>
                                            <w:sz w:val="16"/>
                                            <w:szCs w:val="16"/>
                                          </w:rPr>
                                        </w:pPr>
                                        <w:r w:rsidRPr="003A1E61">
                                          <w:rPr>
                                            <w:sz w:val="16"/>
                                            <w:szCs w:val="16"/>
                                          </w:rPr>
                                          <w:t>Rast podľa nových fiškálnych pravidiel EÚ (EGR)</w:t>
                                        </w:r>
                                        <w:r w:rsidR="00771072" w:rsidRPr="003A1E61">
                                          <w:rPr>
                                            <w:sz w:val="16"/>
                                            <w:szCs w:val="16"/>
                                          </w:rPr>
                                          <w:t xml:space="preserve"> – predbežný </w:t>
                                        </w:r>
                                        <w:r w:rsidR="003A1E61" w:rsidRPr="003A1E61">
                                          <w:rPr>
                                            <w:sz w:val="16"/>
                                            <w:szCs w:val="16"/>
                                          </w:rPr>
                                          <w:t>prepočet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C84D6E" id="Textové pole 62" o:spid="_x0000_s1027" type="#_x0000_t202" style="position:absolute;left:0;text-align:left;margin-left:199.2pt;margin-top:27pt;width:142.5pt;height:3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" filled="f" stroked="f" strokeweight=".5pt">
                            <v:textbox>
                              <w:txbxContent>
                                <w:p w14:paraId="15178D6F" w14:textId="40914949" w:rsidR="009A2A34" w:rsidRPr="003A1E61" w:rsidRDefault="009A2A34" w:rsidP="009A2A34">
                                  <w:pPr>
                                    <w:jc w:val="center"/>
                                    <w:rPr>
                                      <w:sz w:val="16"/>
                                      <w:szCs w:val="16"/>
                                    </w:rPr>
                                  </w:pPr>
                                  <w:r w:rsidRPr="003A1E61">
                                    <w:rPr>
                                      <w:sz w:val="16"/>
                                      <w:szCs w:val="16"/>
                                    </w:rPr>
                                    <w:t>Rast podľa nových fiškálnych pravidiel EÚ (EGR)</w:t>
                                  </w:r>
                                  <w:r w:rsidR="00771072" w:rsidRPr="003A1E61">
                                    <w:rPr>
                                      <w:sz w:val="16"/>
                                      <w:szCs w:val="16"/>
                                    </w:rPr>
                                    <w:t xml:space="preserve"> – predbežný </w:t>
                                  </w:r>
                                  <w:r w:rsidR="003A1E61" w:rsidRPr="003A1E61">
                                    <w:rPr>
                                      <w:sz w:val="16"/>
                                      <w:szCs w:val="16"/>
                                    </w:rPr>
                                    <w:t>prepočet</w:t>
                                  </w:r>
                                </w:p>
                              </w:txbxContent>
                            </v:textbox>
                          </v:shape>
                        </w:pict>
                      </mc:Fallback>
                    </mc:AlternateContent>
                  </w:r>
                  <w:r w:rsidR="009A2A34" w:rsidRPr="00CC1F9E">
                    <w:rPr>
                      <w:noProof/>
                      <w:color w:val="545454"/>
                    </w:rPr>
                    <w:drawing>
                      <wp:inline distT="0" distB="0" distL="0" distR="0" wp14:anchorId="1D7B4D9F" wp14:editId="4E08BB3D">
                        <wp:extent cx="4572000" cy="2743200"/>
                        <wp:effectExtent l="0" t="0" r="0" b="0"/>
                        <wp:docPr id="64" name="Graf 64">
                          <a:extLst xmlns:a="http://schemas.openxmlformats.org/drawingml/2006/main">
                            <a:ext uri="{FF2B5EF4-FFF2-40B4-BE49-F238E27FC236}">
                              <a16:creationId xmlns:a16="http://schemas.microsoft.com/office/drawing/2014/main" id="{1DC52CAC-7233-4B31-5CAC-71BCE24DD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9A2A34" w:rsidRPr="00CC1F9E">
                    <w:rPr>
                      <w:noProof/>
                      <w:color w:val="545454"/>
                    </w:rPr>
                    <mc:AlternateContent>
                      <mc:Choice Requires="wps">
                        <w:drawing>
                          <wp:anchor distT="0" distB="0" distL="114300" distR="114300" simplePos="0" relativeHeight="251679744" behindDoc="0" locked="0" layoutInCell="1" allowOverlap="1" wp14:anchorId="5ED7C1F8" wp14:editId="16393A7C">
                            <wp:simplePos x="0" y="0"/>
                            <wp:positionH relativeFrom="column">
                              <wp:posOffset>3419475</wp:posOffset>
                            </wp:positionH>
                            <wp:positionV relativeFrom="paragraph">
                              <wp:posOffset>-599440</wp:posOffset>
                            </wp:positionV>
                            <wp:extent cx="45085" cy="2809240"/>
                            <wp:effectExtent l="8573" t="0" r="20637" b="20638"/>
                            <wp:wrapNone/>
                            <wp:docPr id="63" name="Ľavá jednoduchá zátvorka 63"/>
                            <wp:cNvGraphicFramePr/>
                            <a:graphic xmlns:a="http://schemas.openxmlformats.org/drawingml/2006/main">
                              <a:graphicData uri="http://schemas.microsoft.com/office/word/2010/wordprocessingShape">
                                <wps:wsp>
                                  <wps:cNvSpPr/>
                                  <wps:spPr>
                                    <a:xfrm rot="5400000">
                                      <a:off x="0" y="0"/>
                                      <a:ext cx="45085" cy="280924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098AD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Ľavá jednoduchá zátvorka 63" o:spid="_x0000_s1026" type="#_x0000_t85" style="position:absolute;margin-left:269.25pt;margin-top:-47.2pt;width:3.55pt;height:221.2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" adj="29" strokecolor="black [3040]"/>
                        </w:pict>
                      </mc:Fallback>
                    </mc:AlternateContent>
                  </w:r>
                </w:p>
              </w:tc>
            </w:tr>
            <w:tr w:rsidR="009A2A34" w:rsidRPr="005E3B98" w14:paraId="7CD6EC85" w14:textId="77777777" w:rsidTr="00CC1F9E">
              <w:trPr>
                <w:trHeight w:val="246"/>
                <w:jc w:val="center"/>
              </w:trPr>
              <w:tc>
                <w:tcPr>
                  <w:tcW w:w="5000" w:type="pct"/>
                  <w:tcBorders>
                    <w:top w:val="single" w:sz="4" w:space="0" w:color="000000"/>
                    <w:left w:val="nil"/>
                    <w:bottom w:val="nil"/>
                    <w:right w:val="nil"/>
                  </w:tcBorders>
                  <w:shd w:val="clear" w:color="auto" w:fill="auto"/>
                  <w:vAlign w:val="center"/>
                </w:tcPr>
                <w:p w14:paraId="2A759B63" w14:textId="3D79D6A1" w:rsidR="009A2A34" w:rsidRPr="00945DD8" w:rsidRDefault="009A2A34" w:rsidP="00F904E5">
                  <w:pPr>
                    <w:spacing w:after="120"/>
                    <w:ind w:left="108"/>
                    <w:jc w:val="both"/>
                  </w:pPr>
                  <w:r>
                    <w:rPr>
                      <w:i/>
                      <w:sz w:val="16"/>
                    </w:rPr>
                    <w:t xml:space="preserve">Pozn.: Odporúčanie Rady pre rok </w:t>
                  </w:r>
                  <w:r w:rsidRPr="0095262A">
                    <w:rPr>
                      <w:i/>
                      <w:sz w:val="16"/>
                    </w:rPr>
                    <w:t>2024 založené na čistých primárnych výdavkoch vrátane výdavkov na spolufinancovanie EÚ programov. EGR očistené o výdavky na spolufinancovanie v súlade so schválenou legislatívou.</w:t>
                  </w:r>
                  <w:r>
                    <w:rPr>
                      <w:i/>
                      <w:sz w:val="16"/>
                    </w:rPr>
                    <w:t xml:space="preserve">                                                                             </w:t>
                  </w:r>
                  <w:r w:rsidR="002A2A37">
                    <w:rPr>
                      <w:i/>
                      <w:sz w:val="16"/>
                    </w:rPr>
                    <w:t xml:space="preserve">  </w:t>
                  </w:r>
                  <w:r>
                    <w:rPr>
                      <w:i/>
                      <w:sz w:val="16"/>
                    </w:rPr>
                    <w:t xml:space="preserve">     </w:t>
                  </w:r>
                  <w:r w:rsidRPr="001D2AB6">
                    <w:rPr>
                      <w:i/>
                      <w:sz w:val="16"/>
                    </w:rPr>
                    <w:t>Zdroj: MF SR, EK</w:t>
                  </w:r>
                </w:p>
              </w:tc>
            </w:tr>
          </w:tbl>
          <w:p w14:paraId="1B55C572" w14:textId="6FB073D7" w:rsidR="009A2A34" w:rsidRPr="005E3B98" w:rsidRDefault="009A2A34" w:rsidP="00664E8C">
            <w:pPr>
              <w:widowControl w:val="0"/>
              <w:jc w:val="both"/>
              <w:rPr>
                <w:bCs/>
                <w:color w:val="00B0F0"/>
                <w:sz w:val="24"/>
                <w:szCs w:val="24"/>
                <w:highlight w:val="yellow"/>
              </w:rPr>
            </w:pPr>
          </w:p>
        </w:tc>
      </w:tr>
    </w:tbl>
    <w:p w14:paraId="76BFED98" w14:textId="4D16610B" w:rsidR="00885665" w:rsidRPr="00E509A1" w:rsidRDefault="009A2A34" w:rsidP="00664E8C">
      <w:pPr>
        <w:spacing w:before="120"/>
        <w:rPr>
          <w:rFonts w:eastAsiaTheme="majorEastAsia" w:cstheme="majorBidi"/>
          <w:b/>
          <w:bCs/>
          <w:color w:val="2C9ADC"/>
          <w:sz w:val="24"/>
          <w:szCs w:val="24"/>
        </w:rPr>
      </w:pPr>
      <w:r w:rsidRPr="00E509A1">
        <w:rPr>
          <w:rFonts w:eastAsiaTheme="majorEastAsia" w:cstheme="majorBidi"/>
          <w:b/>
          <w:bCs/>
          <w:color w:val="2C9ADC"/>
          <w:sz w:val="24"/>
          <w:szCs w:val="24"/>
        </w:rPr>
        <w:lastRenderedPageBreak/>
        <w:t xml:space="preserve">Ohlásené príjmové opatrenia </w:t>
      </w:r>
      <w:r>
        <w:rPr>
          <w:rFonts w:eastAsiaTheme="majorEastAsia" w:cstheme="majorBidi"/>
          <w:b/>
          <w:bCs/>
          <w:color w:val="2C9ADC"/>
          <w:sz w:val="24"/>
          <w:szCs w:val="24"/>
        </w:rPr>
        <w:t xml:space="preserve">(zatiaľ </w:t>
      </w:r>
      <w:r w:rsidRPr="00E509A1">
        <w:rPr>
          <w:rFonts w:eastAsiaTheme="majorEastAsia" w:cstheme="majorBidi"/>
          <w:b/>
          <w:bCs/>
          <w:color w:val="2C9ADC"/>
          <w:sz w:val="24"/>
          <w:szCs w:val="24"/>
        </w:rPr>
        <w:t>nezapracované v</w:t>
      </w:r>
      <w:r w:rsidR="00C01E59">
        <w:rPr>
          <w:rFonts w:eastAsiaTheme="majorEastAsia" w:cstheme="majorBidi"/>
          <w:b/>
          <w:bCs/>
          <w:color w:val="2C9ADC"/>
          <w:sz w:val="24"/>
          <w:szCs w:val="24"/>
        </w:rPr>
        <w:t> Programe stability</w:t>
      </w:r>
      <w:r>
        <w:rPr>
          <w:rFonts w:eastAsiaTheme="majorEastAsia" w:cstheme="majorBidi"/>
          <w:b/>
          <w:bCs/>
          <w:color w:val="2C9ADC"/>
          <w:sz w:val="24"/>
          <w:szCs w:val="24"/>
        </w:rPr>
        <w:t>)</w:t>
      </w:r>
      <w:r w:rsidRPr="00E509A1">
        <w:rPr>
          <w:rFonts w:eastAsiaTheme="majorEastAsia" w:cstheme="majorBidi"/>
          <w:b/>
          <w:bCs/>
          <w:color w:val="2C9ADC"/>
          <w:sz w:val="24"/>
          <w:szCs w:val="24"/>
        </w:rPr>
        <w:t xml:space="preserve"> </w:t>
      </w:r>
    </w:p>
    <w:p w14:paraId="5259D36A" w14:textId="03E7137C" w:rsidR="009A2A34" w:rsidRDefault="009A2A34" w:rsidP="00664E8C">
      <w:pPr>
        <w:spacing w:before="120"/>
        <w:jc w:val="both"/>
        <w:rPr>
          <w:rStyle w:val="eop"/>
          <w:color w:val="000000"/>
          <w:shd w:val="clear" w:color="auto" w:fill="FFFFFF"/>
        </w:rPr>
      </w:pPr>
      <w:r>
        <w:rPr>
          <w:b/>
          <w:bCs/>
        </w:rPr>
        <w:lastRenderedPageBreak/>
        <w:t>Vláda oznámila z</w:t>
      </w:r>
      <w:r w:rsidRPr="0038207C">
        <w:rPr>
          <w:b/>
          <w:bCs/>
        </w:rPr>
        <w:t xml:space="preserve">avedenie </w:t>
      </w:r>
      <w:r>
        <w:rPr>
          <w:b/>
          <w:bCs/>
        </w:rPr>
        <w:t xml:space="preserve">novej </w:t>
      </w:r>
      <w:r w:rsidRPr="0038207C">
        <w:rPr>
          <w:b/>
          <w:bCs/>
        </w:rPr>
        <w:t>spotrebnej dane zo sladených nealkoholických nápojov</w:t>
      </w:r>
      <w:r>
        <w:rPr>
          <w:b/>
          <w:bCs/>
        </w:rPr>
        <w:t xml:space="preserve">. </w:t>
      </w:r>
      <w:r>
        <w:t>Nová daň má byť účinná od začiatku roka 2025. Bude</w:t>
      </w:r>
      <w:r w:rsidRPr="00CC0C7F">
        <w:t xml:space="preserve"> sa</w:t>
      </w:r>
      <w:r>
        <w:t xml:space="preserve"> vzťahovať</w:t>
      </w:r>
      <w:r w:rsidRPr="00CC0C7F">
        <w:t xml:space="preserve"> na nápoje s pridaným cukrom či umelými sladidlami</w:t>
      </w:r>
      <w:r>
        <w:rPr>
          <w:rStyle w:val="Odkaznapoznmkupodiarou"/>
          <w:color w:val="000000"/>
          <w:shd w:val="clear" w:color="auto" w:fill="FFFFFF"/>
        </w:rPr>
        <w:footnoteReference w:id="31"/>
      </w:r>
      <w:r w:rsidRPr="00CC0C7F">
        <w:t xml:space="preserve"> </w:t>
      </w:r>
      <w:r>
        <w:t>vo výške</w:t>
      </w:r>
      <w:r w:rsidRPr="00CC0C7F">
        <w:t xml:space="preserve"> </w:t>
      </w:r>
      <w:r w:rsidR="00E00F85">
        <w:t xml:space="preserve">15 resp. </w:t>
      </w:r>
      <w:r w:rsidRPr="00CC0C7F">
        <w:t>30 centov za liter.</w:t>
      </w:r>
      <w:r>
        <w:t xml:space="preserve"> Verejné príjmy sa tak navýšia o 0,1 % HDP (85 mil. v roku 2025 až 118 mil. v roku 2027).</w:t>
      </w:r>
      <w:r w:rsidRPr="0038207C">
        <w:rPr>
          <w:b/>
          <w:bCs/>
        </w:rPr>
        <w:t xml:space="preserve"> </w:t>
      </w:r>
      <w:r w:rsidR="00E00F85" w:rsidRPr="00E00F85">
        <w:t>Cieľom opatrenia je konsolidácia verejných financií a vláda neočakáva automaticky, že</w:t>
      </w:r>
      <w:r w:rsidR="00E00F85">
        <w:rPr>
          <w:b/>
          <w:bCs/>
        </w:rPr>
        <w:t xml:space="preserve"> </w:t>
      </w:r>
      <w:r w:rsidR="00E00F85">
        <w:rPr>
          <w:rStyle w:val="normaltextrun"/>
          <w:color w:val="000000"/>
          <w:shd w:val="clear" w:color="auto" w:fill="FFFFFF"/>
        </w:rPr>
        <w:t xml:space="preserve">povedie k </w:t>
      </w:r>
      <w:r>
        <w:rPr>
          <w:rStyle w:val="normaltextrun"/>
          <w:color w:val="000000"/>
          <w:shd w:val="clear" w:color="auto" w:fill="FFFFFF"/>
        </w:rPr>
        <w:t>zníženi</w:t>
      </w:r>
      <w:r w:rsidR="00E00F85">
        <w:rPr>
          <w:rStyle w:val="normaltextrun"/>
          <w:color w:val="000000"/>
          <w:shd w:val="clear" w:color="auto" w:fill="FFFFFF"/>
        </w:rPr>
        <w:t>u</w:t>
      </w:r>
      <w:r>
        <w:rPr>
          <w:rStyle w:val="normaltextrun"/>
          <w:color w:val="000000"/>
          <w:shd w:val="clear" w:color="auto" w:fill="FFFFFF"/>
        </w:rPr>
        <w:t xml:space="preserve"> výskytu obezity</w:t>
      </w:r>
      <w:r w:rsidR="00847AD9">
        <w:rPr>
          <w:rStyle w:val="normaltextrun"/>
          <w:color w:val="000000"/>
          <w:shd w:val="clear" w:color="auto" w:fill="FFFFFF"/>
        </w:rPr>
        <w:t>,</w:t>
      </w:r>
      <w:r>
        <w:rPr>
          <w:rStyle w:val="normaltextrun"/>
          <w:color w:val="000000"/>
          <w:shd w:val="clear" w:color="auto" w:fill="FFFFFF"/>
        </w:rPr>
        <w:t xml:space="preserve"> či ďalších chorôb súvisiacich so stravovaním.</w:t>
      </w:r>
      <w:r>
        <w:rPr>
          <w:rStyle w:val="eop"/>
          <w:color w:val="000000"/>
          <w:shd w:val="clear" w:color="auto" w:fill="FFFFFF"/>
        </w:rPr>
        <w:t> </w:t>
      </w:r>
    </w:p>
    <w:p w14:paraId="5B105AE1" w14:textId="19FF23C9" w:rsidR="009A2A34" w:rsidRPr="00566F85" w:rsidRDefault="009A2A34" w:rsidP="005D2A07">
      <w:pPr>
        <w:spacing w:before="120"/>
        <w:jc w:val="both"/>
        <w:rPr>
          <w:b/>
          <w:bCs/>
        </w:rPr>
      </w:pPr>
      <w:r w:rsidRPr="00F4433B">
        <w:rPr>
          <w:rStyle w:val="eop"/>
          <w:b/>
          <w:bCs/>
          <w:color w:val="000000"/>
          <w:shd w:val="clear" w:color="auto" w:fill="FFFFFF"/>
        </w:rPr>
        <w:t>Zavedie sa tiež spotrebná daň z iných ako tabakových výrobkov a navýši sa daň z tabakových výrobkov.</w:t>
      </w:r>
      <w:r>
        <w:rPr>
          <w:rStyle w:val="eop"/>
          <w:color w:val="000000"/>
          <w:shd w:val="clear" w:color="auto" w:fill="FFFFFF"/>
        </w:rPr>
        <w:t xml:space="preserve"> Od začiatku roka 2025 budú zdanené</w:t>
      </w:r>
      <w:r>
        <w:rPr>
          <w:rStyle w:val="normaltextrun"/>
          <w:rFonts w:ascii="Arial" w:hAnsi="Arial" w:cs="Arial"/>
        </w:rPr>
        <w:t> </w:t>
      </w:r>
      <w:r>
        <w:rPr>
          <w:rStyle w:val="normaltextrun"/>
          <w:rFonts w:cs="Segoe UI"/>
        </w:rPr>
        <w:t>elektronick</w:t>
      </w:r>
      <w:r>
        <w:rPr>
          <w:rStyle w:val="normaltextrun"/>
          <w:rFonts w:cs="Arial Narrow"/>
        </w:rPr>
        <w:t>é</w:t>
      </w:r>
      <w:r>
        <w:rPr>
          <w:rStyle w:val="normaltextrun"/>
          <w:rFonts w:cs="Segoe UI"/>
        </w:rPr>
        <w:t xml:space="preserve"> cigarety, nikot</w:t>
      </w:r>
      <w:r>
        <w:rPr>
          <w:rStyle w:val="normaltextrun"/>
          <w:rFonts w:cs="Arial Narrow"/>
        </w:rPr>
        <w:t>í</w:t>
      </w:r>
      <w:r>
        <w:rPr>
          <w:rStyle w:val="normaltextrun"/>
          <w:rFonts w:cs="Segoe UI"/>
        </w:rPr>
        <w:t>nov</w:t>
      </w:r>
      <w:r>
        <w:rPr>
          <w:rStyle w:val="normaltextrun"/>
          <w:rFonts w:cs="Arial Narrow"/>
        </w:rPr>
        <w:t>é</w:t>
      </w:r>
      <w:r>
        <w:rPr>
          <w:rStyle w:val="normaltextrun"/>
          <w:rFonts w:cs="Segoe UI"/>
        </w:rPr>
        <w:t xml:space="preserve"> vrec</w:t>
      </w:r>
      <w:r>
        <w:rPr>
          <w:rStyle w:val="normaltextrun"/>
          <w:rFonts w:cs="Arial Narrow"/>
        </w:rPr>
        <w:t>úš</w:t>
      </w:r>
      <w:r>
        <w:rPr>
          <w:rStyle w:val="normaltextrun"/>
          <w:rFonts w:cs="Segoe UI"/>
        </w:rPr>
        <w:t>ka ako a in</w:t>
      </w:r>
      <w:r>
        <w:rPr>
          <w:rStyle w:val="normaltextrun"/>
          <w:rFonts w:cs="Arial Narrow"/>
        </w:rPr>
        <w:t>é</w:t>
      </w:r>
      <w:r>
        <w:rPr>
          <w:rStyle w:val="normaltextrun"/>
          <w:rFonts w:cs="Segoe UI"/>
        </w:rPr>
        <w:t xml:space="preserve"> v</w:t>
      </w:r>
      <w:r>
        <w:rPr>
          <w:rStyle w:val="normaltextrun"/>
          <w:rFonts w:cs="Arial Narrow"/>
        </w:rPr>
        <w:t>ý</w:t>
      </w:r>
      <w:r>
        <w:rPr>
          <w:rStyle w:val="normaltextrun"/>
          <w:rFonts w:cs="Segoe UI"/>
        </w:rPr>
        <w:t>robk</w:t>
      </w:r>
      <w:r w:rsidR="0026736F">
        <w:rPr>
          <w:rStyle w:val="normaltextrun"/>
          <w:rFonts w:cs="Segoe UI"/>
        </w:rPr>
        <w:t>y</w:t>
      </w:r>
      <w:r>
        <w:rPr>
          <w:rStyle w:val="normaltextrun"/>
          <w:rFonts w:cs="Segoe UI"/>
        </w:rPr>
        <w:t xml:space="preserve"> obsahuj</w:t>
      </w:r>
      <w:r>
        <w:rPr>
          <w:rStyle w:val="normaltextrun"/>
          <w:rFonts w:cs="Arial Narrow"/>
        </w:rPr>
        <w:t>ú</w:t>
      </w:r>
      <w:r>
        <w:rPr>
          <w:rStyle w:val="normaltextrun"/>
          <w:rFonts w:cs="Segoe UI"/>
        </w:rPr>
        <w:t>c</w:t>
      </w:r>
      <w:r w:rsidR="0026736F">
        <w:rPr>
          <w:rStyle w:val="normaltextrun"/>
          <w:rFonts w:cs="Segoe UI"/>
        </w:rPr>
        <w:t>e</w:t>
      </w:r>
      <w:r>
        <w:rPr>
          <w:rStyle w:val="normaltextrun"/>
          <w:rFonts w:cs="Segoe UI"/>
        </w:rPr>
        <w:t xml:space="preserve"> nikot</w:t>
      </w:r>
      <w:r>
        <w:rPr>
          <w:rStyle w:val="normaltextrun"/>
          <w:rFonts w:cs="Arial Narrow"/>
        </w:rPr>
        <w:t>í</w:t>
      </w:r>
      <w:r>
        <w:rPr>
          <w:rStyle w:val="normaltextrun"/>
          <w:rFonts w:cs="Segoe UI"/>
        </w:rPr>
        <w:t>n. Výška zdanenia bude na úrovni priemeru krajín EÚ (sadzby pre rok 2025):</w:t>
      </w:r>
      <w:r>
        <w:rPr>
          <w:rStyle w:val="normaltextrun"/>
          <w:rFonts w:cs="Segoe UI"/>
          <w:color w:val="131D2B"/>
        </w:rPr>
        <w:t xml:space="preserve"> 0,20 eur/ml pre náplne do elektronických cigariet, 0,05 eur/g pre ostatné nikotínové výrobky. V</w:t>
      </w:r>
      <w:r>
        <w:rPr>
          <w:rStyle w:val="normaltextrun"/>
          <w:rFonts w:ascii="Arial" w:hAnsi="Arial" w:cs="Arial"/>
          <w:color w:val="131D2B"/>
        </w:rPr>
        <w:t> </w:t>
      </w:r>
      <w:r>
        <w:rPr>
          <w:rStyle w:val="normaltextrun"/>
          <w:rFonts w:cs="Segoe UI"/>
          <w:color w:val="131D2B"/>
        </w:rPr>
        <w:t>roku 2027 sa predpoklad</w:t>
      </w:r>
      <w:r>
        <w:rPr>
          <w:rStyle w:val="normaltextrun"/>
          <w:rFonts w:cs="Arial Narrow"/>
          <w:color w:val="131D2B"/>
        </w:rPr>
        <w:t>á</w:t>
      </w:r>
      <w:r>
        <w:rPr>
          <w:rStyle w:val="normaltextrun"/>
          <w:rFonts w:cs="Segoe UI"/>
          <w:color w:val="131D2B"/>
        </w:rPr>
        <w:t xml:space="preserve"> ich n</w:t>
      </w:r>
      <w:r>
        <w:rPr>
          <w:rStyle w:val="normaltextrun"/>
          <w:rFonts w:cs="Arial Narrow"/>
          <w:color w:val="131D2B"/>
        </w:rPr>
        <w:t>á</w:t>
      </w:r>
      <w:r>
        <w:rPr>
          <w:rStyle w:val="normaltextrun"/>
          <w:rFonts w:cs="Segoe UI"/>
          <w:color w:val="131D2B"/>
        </w:rPr>
        <w:t xml:space="preserve">rast na </w:t>
      </w:r>
      <w:r>
        <w:rPr>
          <w:rStyle w:val="normaltextrun"/>
          <w:rFonts w:cs="Arial Narrow"/>
          <w:color w:val="131D2B"/>
        </w:rPr>
        <w:t>ú</w:t>
      </w:r>
      <w:r>
        <w:rPr>
          <w:rStyle w:val="normaltextrun"/>
          <w:rFonts w:cs="Segoe UI"/>
          <w:color w:val="131D2B"/>
        </w:rPr>
        <w:t>rove</w:t>
      </w:r>
      <w:r>
        <w:rPr>
          <w:rStyle w:val="normaltextrun"/>
          <w:rFonts w:cs="Arial Narrow"/>
          <w:color w:val="131D2B"/>
        </w:rPr>
        <w:t>ň</w:t>
      </w:r>
      <w:r>
        <w:rPr>
          <w:rStyle w:val="normaltextrun"/>
          <w:rFonts w:cs="Segoe UI"/>
          <w:color w:val="131D2B"/>
        </w:rPr>
        <w:t xml:space="preserve"> 0,30 eur/ml pre n</w:t>
      </w:r>
      <w:r>
        <w:rPr>
          <w:rStyle w:val="normaltextrun"/>
          <w:rFonts w:cs="Arial Narrow"/>
          <w:color w:val="131D2B"/>
        </w:rPr>
        <w:t>á</w:t>
      </w:r>
      <w:r>
        <w:rPr>
          <w:rStyle w:val="normaltextrun"/>
          <w:rFonts w:cs="Segoe UI"/>
          <w:color w:val="131D2B"/>
        </w:rPr>
        <w:t>plne do elektronick</w:t>
      </w:r>
      <w:r>
        <w:rPr>
          <w:rStyle w:val="normaltextrun"/>
          <w:rFonts w:cs="Arial Narrow"/>
          <w:color w:val="131D2B"/>
        </w:rPr>
        <w:t>ý</w:t>
      </w:r>
      <w:r>
        <w:rPr>
          <w:rStyle w:val="normaltextrun"/>
          <w:rFonts w:cs="Segoe UI"/>
          <w:color w:val="131D2B"/>
        </w:rPr>
        <w:t>ch cigariet a 0,20 eur/g pre ostatn</w:t>
      </w:r>
      <w:r>
        <w:rPr>
          <w:rStyle w:val="normaltextrun"/>
          <w:rFonts w:cs="Arial Narrow"/>
          <w:color w:val="131D2B"/>
        </w:rPr>
        <w:t>é</w:t>
      </w:r>
      <w:r>
        <w:rPr>
          <w:rStyle w:val="normaltextrun"/>
          <w:rFonts w:cs="Segoe UI"/>
          <w:color w:val="131D2B"/>
        </w:rPr>
        <w:t xml:space="preserve"> nikot</w:t>
      </w:r>
      <w:r>
        <w:rPr>
          <w:rStyle w:val="normaltextrun"/>
          <w:rFonts w:cs="Arial Narrow"/>
          <w:color w:val="131D2B"/>
        </w:rPr>
        <w:t>í</w:t>
      </w:r>
      <w:r>
        <w:rPr>
          <w:rStyle w:val="normaltextrun"/>
          <w:rFonts w:cs="Segoe UI"/>
          <w:color w:val="131D2B"/>
        </w:rPr>
        <w:t>nov</w:t>
      </w:r>
      <w:r>
        <w:rPr>
          <w:rStyle w:val="normaltextrun"/>
          <w:rFonts w:cs="Arial Narrow"/>
          <w:color w:val="131D2B"/>
        </w:rPr>
        <w:t>é</w:t>
      </w:r>
      <w:r>
        <w:rPr>
          <w:rStyle w:val="normaltextrun"/>
          <w:rFonts w:cs="Segoe UI"/>
          <w:color w:val="131D2B"/>
        </w:rPr>
        <w:t xml:space="preserve"> v</w:t>
      </w:r>
      <w:r>
        <w:rPr>
          <w:rStyle w:val="normaltextrun"/>
          <w:rFonts w:cs="Arial Narrow"/>
          <w:color w:val="131D2B"/>
        </w:rPr>
        <w:t>ý</w:t>
      </w:r>
      <w:r>
        <w:rPr>
          <w:rStyle w:val="normaltextrun"/>
          <w:rFonts w:cs="Segoe UI"/>
          <w:color w:val="131D2B"/>
        </w:rPr>
        <w:t>robky.</w:t>
      </w:r>
      <w:r w:rsidRPr="00566F85">
        <w:rPr>
          <w:rStyle w:val="normaltextrun"/>
          <w:rFonts w:cs="Segoe UI"/>
          <w:color w:val="131D2B"/>
        </w:rPr>
        <w:t xml:space="preserve"> </w:t>
      </w:r>
      <w:r>
        <w:rPr>
          <w:rStyle w:val="normaltextrun"/>
          <w:rFonts w:cs="Segoe UI"/>
          <w:color w:val="131D2B"/>
        </w:rPr>
        <w:t>Zdanením týchto výrobkov sa zabezpečia rovnaké podmienky na trhu s tabakovými výrobkami.</w:t>
      </w:r>
      <w:r>
        <w:rPr>
          <w:rStyle w:val="eop"/>
          <w:rFonts w:cs="Segoe UI"/>
          <w:color w:val="131D2B"/>
        </w:rPr>
        <w:t xml:space="preserve"> Od roku 2026 bude </w:t>
      </w:r>
      <w:r>
        <w:rPr>
          <w:rStyle w:val="normaltextrun"/>
          <w:rFonts w:cs="Segoe UI"/>
        </w:rPr>
        <w:t>pokračovať daňový kalendára pri tabakových výrobkoch. Plánuje sa zvýšenie sadzieb v</w:t>
      </w:r>
      <w:r>
        <w:rPr>
          <w:rStyle w:val="normaltextrun"/>
          <w:rFonts w:ascii="Arial" w:hAnsi="Arial" w:cs="Arial"/>
        </w:rPr>
        <w:t> </w:t>
      </w:r>
      <w:r>
        <w:rPr>
          <w:rStyle w:val="normaltextrun"/>
          <w:rFonts w:cs="Segoe UI"/>
        </w:rPr>
        <w:t>rokoch 2026 a</w:t>
      </w:r>
      <w:r>
        <w:rPr>
          <w:rStyle w:val="normaltextrun"/>
          <w:rFonts w:ascii="Arial" w:hAnsi="Arial" w:cs="Arial"/>
        </w:rPr>
        <w:t> </w:t>
      </w:r>
      <w:r>
        <w:rPr>
          <w:rStyle w:val="normaltextrun"/>
          <w:rFonts w:cs="Segoe UI"/>
        </w:rPr>
        <w:t>2028 tak, aby cena krabi</w:t>
      </w:r>
      <w:r>
        <w:rPr>
          <w:rStyle w:val="normaltextrun"/>
          <w:rFonts w:cs="Arial Narrow"/>
        </w:rPr>
        <w:t>č</w:t>
      </w:r>
      <w:r>
        <w:rPr>
          <w:rStyle w:val="normaltextrun"/>
          <w:rFonts w:cs="Segoe UI"/>
        </w:rPr>
        <w:t>ky cigariet vzr</w:t>
      </w:r>
      <w:r>
        <w:rPr>
          <w:rStyle w:val="normaltextrun"/>
          <w:rFonts w:cs="Arial Narrow"/>
        </w:rPr>
        <w:t>á</w:t>
      </w:r>
      <w:r>
        <w:rPr>
          <w:rStyle w:val="normaltextrun"/>
          <w:rFonts w:cs="Segoe UI"/>
        </w:rPr>
        <w:t>stla v</w:t>
      </w:r>
      <w:r>
        <w:rPr>
          <w:rStyle w:val="normaltextrun"/>
          <w:rFonts w:ascii="Arial" w:hAnsi="Arial" w:cs="Arial"/>
        </w:rPr>
        <w:t> </w:t>
      </w:r>
      <w:r>
        <w:rPr>
          <w:rStyle w:val="normaltextrun"/>
          <w:rFonts w:cs="Segoe UI"/>
        </w:rPr>
        <w:t>obidvoch rokoch o</w:t>
      </w:r>
      <w:r>
        <w:rPr>
          <w:rStyle w:val="normaltextrun"/>
          <w:rFonts w:ascii="Arial" w:hAnsi="Arial" w:cs="Arial"/>
        </w:rPr>
        <w:t> </w:t>
      </w:r>
      <w:r>
        <w:rPr>
          <w:rStyle w:val="normaltextrun"/>
          <w:rFonts w:cs="Segoe UI"/>
        </w:rPr>
        <w:t>40 centov</w:t>
      </w:r>
      <w:r>
        <w:rPr>
          <w:rStyle w:val="eop"/>
          <w:rFonts w:cs="Segoe UI"/>
        </w:rPr>
        <w:t>. Opatrenie prinesie 15 mil. v roku 2025, resp. 174 mil. v roku 2027.</w:t>
      </w:r>
    </w:p>
    <w:p w14:paraId="52DDEE6B" w14:textId="77777777" w:rsidR="009A2A34" w:rsidRDefault="009A2A34"/>
    <w:p w14:paraId="795A2D91" w14:textId="77777777" w:rsidR="009A2A34" w:rsidRDefault="009A2A34">
      <w:r>
        <w:br w:type="page"/>
      </w:r>
    </w:p>
    <w:p w14:paraId="295472ED" w14:textId="1911903F" w:rsidR="009A2A34" w:rsidRPr="00CC1F9E" w:rsidRDefault="00174AC2" w:rsidP="00F8670D">
      <w:pPr>
        <w:pStyle w:val="Nadpis1"/>
        <w:numPr>
          <w:ilvl w:val="0"/>
          <w:numId w:val="29"/>
        </w:numPr>
        <w:ind w:left="397" w:hanging="397"/>
        <w:rPr>
          <w:rFonts w:cs="Arial Narrow"/>
          <w:color w:val="2C9ADC"/>
          <w:szCs w:val="28"/>
        </w:rPr>
      </w:pPr>
      <w:bookmarkStart w:id="144" w:name="_Toc164684484"/>
      <w:r>
        <w:rPr>
          <w:color w:val="2C9ADC"/>
          <w:szCs w:val="28"/>
        </w:rPr>
        <w:lastRenderedPageBreak/>
        <w:t>DLH VEREJNEJ SPRÁVY A</w:t>
      </w:r>
      <w:r w:rsidR="00C0698E">
        <w:rPr>
          <w:color w:val="2C9ADC"/>
          <w:szCs w:val="28"/>
        </w:rPr>
        <w:t xml:space="preserve"> DLHODOBÁ </w:t>
      </w:r>
      <w:r>
        <w:rPr>
          <w:color w:val="2C9ADC"/>
          <w:szCs w:val="28"/>
        </w:rPr>
        <w:t>UDRŽATEĽNOSŤ VEREJNÝCH FINANCIÍ</w:t>
      </w:r>
      <w:bookmarkEnd w:id="144"/>
    </w:p>
    <w:tbl>
      <w:tblPr>
        <w:tblW w:w="9198" w:type="dxa"/>
        <w:tblBorders>
          <w:top w:val="single" w:sz="4" w:space="0" w:color="000000"/>
          <w:left w:val="nil"/>
          <w:bottom w:val="single" w:sz="4" w:space="0" w:color="000000"/>
          <w:right w:val="nil"/>
          <w:insideH w:val="nil"/>
          <w:insideV w:val="nil"/>
        </w:tblBorders>
        <w:tblLayout w:type="fixed"/>
        <w:tblCellMar>
          <w:left w:w="115" w:type="dxa"/>
          <w:right w:w="115" w:type="dxa"/>
        </w:tblCellMar>
        <w:tblLook w:val="0400" w:firstRow="0" w:lastRow="0" w:firstColumn="0" w:lastColumn="0" w:noHBand="0" w:noVBand="1"/>
      </w:tblPr>
      <w:tblGrid>
        <w:gridCol w:w="9198"/>
      </w:tblGrid>
      <w:tr w:rsidR="009A2A34" w:rsidRPr="000C2395" w14:paraId="7F8CFBF2" w14:textId="77777777" w:rsidTr="00CC1F9E">
        <w:trPr>
          <w:trHeight w:val="277"/>
        </w:trPr>
        <w:tc>
          <w:tcPr>
            <w:tcW w:w="9198" w:type="dxa"/>
            <w:shd w:val="clear" w:color="auto" w:fill="auto"/>
          </w:tcPr>
          <w:p w14:paraId="27C9B0B6" w14:textId="77777777" w:rsidR="009A2A34" w:rsidRPr="00CC1F9E" w:rsidRDefault="009A2A34" w:rsidP="00CC1F9E">
            <w:pPr>
              <w:jc w:val="both"/>
              <w:rPr>
                <w:i/>
                <w:color w:val="000000" w:themeColor="text1"/>
              </w:rPr>
            </w:pPr>
            <w:r w:rsidRPr="009E6910">
              <w:rPr>
                <w:i/>
                <w:color w:val="000000" w:themeColor="text1"/>
              </w:rPr>
              <w:t>Hrubý dlh verejnej správ</w:t>
            </w:r>
            <w:r>
              <w:rPr>
                <w:i/>
                <w:color w:val="000000" w:themeColor="text1"/>
              </w:rPr>
              <w:t>y</w:t>
            </w:r>
            <w:r w:rsidRPr="009E6910">
              <w:rPr>
                <w:i/>
                <w:color w:val="000000" w:themeColor="text1"/>
              </w:rPr>
              <w:t xml:space="preserve"> bez aktívnej konsolidácie </w:t>
            </w:r>
            <w:r>
              <w:rPr>
                <w:i/>
                <w:color w:val="000000" w:themeColor="text1"/>
              </w:rPr>
              <w:t xml:space="preserve">v ďalších rokoch </w:t>
            </w:r>
            <w:r w:rsidRPr="009E6910">
              <w:rPr>
                <w:i/>
                <w:color w:val="000000" w:themeColor="text1"/>
              </w:rPr>
              <w:t xml:space="preserve">nebude možné stabilizovať. Aktuálne nastavenie rozpočtu s deficitmi nad 5 % HDP </w:t>
            </w:r>
            <w:r>
              <w:rPr>
                <w:i/>
                <w:color w:val="000000" w:themeColor="text1"/>
              </w:rPr>
              <w:t xml:space="preserve">by </w:t>
            </w:r>
            <w:r w:rsidRPr="009E6910">
              <w:rPr>
                <w:i/>
                <w:color w:val="000000" w:themeColor="text1"/>
              </w:rPr>
              <w:t>zvýši</w:t>
            </w:r>
            <w:r>
              <w:rPr>
                <w:i/>
                <w:color w:val="000000" w:themeColor="text1"/>
              </w:rPr>
              <w:t>lo</w:t>
            </w:r>
            <w:r w:rsidRPr="009E6910">
              <w:rPr>
                <w:i/>
                <w:color w:val="000000" w:themeColor="text1"/>
              </w:rPr>
              <w:t xml:space="preserve"> dlh do roku 2027 na takmer 70 % HDP</w:t>
            </w:r>
            <w:r>
              <w:rPr>
                <w:i/>
                <w:color w:val="000000" w:themeColor="text1"/>
              </w:rPr>
              <w:t xml:space="preserve"> a v nasledujúcich desiatich rokoch až k 100 % HDP. Naopak, ciele vlády znížiť deficitné hospodárenie pod 3 % HDP do konca aktuálneho volebného obdobia dynamiku rastu dlhu zmiernia a ku koncu roka 2027 ho zastabilizujú nad úrovňou 60 % HDP. Aj indikátory dlhodobej udržateľnosti v pásme vysokého riziká ukazujú, že ozdravovanie verejných financií bude musieť pokračovať aj v ďalšom volebnom období. Pokračujúca konsolidácia po roku 2027 by umocnila trend vývoja dlhu na klesajúcej trajektórii smerom k nižším pásmam dlhovej brzdy. </w:t>
            </w:r>
          </w:p>
        </w:tc>
      </w:tr>
    </w:tbl>
    <w:p w14:paraId="5EAA7E34" w14:textId="1B007669" w:rsidR="009A2A34" w:rsidRPr="003C5534" w:rsidRDefault="009A2A34" w:rsidP="003C5534">
      <w:pPr>
        <w:pStyle w:val="Nadpis2"/>
        <w:numPr>
          <w:ilvl w:val="1"/>
          <w:numId w:val="29"/>
        </w:numPr>
        <w:spacing w:after="120"/>
        <w:rPr>
          <w:b/>
          <w:bCs/>
          <w:color w:val="2C9ADC"/>
          <w:szCs w:val="24"/>
        </w:rPr>
      </w:pPr>
      <w:bookmarkStart w:id="145" w:name="_Toc152932736"/>
      <w:bookmarkStart w:id="146" w:name="_Toc164684485"/>
      <w:r w:rsidRPr="003C5534">
        <w:rPr>
          <w:b/>
          <w:bCs/>
          <w:color w:val="2C9ADC"/>
          <w:szCs w:val="24"/>
        </w:rPr>
        <w:t>Hrubý dlh</w:t>
      </w:r>
      <w:bookmarkEnd w:id="145"/>
      <w:r w:rsidRPr="003C5534">
        <w:rPr>
          <w:b/>
          <w:bCs/>
          <w:color w:val="2C9ADC"/>
          <w:szCs w:val="24"/>
        </w:rPr>
        <w:t xml:space="preserve"> verejnej správy</w:t>
      </w:r>
      <w:bookmarkEnd w:id="146"/>
    </w:p>
    <w:p w14:paraId="4DB88481" w14:textId="74F2DFDA" w:rsidR="009A2A34" w:rsidRDefault="009A2A34" w:rsidP="003C5534">
      <w:pPr>
        <w:spacing w:before="120" w:after="120"/>
        <w:jc w:val="both"/>
        <w:rPr>
          <w:bCs/>
        </w:rPr>
      </w:pPr>
      <w:r>
        <w:rPr>
          <w:b/>
        </w:rPr>
        <w:t xml:space="preserve">Podľa aktuálne nastaveného rozpočtu verejnej správy by hrubý dlh v ďalších rokoch rástol a v roku 2027 dosiahol takmer 70 % HDP. </w:t>
      </w:r>
      <w:r>
        <w:rPr>
          <w:bCs/>
        </w:rPr>
        <w:t>Zadlženie verejnej správy v pomere k HDP v minulom roku kleslo na 56 %</w:t>
      </w:r>
      <w:r>
        <w:rPr>
          <w:rStyle w:val="Odkaznapoznmkupodiarou"/>
          <w:bCs/>
        </w:rPr>
        <w:footnoteReference w:id="32"/>
      </w:r>
      <w:r>
        <w:rPr>
          <w:bCs/>
        </w:rPr>
        <w:t>. Hoci sa dlh medziročne znížil</w:t>
      </w:r>
      <w:r w:rsidRPr="00E945C1">
        <w:rPr>
          <w:bCs/>
        </w:rPr>
        <w:t xml:space="preserve"> </w:t>
      </w:r>
      <w:r>
        <w:rPr>
          <w:bCs/>
        </w:rPr>
        <w:t>o 1,7 p. b. hlavne pod vplyvom vysokej inflácie</w:t>
      </w:r>
      <w:r w:rsidRPr="00A77EFF">
        <w:rPr>
          <w:bCs/>
        </w:rPr>
        <w:t xml:space="preserve"> </w:t>
      </w:r>
      <w:r>
        <w:rPr>
          <w:bCs/>
        </w:rPr>
        <w:t>a väčšieho využitia naakumulovaných finančných aktív z predchádzajúcich rokov, ostáva v najvyššom sankčnom pásme dlhovej brzdy.</w:t>
      </w:r>
      <w:r>
        <w:rPr>
          <w:rStyle w:val="Odkaznapoznmkupodiarou"/>
          <w:bCs/>
        </w:rPr>
        <w:footnoteReference w:id="33"/>
      </w:r>
      <w:r>
        <w:rPr>
          <w:bCs/>
        </w:rPr>
        <w:t xml:space="preserve"> Už v aktuálnom roku sa však dynamika zvráti a dlh bude opäť rásť. Hlavným zdrojom negatívneho vývoja je očakávaný deficit blízko 6 % HDP a oproti minulému roku menej ako polovičný vplyv inflácie na dlh cez efekt menovateľa. Rast dlhu by pokračoval aj v budúcom roku, dynamiku by čiastočne miernil očakávaný vyše 3-percentný reálny rast ekonomiky. Od roku 2026 by už znižujúce sa tempo rastu nominálneho HDP spôsobené klesajúcou infláciou nebolo schopné kompenzovať každoročné viac ako 5 %-né deficity vrátane rastúcich úrokových nákladov dosahujúcich </w:t>
      </w:r>
      <w:r w:rsidRPr="003C5826">
        <w:rPr>
          <w:bCs/>
        </w:rPr>
        <w:t>takmer 2 % HDP</w:t>
      </w:r>
      <w:r>
        <w:rPr>
          <w:bCs/>
        </w:rPr>
        <w:t xml:space="preserve"> ku koncu prognózy. Podľa aktuálne nastaveného rozpočtu by tak dlh v priebehu troch rokov vzrástol k hranici 70 % HDP.</w:t>
      </w:r>
    </w:p>
    <w:p w14:paraId="2482B225" w14:textId="2D43E0BC" w:rsidR="00885665" w:rsidRPr="0037385E" w:rsidRDefault="00885665" w:rsidP="003C5534">
      <w:pPr>
        <w:spacing w:before="120" w:after="120"/>
        <w:jc w:val="both"/>
        <w:rPr>
          <w:b/>
        </w:rPr>
      </w:pPr>
      <w:r>
        <w:rPr>
          <w:b/>
        </w:rPr>
        <w:t xml:space="preserve">Dlh sa teda stabilizuje len postupným znižovaním deficitu pod 3 % HDP do roku 2027 v súlade s rozpočtovými cieľmi vlády.  </w:t>
      </w:r>
      <w:r>
        <w:rPr>
          <w:bCs/>
        </w:rPr>
        <w:t>Nakoľko konsolidácia verejných financií bude prebiehať postupne, aj nepriaznivý vývoj dlhu sa bude otáčať postupne. Znižovanie deficitu však zabezpečí, že dlh krátkodobo narastie len miernejšie nad 60 % HDP. Po poklese deficitu pod 3 % HDP sa už rast dlhu zastaví a vytvoria sa priaznivé podmienky pre jeho znižovanie pod sankčné pásma dlhovej brzdy.</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564"/>
        <w:gridCol w:w="146"/>
        <w:gridCol w:w="4360"/>
      </w:tblGrid>
      <w:tr w:rsidR="009A2A34" w:rsidRPr="00D8210C" w14:paraId="6BD6154C" w14:textId="77777777" w:rsidTr="00CC1F9E">
        <w:trPr>
          <w:trHeight w:val="339"/>
        </w:trPr>
        <w:tc>
          <w:tcPr>
            <w:tcW w:w="2459" w:type="pct"/>
            <w:tcBorders>
              <w:top w:val="nil"/>
              <w:left w:val="nil"/>
              <w:bottom w:val="single" w:sz="4" w:space="0" w:color="auto"/>
              <w:right w:val="nil"/>
            </w:tcBorders>
            <w:shd w:val="clear" w:color="auto" w:fill="auto"/>
          </w:tcPr>
          <w:p w14:paraId="3AC02D1E" w14:textId="5B59717B" w:rsidR="009A2A34" w:rsidRPr="00C10D45" w:rsidRDefault="009A2A34" w:rsidP="00664E8C">
            <w:pPr>
              <w:widowControl w:val="0"/>
              <w:spacing w:before="120"/>
              <w:jc w:val="both"/>
              <w:rPr>
                <w:rFonts w:eastAsia="NeueHaasGroteskText W02" w:cs="Arial"/>
                <w:b/>
                <w:bCs/>
                <w:color w:val="2C9ADC"/>
                <w:sz w:val="20"/>
                <w:szCs w:val="20"/>
                <w:u w:color="2C9ADC"/>
              </w:rPr>
            </w:pPr>
            <w:bookmarkStart w:id="147" w:name="_Toc152932877"/>
            <w:bookmarkStart w:id="148" w:name="_Toc164684579"/>
            <w:r w:rsidRPr="00C10D45">
              <w:rPr>
                <w:rFonts w:cs="Arial Narrow"/>
                <w:b/>
                <w:bCs/>
                <w:color w:val="2C9ADC"/>
                <w:sz w:val="20"/>
                <w:szCs w:val="20"/>
              </w:rPr>
              <w:t xml:space="preserve">GRAF </w:t>
            </w:r>
            <w:r w:rsidRPr="00C10D45">
              <w:rPr>
                <w:b/>
                <w:color w:val="2C9ADC"/>
                <w:sz w:val="20"/>
                <w:szCs w:val="20"/>
              </w:rPr>
              <w:fldChar w:fldCharType="begin"/>
            </w:r>
            <w:r w:rsidRPr="00C10D45">
              <w:rPr>
                <w:b/>
                <w:color w:val="2C9ADC"/>
                <w:sz w:val="20"/>
                <w:szCs w:val="20"/>
              </w:rPr>
              <w:instrText xml:space="preserve"> SEQ GRAF \* ARABIC </w:instrText>
            </w:r>
            <w:r w:rsidRPr="00C10D45">
              <w:rPr>
                <w:b/>
                <w:color w:val="2C9ADC"/>
                <w:sz w:val="20"/>
                <w:szCs w:val="20"/>
              </w:rPr>
              <w:fldChar w:fldCharType="separate"/>
            </w:r>
            <w:r w:rsidR="007435E9">
              <w:rPr>
                <w:b/>
                <w:noProof/>
                <w:color w:val="2C9ADC"/>
                <w:sz w:val="20"/>
                <w:szCs w:val="20"/>
              </w:rPr>
              <w:t>14</w:t>
            </w:r>
            <w:r w:rsidRPr="00C10D45">
              <w:rPr>
                <w:b/>
                <w:color w:val="2C9ADC"/>
                <w:sz w:val="20"/>
                <w:szCs w:val="20"/>
              </w:rPr>
              <w:fldChar w:fldCharType="end"/>
            </w:r>
            <w:r w:rsidRPr="00C10D45">
              <w:rPr>
                <w:b/>
                <w:color w:val="2C9ADC"/>
                <w:sz w:val="20"/>
                <w:szCs w:val="20"/>
              </w:rPr>
              <w:t xml:space="preserve"> –</w:t>
            </w:r>
            <w:r w:rsidRPr="00C10D45">
              <w:rPr>
                <w:rFonts w:eastAsia="NeueHaasGroteskText W02" w:cs="Arial"/>
                <w:b/>
                <w:bCs/>
                <w:color w:val="2C9ADC"/>
                <w:sz w:val="20"/>
                <w:szCs w:val="20"/>
                <w:u w:color="2C9ADC"/>
              </w:rPr>
              <w:t> Prognóza hrubého a</w:t>
            </w:r>
            <w:r>
              <w:rPr>
                <w:rFonts w:eastAsia="NeueHaasGroteskText W02" w:cs="Arial"/>
                <w:b/>
                <w:bCs/>
                <w:color w:val="2C9ADC"/>
                <w:sz w:val="20"/>
                <w:szCs w:val="20"/>
                <w:u w:color="2C9ADC"/>
              </w:rPr>
              <w:t> </w:t>
            </w:r>
            <w:r w:rsidRPr="00C10D45">
              <w:rPr>
                <w:rFonts w:eastAsia="NeueHaasGroteskText W02" w:cs="Arial"/>
                <w:b/>
                <w:bCs/>
                <w:color w:val="2C9ADC"/>
                <w:sz w:val="20"/>
                <w:szCs w:val="20"/>
                <w:u w:color="2C9ADC"/>
              </w:rPr>
              <w:t>čistého</w:t>
            </w:r>
            <w:r>
              <w:rPr>
                <w:rFonts w:eastAsia="NeueHaasGroteskText W02" w:cs="Arial"/>
                <w:b/>
                <w:bCs/>
                <w:color w:val="2C9ADC"/>
                <w:sz w:val="20"/>
                <w:szCs w:val="20"/>
                <w:u w:color="2C9ADC"/>
              </w:rPr>
              <w:t xml:space="preserve"> dlhu </w:t>
            </w:r>
            <w:r w:rsidRPr="00C10D45">
              <w:rPr>
                <w:rFonts w:eastAsia="NeueHaasGroteskText W02" w:cs="Arial"/>
                <w:b/>
                <w:bCs/>
                <w:color w:val="2C9ADC"/>
                <w:sz w:val="20"/>
                <w:szCs w:val="20"/>
                <w:u w:color="2C9ADC"/>
              </w:rPr>
              <w:t>(% HDP)</w:t>
            </w:r>
            <w:bookmarkEnd w:id="147"/>
            <w:bookmarkEnd w:id="148"/>
          </w:p>
        </w:tc>
        <w:tc>
          <w:tcPr>
            <w:tcW w:w="80" w:type="pct"/>
            <w:tcBorders>
              <w:top w:val="nil"/>
              <w:left w:val="nil"/>
              <w:bottom w:val="nil"/>
              <w:right w:val="nil"/>
            </w:tcBorders>
            <w:shd w:val="clear" w:color="auto" w:fill="auto"/>
          </w:tcPr>
          <w:p w14:paraId="798FB315" w14:textId="77777777" w:rsidR="009A2A34" w:rsidRPr="00C10D45" w:rsidRDefault="009A2A34" w:rsidP="00CC1F9E">
            <w:pPr>
              <w:widowControl w:val="0"/>
              <w:spacing w:before="60" w:after="60"/>
              <w:rPr>
                <w:rFonts w:cs="Arial"/>
                <w:b/>
                <w:color w:val="2C9ADC"/>
                <w:sz w:val="20"/>
                <w:szCs w:val="20"/>
              </w:rPr>
            </w:pPr>
          </w:p>
        </w:tc>
        <w:tc>
          <w:tcPr>
            <w:tcW w:w="2461" w:type="pct"/>
            <w:tcBorders>
              <w:top w:val="nil"/>
              <w:left w:val="nil"/>
              <w:bottom w:val="single" w:sz="4" w:space="0" w:color="auto"/>
              <w:right w:val="nil"/>
            </w:tcBorders>
            <w:shd w:val="clear" w:color="auto" w:fill="auto"/>
          </w:tcPr>
          <w:p w14:paraId="18D62F02" w14:textId="316F56CF" w:rsidR="009A2A34" w:rsidRPr="00C10D45" w:rsidRDefault="009A2A34" w:rsidP="00664E8C">
            <w:pPr>
              <w:widowControl w:val="0"/>
              <w:spacing w:before="120"/>
              <w:jc w:val="both"/>
              <w:rPr>
                <w:b/>
                <w:color w:val="2C9ADC"/>
                <w:sz w:val="20"/>
                <w:szCs w:val="20"/>
              </w:rPr>
            </w:pPr>
            <w:bookmarkStart w:id="149" w:name="_Toc152932878"/>
            <w:bookmarkStart w:id="150" w:name="_Toc164684580"/>
            <w:r w:rsidRPr="00C10D45">
              <w:rPr>
                <w:b/>
                <w:color w:val="2C9ADC"/>
                <w:sz w:val="20"/>
                <w:szCs w:val="20"/>
              </w:rPr>
              <w:t xml:space="preserve">GRAF </w:t>
            </w:r>
            <w:r w:rsidRPr="00C10D45">
              <w:rPr>
                <w:b/>
                <w:color w:val="2C9ADC"/>
                <w:sz w:val="20"/>
                <w:szCs w:val="20"/>
              </w:rPr>
              <w:fldChar w:fldCharType="begin"/>
            </w:r>
            <w:r w:rsidRPr="00C10D45">
              <w:rPr>
                <w:b/>
                <w:color w:val="2C9ADC"/>
                <w:sz w:val="20"/>
                <w:szCs w:val="20"/>
              </w:rPr>
              <w:instrText xml:space="preserve"> SEQ GRAF \* ARABIC </w:instrText>
            </w:r>
            <w:r w:rsidRPr="00C10D45">
              <w:rPr>
                <w:b/>
                <w:color w:val="2C9ADC"/>
                <w:sz w:val="20"/>
                <w:szCs w:val="20"/>
              </w:rPr>
              <w:fldChar w:fldCharType="separate"/>
            </w:r>
            <w:r w:rsidR="007435E9">
              <w:rPr>
                <w:b/>
                <w:noProof/>
                <w:color w:val="2C9ADC"/>
                <w:sz w:val="20"/>
                <w:szCs w:val="20"/>
              </w:rPr>
              <w:t>15</w:t>
            </w:r>
            <w:r w:rsidRPr="00C10D45">
              <w:rPr>
                <w:b/>
                <w:color w:val="2C9ADC"/>
                <w:sz w:val="20"/>
                <w:szCs w:val="20"/>
              </w:rPr>
              <w:fldChar w:fldCharType="end"/>
            </w:r>
            <w:r w:rsidRPr="00C10D45">
              <w:rPr>
                <w:b/>
                <w:color w:val="2C9ADC"/>
                <w:sz w:val="20"/>
                <w:szCs w:val="20"/>
              </w:rPr>
              <w:t xml:space="preserve"> – </w:t>
            </w:r>
            <w:r w:rsidRPr="00C10D45">
              <w:rPr>
                <w:rFonts w:eastAsia="NeueHaasGroteskText W02" w:cs="Arial"/>
                <w:b/>
                <w:bCs/>
                <w:color w:val="2C9ADC"/>
                <w:sz w:val="20"/>
                <w:szCs w:val="20"/>
                <w:u w:color="2C9ADC"/>
              </w:rPr>
              <w:t>Príspevky k zmene hrubého dlhu</w:t>
            </w:r>
            <w:r>
              <w:rPr>
                <w:rFonts w:eastAsia="NeueHaasGroteskText W02" w:cs="Arial"/>
                <w:b/>
                <w:bCs/>
                <w:color w:val="2C9ADC"/>
                <w:sz w:val="20"/>
                <w:szCs w:val="20"/>
                <w:u w:color="2C9ADC"/>
              </w:rPr>
              <w:t xml:space="preserve"> (v scenári bez reakcie vlády, </w:t>
            </w:r>
            <w:r w:rsidRPr="00C10D45">
              <w:rPr>
                <w:rFonts w:eastAsia="NeueHaasGroteskText W02" w:cs="Arial"/>
                <w:b/>
                <w:bCs/>
                <w:color w:val="2C9ADC"/>
                <w:sz w:val="20"/>
                <w:szCs w:val="20"/>
                <w:u w:color="2C9ADC"/>
              </w:rPr>
              <w:t>% HDP)</w:t>
            </w:r>
            <w:bookmarkEnd w:id="149"/>
            <w:bookmarkEnd w:id="150"/>
          </w:p>
        </w:tc>
      </w:tr>
      <w:tr w:rsidR="009A2A34" w:rsidRPr="00D8210C" w14:paraId="42784A6A" w14:textId="77777777" w:rsidTr="00CC1F9E">
        <w:trPr>
          <w:trHeight w:val="866"/>
        </w:trPr>
        <w:tc>
          <w:tcPr>
            <w:tcW w:w="2459" w:type="pct"/>
            <w:tcBorders>
              <w:top w:val="single" w:sz="4" w:space="0" w:color="auto"/>
              <w:left w:val="nil"/>
              <w:bottom w:val="single" w:sz="4" w:space="0" w:color="auto"/>
              <w:right w:val="nil"/>
            </w:tcBorders>
            <w:vAlign w:val="center"/>
          </w:tcPr>
          <w:p w14:paraId="0EFBFFF2" w14:textId="2618ECDF" w:rsidR="009A2A34" w:rsidRPr="00C10D45" w:rsidRDefault="009A2A34" w:rsidP="00CC1F9E">
            <w:pPr>
              <w:widowControl w:val="0"/>
              <w:spacing w:before="40" w:after="40"/>
              <w:jc w:val="center"/>
              <w:rPr>
                <w:rFonts w:cs="Arial"/>
                <w:sz w:val="20"/>
                <w:szCs w:val="20"/>
              </w:rPr>
            </w:pPr>
            <w:r>
              <w:rPr>
                <w:noProof/>
              </w:rPr>
              <w:drawing>
                <wp:inline distT="0" distB="0" distL="0" distR="0" wp14:anchorId="6D3CF606" wp14:editId="1D175F3A">
                  <wp:extent cx="2876550" cy="2390775"/>
                  <wp:effectExtent l="0" t="0" r="0" b="0"/>
                  <wp:docPr id="66" name="Graf 6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80" w:type="pct"/>
            <w:tcBorders>
              <w:top w:val="nil"/>
              <w:left w:val="nil"/>
              <w:bottom w:val="nil"/>
              <w:right w:val="nil"/>
            </w:tcBorders>
            <w:vAlign w:val="center"/>
          </w:tcPr>
          <w:p w14:paraId="749699CA" w14:textId="77777777" w:rsidR="009A2A34" w:rsidRPr="00C10D45" w:rsidRDefault="009A2A34" w:rsidP="00CC1F9E">
            <w:pPr>
              <w:widowControl w:val="0"/>
              <w:spacing w:before="40" w:after="40"/>
              <w:jc w:val="center"/>
              <w:rPr>
                <w:rFonts w:cs="Arial"/>
                <w:b/>
                <w:sz w:val="20"/>
                <w:szCs w:val="20"/>
              </w:rPr>
            </w:pPr>
          </w:p>
        </w:tc>
        <w:tc>
          <w:tcPr>
            <w:tcW w:w="2461" w:type="pct"/>
            <w:tcBorders>
              <w:top w:val="single" w:sz="4" w:space="0" w:color="auto"/>
              <w:left w:val="nil"/>
              <w:bottom w:val="single" w:sz="4" w:space="0" w:color="auto"/>
              <w:right w:val="nil"/>
            </w:tcBorders>
            <w:vAlign w:val="bottom"/>
          </w:tcPr>
          <w:p w14:paraId="5096C109" w14:textId="77777777" w:rsidR="009A2A34" w:rsidRPr="00C10D45" w:rsidRDefault="009A2A34" w:rsidP="00CC1F9E">
            <w:pPr>
              <w:widowControl w:val="0"/>
              <w:tabs>
                <w:tab w:val="left" w:pos="751"/>
              </w:tabs>
              <w:spacing w:before="40" w:after="40"/>
              <w:rPr>
                <w:rFonts w:cs="Arial"/>
                <w:sz w:val="20"/>
                <w:szCs w:val="20"/>
              </w:rPr>
            </w:pPr>
            <w:r>
              <w:rPr>
                <w:noProof/>
              </w:rPr>
              <w:drawing>
                <wp:inline distT="0" distB="0" distL="0" distR="0" wp14:anchorId="4D9F4E2E" wp14:editId="28DA9D4F">
                  <wp:extent cx="2744296" cy="2398395"/>
                  <wp:effectExtent l="0" t="0" r="0" b="0"/>
                  <wp:docPr id="67" name="Graf 6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9A2A34" w:rsidRPr="000C2395" w14:paraId="6D6CAF2A" w14:textId="77777777" w:rsidTr="00CC1F9E">
        <w:trPr>
          <w:trHeight w:val="108"/>
        </w:trPr>
        <w:tc>
          <w:tcPr>
            <w:tcW w:w="5000" w:type="pct"/>
            <w:gridSpan w:val="3"/>
            <w:tcBorders>
              <w:top w:val="single" w:sz="4" w:space="0" w:color="auto"/>
              <w:left w:val="nil"/>
              <w:bottom w:val="nil"/>
              <w:right w:val="nil"/>
            </w:tcBorders>
          </w:tcPr>
          <w:p w14:paraId="1BCB9DAD" w14:textId="77777777" w:rsidR="009A2A34" w:rsidRPr="00C10D45" w:rsidRDefault="009A2A34" w:rsidP="00CC1F9E">
            <w:pPr>
              <w:widowControl w:val="0"/>
              <w:spacing w:before="40" w:after="40"/>
              <w:jc w:val="both"/>
              <w:rPr>
                <w:b/>
                <w:iCs/>
                <w:color w:val="000000"/>
              </w:rPr>
            </w:pPr>
            <w:r w:rsidRPr="00C10D45">
              <w:rPr>
                <w:i/>
                <w:sz w:val="16"/>
                <w:szCs w:val="16"/>
              </w:rPr>
              <w:t xml:space="preserve">Pozn.: </w:t>
            </w:r>
            <w:r>
              <w:rPr>
                <w:i/>
                <w:sz w:val="16"/>
                <w:szCs w:val="16"/>
              </w:rPr>
              <w:t>Základný scenár prognózy je založený na aktuálnom návrhu rozpočtu VS s predpokladanými akruálnymi deficitmi 5,4 % HDP v 2025, 5,2 % v 2026 a 5,5 % v 2027.</w:t>
            </w:r>
            <w:r w:rsidRPr="00C10D45">
              <w:rPr>
                <w:i/>
                <w:sz w:val="16"/>
                <w:szCs w:val="16"/>
              </w:rPr>
              <w:t xml:space="preserve"> </w:t>
            </w:r>
            <w:r>
              <w:rPr>
                <w:i/>
                <w:sz w:val="16"/>
                <w:szCs w:val="16"/>
              </w:rPr>
              <w:t xml:space="preserve">Scenár rozpočtových cieľov deficitov počíta so znižovaním akruálnych schodkov o 1 p. b. ročne na úroveň 3 % HDP v 2027. </w:t>
            </w:r>
            <w:r w:rsidRPr="00C10D45">
              <w:rPr>
                <w:i/>
                <w:sz w:val="16"/>
                <w:szCs w:val="16"/>
              </w:rPr>
              <w:t xml:space="preserve">Sankčné pásma vychádzajú z aktuálne platného ústavného zákona o rozpočtovej zodpovednosti.                                                                           </w:t>
            </w:r>
            <w:r>
              <w:rPr>
                <w:i/>
                <w:sz w:val="16"/>
                <w:szCs w:val="16"/>
              </w:rPr>
              <w:t xml:space="preserve">         </w:t>
            </w:r>
            <w:r w:rsidRPr="00C10D45">
              <w:rPr>
                <w:i/>
                <w:sz w:val="16"/>
                <w:szCs w:val="16"/>
              </w:rPr>
              <w:t>Zdroj: MF SR</w:t>
            </w:r>
          </w:p>
        </w:tc>
      </w:tr>
    </w:tbl>
    <w:p w14:paraId="5409FB19" w14:textId="77777777" w:rsidR="0037385E" w:rsidRDefault="0037385E" w:rsidP="009A2A34">
      <w:pPr>
        <w:spacing w:after="120"/>
        <w:jc w:val="both"/>
        <w:rPr>
          <w:b/>
        </w:rPr>
      </w:pPr>
    </w:p>
    <w:p w14:paraId="06890984" w14:textId="20115581" w:rsidR="009A2A34" w:rsidRPr="009B2D14" w:rsidRDefault="009A2A34" w:rsidP="009A2A34">
      <w:pPr>
        <w:spacing w:after="120"/>
        <w:jc w:val="both"/>
        <w:rPr>
          <w:bCs/>
        </w:rPr>
      </w:pPr>
      <w:r>
        <w:rPr>
          <w:b/>
        </w:rPr>
        <w:t xml:space="preserve">Pre návrat dlhu hlbšie pod 60 % HDP a do nižších sankčných pásiem dlhovej brzdy bude potrebná konsolidácia aj za horizontom súčasného volebného obdobia. </w:t>
      </w:r>
      <w:r>
        <w:rPr>
          <w:bCs/>
        </w:rPr>
        <w:t xml:space="preserve">Pokračujúcim poklesom deficitu hlbšie pod 3 % </w:t>
      </w:r>
      <w:r>
        <w:rPr>
          <w:bCs/>
        </w:rPr>
        <w:lastRenderedPageBreak/>
        <w:t xml:space="preserve">HDP aj po roku 2027 by dlh nastúpil na výraznejšie klesajúcu trajektóriu. Postupným dosiahnutím vyrovnaného rozpočtu by dlh mohol klesnúť už pod najvyššie sankčné pásmo </w:t>
      </w:r>
      <w:r w:rsidRPr="009B2D14">
        <w:rPr>
          <w:bCs/>
        </w:rPr>
        <w:t xml:space="preserve">dlhovej brzdy (50 % HDP) </w:t>
      </w:r>
      <w:r>
        <w:rPr>
          <w:bCs/>
        </w:rPr>
        <w:t>a udržaním vyrovnaného rozpočtu by v ďalšom období klesol aj pod dolné</w:t>
      </w:r>
      <w:r w:rsidRPr="009B2D14">
        <w:rPr>
          <w:bCs/>
        </w:rPr>
        <w:t xml:space="preserve"> sankčné pásm</w:t>
      </w:r>
      <w:r>
        <w:rPr>
          <w:bCs/>
        </w:rPr>
        <w:t>o</w:t>
      </w:r>
      <w:r w:rsidRPr="009B2D14">
        <w:rPr>
          <w:bCs/>
        </w:rPr>
        <w:t xml:space="preserve"> (40 % HDP). </w:t>
      </w:r>
      <w:r>
        <w:rPr>
          <w:bCs/>
        </w:rPr>
        <w:t>Naopak, bez konsolidácie by dlh do 2040 presiahol 100 % HDP, čo vychádza najmä z očakávaného rastu nákladov na starnutie slovenskej populácie.</w:t>
      </w:r>
    </w:p>
    <w:tbl>
      <w:tblPr>
        <w:tblW w:w="5000"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9070"/>
      </w:tblGrid>
      <w:tr w:rsidR="009A2A34" w:rsidRPr="000C2395" w14:paraId="4F0F6F1C" w14:textId="77777777" w:rsidTr="00CC1F9E">
        <w:trPr>
          <w:trHeight w:val="430"/>
          <w:jc w:val="center"/>
        </w:trPr>
        <w:tc>
          <w:tcPr>
            <w:tcW w:w="5000" w:type="pct"/>
            <w:tcBorders>
              <w:top w:val="nil"/>
              <w:left w:val="nil"/>
              <w:bottom w:val="single" w:sz="4" w:space="0" w:color="000000"/>
              <w:right w:val="nil"/>
            </w:tcBorders>
            <w:shd w:val="clear" w:color="auto" w:fill="auto"/>
            <w:vAlign w:val="center"/>
          </w:tcPr>
          <w:p w14:paraId="523ED21C" w14:textId="3D756345" w:rsidR="009A2A34" w:rsidRPr="000C2395" w:rsidRDefault="009A2A34" w:rsidP="00664E8C">
            <w:pPr>
              <w:pStyle w:val="Graf"/>
              <w:spacing w:before="120" w:after="0"/>
              <w:rPr>
                <w:highlight w:val="yellow"/>
              </w:rPr>
            </w:pPr>
            <w:bookmarkStart w:id="151" w:name="_Toc152932879"/>
            <w:bookmarkStart w:id="152" w:name="_Toc164684581"/>
            <w:r w:rsidRPr="0032684C">
              <w:t xml:space="preserve">GRAF </w:t>
            </w:r>
            <w:r w:rsidRPr="0032684C">
              <w:rPr>
                <w:szCs w:val="20"/>
              </w:rPr>
              <w:fldChar w:fldCharType="begin"/>
            </w:r>
            <w:r w:rsidRPr="0032684C">
              <w:rPr>
                <w:szCs w:val="20"/>
              </w:rPr>
              <w:instrText xml:space="preserve"> SEQ GRAF \* ARABIC </w:instrText>
            </w:r>
            <w:r w:rsidRPr="0032684C">
              <w:rPr>
                <w:szCs w:val="20"/>
              </w:rPr>
              <w:fldChar w:fldCharType="separate"/>
            </w:r>
            <w:r w:rsidR="007435E9">
              <w:rPr>
                <w:noProof/>
                <w:szCs w:val="20"/>
              </w:rPr>
              <w:t>16</w:t>
            </w:r>
            <w:r w:rsidRPr="0032684C">
              <w:rPr>
                <w:szCs w:val="20"/>
              </w:rPr>
              <w:fldChar w:fldCharType="end"/>
            </w:r>
            <w:r w:rsidRPr="0032684C">
              <w:t xml:space="preserve"> – </w:t>
            </w:r>
            <w:r>
              <w:t>Dlhodobá prognóza</w:t>
            </w:r>
            <w:r w:rsidRPr="0032684C">
              <w:t xml:space="preserve"> dlhu verejnej správy (% HDP)</w:t>
            </w:r>
            <w:bookmarkEnd w:id="151"/>
            <w:bookmarkEnd w:id="152"/>
          </w:p>
        </w:tc>
      </w:tr>
      <w:tr w:rsidR="009A2A34" w:rsidRPr="00EA6E5E" w14:paraId="44C0DD9A" w14:textId="77777777" w:rsidTr="00CC1F9E">
        <w:trPr>
          <w:trHeight w:val="18"/>
          <w:jc w:val="center"/>
        </w:trPr>
        <w:tc>
          <w:tcPr>
            <w:tcW w:w="5000" w:type="pct"/>
            <w:tcBorders>
              <w:top w:val="single" w:sz="4" w:space="0" w:color="000000"/>
              <w:left w:val="nil"/>
              <w:bottom w:val="single" w:sz="4" w:space="0" w:color="000000"/>
              <w:right w:val="nil"/>
            </w:tcBorders>
            <w:shd w:val="clear" w:color="auto" w:fill="auto"/>
            <w:vAlign w:val="center"/>
          </w:tcPr>
          <w:p w14:paraId="1E267771" w14:textId="77777777" w:rsidR="009A2A34" w:rsidRPr="0032684C" w:rsidRDefault="009A2A34" w:rsidP="00CC1F9E">
            <w:pPr>
              <w:spacing w:before="40" w:after="40"/>
              <w:rPr>
                <w:sz w:val="18"/>
                <w:szCs w:val="18"/>
              </w:rPr>
            </w:pPr>
            <w:r w:rsidRPr="00EA6E5E">
              <w:rPr>
                <w:noProof/>
              </w:rPr>
              <w:drawing>
                <wp:inline distT="0" distB="0" distL="0" distR="0" wp14:anchorId="1EFE647A" wp14:editId="702C7BBE">
                  <wp:extent cx="5760720" cy="2716530"/>
                  <wp:effectExtent l="0" t="0" r="0" b="7620"/>
                  <wp:docPr id="68" name="Graf 68">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9A2A34" w:rsidRPr="00EA6E5E" w14:paraId="0DCE90C4" w14:textId="77777777" w:rsidTr="00CC1F9E">
        <w:trPr>
          <w:trHeight w:val="246"/>
          <w:jc w:val="center"/>
        </w:trPr>
        <w:tc>
          <w:tcPr>
            <w:tcW w:w="5000" w:type="pct"/>
            <w:tcBorders>
              <w:top w:val="single" w:sz="4" w:space="0" w:color="000000"/>
              <w:left w:val="nil"/>
              <w:bottom w:val="nil"/>
              <w:right w:val="nil"/>
            </w:tcBorders>
            <w:shd w:val="clear" w:color="auto" w:fill="auto"/>
            <w:vAlign w:val="center"/>
          </w:tcPr>
          <w:p w14:paraId="36023596" w14:textId="77777777" w:rsidR="009A2A34" w:rsidRPr="00EA6E5E" w:rsidRDefault="009A2A34" w:rsidP="00CC1F9E">
            <w:pPr>
              <w:jc w:val="both"/>
              <w:rPr>
                <w:i/>
              </w:rPr>
            </w:pPr>
            <w:r w:rsidRPr="0032684C">
              <w:rPr>
                <w:i/>
                <w:sz w:val="16"/>
              </w:rPr>
              <w:t>Pozn.: Dlhodobá prognóza predpokladá vývoj v scenári bez zmeny politík s vplyvom starnutia populácie na štrukturálne saldo verejnej správy</w:t>
            </w:r>
            <w:r>
              <w:rPr>
                <w:i/>
                <w:sz w:val="16"/>
              </w:rPr>
              <w:t xml:space="preserve"> do roku 2040</w:t>
            </w:r>
            <w:r w:rsidRPr="0032684C">
              <w:rPr>
                <w:i/>
                <w:sz w:val="16"/>
              </w:rPr>
              <w:t xml:space="preserve"> v </w:t>
            </w:r>
            <w:r>
              <w:rPr>
                <w:i/>
                <w:sz w:val="16"/>
              </w:rPr>
              <w:t>priemere</w:t>
            </w:r>
            <w:r w:rsidRPr="0032684C">
              <w:rPr>
                <w:i/>
                <w:sz w:val="16"/>
              </w:rPr>
              <w:t xml:space="preserve"> 0,2 % HDP ročne. </w:t>
            </w:r>
            <w:r>
              <w:rPr>
                <w:i/>
                <w:sz w:val="16"/>
              </w:rPr>
              <w:t xml:space="preserve">Konsolidačný scenár počíta s dosiahnutím cieľov deficitov v 2025 až 2027 a v pokračovaní znižovania deficitu o 1 p. b. až do dosiahnutia vyrovnaného rozpočtu a jeho následné udržanie. Dlhodobé predpoklady </w:t>
            </w:r>
            <w:r w:rsidRPr="0032684C">
              <w:rPr>
                <w:i/>
                <w:sz w:val="16"/>
              </w:rPr>
              <w:t xml:space="preserve">rastu nominálneho HDP </w:t>
            </w:r>
            <w:r>
              <w:rPr>
                <w:i/>
                <w:sz w:val="16"/>
              </w:rPr>
              <w:t>vychádzajú</w:t>
            </w:r>
            <w:r w:rsidRPr="0032684C">
              <w:rPr>
                <w:i/>
                <w:sz w:val="16"/>
              </w:rPr>
              <w:t xml:space="preserve"> zo Správy o starnutí populácie skupiny AWG z 202</w:t>
            </w:r>
            <w:r>
              <w:rPr>
                <w:i/>
                <w:sz w:val="16"/>
              </w:rPr>
              <w:t>4</w:t>
            </w:r>
            <w:r w:rsidRPr="0032684C">
              <w:rPr>
                <w:i/>
                <w:sz w:val="16"/>
              </w:rPr>
              <w:t xml:space="preserve">. </w:t>
            </w:r>
            <w:r w:rsidRPr="0032684C">
              <w:rPr>
                <w:i/>
                <w:color w:val="FFFFFF" w:themeColor="background1"/>
                <w:sz w:val="16"/>
              </w:rPr>
              <w:t>IFPIFPIFPIFPIFPIFPIFPIFPI</w:t>
            </w:r>
            <w:r>
              <w:rPr>
                <w:i/>
                <w:color w:val="FFFFFF" w:themeColor="background1"/>
                <w:sz w:val="16"/>
              </w:rPr>
              <w:t xml:space="preserve">                                    </w:t>
            </w:r>
            <w:r w:rsidRPr="0032684C">
              <w:rPr>
                <w:i/>
                <w:color w:val="FFFFFF" w:themeColor="background1"/>
                <w:sz w:val="16"/>
              </w:rPr>
              <w:t>IFPIFPIFPIFPIFPIFPIFPIFPIFPIFPIFPIFPIFPIFPIFPIFPIFPFP</w:t>
            </w:r>
            <w:r w:rsidRPr="0032684C">
              <w:rPr>
                <w:i/>
                <w:color w:val="000000" w:themeColor="text1"/>
                <w:sz w:val="16"/>
              </w:rPr>
              <w:t xml:space="preserve">Zdroj: </w:t>
            </w:r>
            <w:r w:rsidRPr="0032684C">
              <w:rPr>
                <w:i/>
                <w:sz w:val="16"/>
              </w:rPr>
              <w:t>MF SR, EK</w:t>
            </w:r>
          </w:p>
        </w:tc>
      </w:tr>
    </w:tbl>
    <w:p w14:paraId="48945770" w14:textId="53710A08" w:rsidR="009A2A34" w:rsidRDefault="009A2A34" w:rsidP="003C5534">
      <w:pPr>
        <w:pStyle w:val="Nadpis2"/>
        <w:numPr>
          <w:ilvl w:val="1"/>
          <w:numId w:val="29"/>
        </w:numPr>
        <w:spacing w:after="120"/>
        <w:rPr>
          <w:b/>
          <w:bCs/>
          <w:color w:val="2C9ADC"/>
          <w:szCs w:val="24"/>
        </w:rPr>
      </w:pPr>
      <w:bookmarkStart w:id="153" w:name="_Toc152932737"/>
      <w:bookmarkStart w:id="154" w:name="_Toc164684486"/>
      <w:r w:rsidRPr="003C5534">
        <w:rPr>
          <w:b/>
          <w:bCs/>
          <w:color w:val="2C9ADC"/>
          <w:szCs w:val="24"/>
        </w:rPr>
        <w:t>Udržateľnosť verejných financií</w:t>
      </w:r>
      <w:bookmarkEnd w:id="153"/>
      <w:bookmarkEnd w:id="154"/>
    </w:p>
    <w:p w14:paraId="7DEB5247" w14:textId="77777777" w:rsidR="009A2A34" w:rsidRPr="00CC1F9E" w:rsidRDefault="009A2A34" w:rsidP="009A2A34">
      <w:pPr>
        <w:widowControl w:val="0"/>
        <w:jc w:val="both"/>
        <w:rPr>
          <w:bCs/>
        </w:rPr>
      </w:pPr>
      <w:r>
        <w:rPr>
          <w:b/>
        </w:rPr>
        <w:t>Dlhodobá udržateľnosť zostáva v pásme vysokého rizika, no po splnení rozpočtových cieľov by sa už mala dostať do stredného rizika</w:t>
      </w:r>
      <w:r w:rsidRPr="00756CB9">
        <w:rPr>
          <w:b/>
        </w:rPr>
        <w:t xml:space="preserve">. </w:t>
      </w:r>
      <w:r>
        <w:rPr>
          <w:bCs/>
        </w:rPr>
        <w:t>Dlhodobá udržateľnosť sa v roku 2024 nachádza vo vysokom riziku z pohľadu obidvoch indikátorov dlhodobej udržateľnosti</w:t>
      </w:r>
      <w:r w:rsidRPr="00B72BF2">
        <w:rPr>
          <w:rStyle w:val="Odkaznapoznmkupodiarou"/>
        </w:rPr>
        <w:footnoteReference w:id="34"/>
      </w:r>
      <w:r>
        <w:rPr>
          <w:bCs/>
        </w:rPr>
        <w:t>. Počiatočná rozpočtová pozícia a budúce výdavky na starnutie prispievajú k vysokým hodnotám indikátorov podobným dielom.</w:t>
      </w:r>
      <w:r w:rsidRPr="003D01F8">
        <w:t xml:space="preserve"> </w:t>
      </w:r>
      <w:r w:rsidRPr="0027401E">
        <w:t>V</w:t>
      </w:r>
      <w:r>
        <w:t> </w:t>
      </w:r>
      <w:r w:rsidRPr="0027401E">
        <w:t>scenári</w:t>
      </w:r>
      <w:r>
        <w:t xml:space="preserve">, ktorý zohľadňuje len opatrenia aktuálne zapracované v rozpočte </w:t>
      </w:r>
      <w:r w:rsidRPr="0027401E">
        <w:t xml:space="preserve">by </w:t>
      </w:r>
      <w:r>
        <w:t xml:space="preserve">sa </w:t>
      </w:r>
      <w:r w:rsidRPr="0027401E">
        <w:t>dlhodobá udržateľnosť do roku 202</w:t>
      </w:r>
      <w:r>
        <w:t>7 len mierne zlepšila a naďalej by zostala hlboko v pásme vysokého rizika</w:t>
      </w:r>
      <w:r>
        <w:rPr>
          <w:rStyle w:val="Odkaznapoznmkupodiarou"/>
        </w:rPr>
        <w:footnoteReference w:id="35"/>
      </w:r>
      <w:r w:rsidRPr="0027401E">
        <w:t>.</w:t>
      </w:r>
      <w:r>
        <w:rPr>
          <w:bCs/>
        </w:rPr>
        <w:t xml:space="preserve"> K väčšiemu zlepšeniu dochádza až v prípade splnenia rozpočtových cieľov a to najmä v dôsledku výraznej redukcie primárneho štrukturálneho salda o 2,4 p. b. HDP oproti roku 2024. Pri splnení rozpočtových cieľov by došlo k zníženiu rizikového pásma, ale hodnota S2 by sa stále pohybovala tesne pod hranicou vysokého rizika</w:t>
      </w:r>
      <w:r>
        <w:rPr>
          <w:rStyle w:val="Odkaznapoznmkupodiarou"/>
          <w:bCs/>
        </w:rPr>
        <w:footnoteReference w:id="36"/>
      </w:r>
      <w:r>
        <w:rPr>
          <w:bCs/>
        </w:rPr>
        <w:t>.</w:t>
      </w:r>
    </w:p>
    <w:p w14:paraId="47C071E4" w14:textId="7DC82A95" w:rsidR="009A2A34" w:rsidRDefault="009A2A34" w:rsidP="00664E8C">
      <w:pPr>
        <w:pStyle w:val="Graf"/>
        <w:spacing w:before="120" w:after="0"/>
        <w:rPr>
          <w:i/>
          <w:iCs/>
          <w:color w:val="000000"/>
          <w:sz w:val="16"/>
          <w:szCs w:val="16"/>
        </w:rPr>
      </w:pPr>
      <w:bookmarkStart w:id="155" w:name="_Toc117765225"/>
      <w:bookmarkStart w:id="156" w:name="_Toc153185513"/>
      <w:bookmarkStart w:id="157" w:name="_Toc164684555"/>
      <w:r w:rsidRPr="00B72BF2">
        <w:t xml:space="preserve">TABUĽKA </w:t>
      </w:r>
      <w:r w:rsidR="008D6A85" w:rsidRPr="00800135">
        <w:rPr>
          <w:b w:val="0"/>
          <w:szCs w:val="20"/>
        </w:rPr>
        <w:fldChar w:fldCharType="begin"/>
      </w:r>
      <w:r w:rsidR="008D6A85" w:rsidRPr="00800135">
        <w:rPr>
          <w:szCs w:val="20"/>
        </w:rPr>
        <w:instrText xml:space="preserve"> SEQ TABUĽKA \* ARABIC </w:instrText>
      </w:r>
      <w:r w:rsidR="008D6A85" w:rsidRPr="00800135">
        <w:rPr>
          <w:b w:val="0"/>
          <w:szCs w:val="20"/>
        </w:rPr>
        <w:fldChar w:fldCharType="separate"/>
      </w:r>
      <w:r w:rsidR="007435E9">
        <w:rPr>
          <w:noProof/>
          <w:szCs w:val="20"/>
        </w:rPr>
        <w:t>6</w:t>
      </w:r>
      <w:r w:rsidR="008D6A85" w:rsidRPr="00800135">
        <w:rPr>
          <w:b w:val="0"/>
          <w:szCs w:val="20"/>
        </w:rPr>
        <w:fldChar w:fldCharType="end"/>
      </w:r>
      <w:r w:rsidRPr="00B72BF2">
        <w:t xml:space="preserve"> – Rozklad indikátora dlhodobej udržateľnosti S1 a S2</w:t>
      </w:r>
      <w:r>
        <w:rPr>
          <w:rStyle w:val="Odkaznapoznmkupodiarou"/>
        </w:rPr>
        <w:footnoteReference w:id="37"/>
      </w:r>
      <w:r w:rsidRPr="00B72BF2">
        <w:t xml:space="preserve"> k roku 2024 a 2027 (% HDP)</w:t>
      </w:r>
      <w:bookmarkEnd w:id="155"/>
      <w:bookmarkEnd w:id="156"/>
      <w:bookmarkEnd w:id="157"/>
    </w:p>
    <w:tbl>
      <w:tblPr>
        <w:tblW w:w="9110" w:type="dxa"/>
        <w:tblCellMar>
          <w:left w:w="70" w:type="dxa"/>
          <w:right w:w="70" w:type="dxa"/>
        </w:tblCellMar>
        <w:tblLook w:val="04A0" w:firstRow="1" w:lastRow="0" w:firstColumn="1" w:lastColumn="0" w:noHBand="0" w:noVBand="1"/>
      </w:tblPr>
      <w:tblGrid>
        <w:gridCol w:w="3890"/>
        <w:gridCol w:w="1372"/>
        <w:gridCol w:w="1737"/>
        <w:gridCol w:w="2111"/>
      </w:tblGrid>
      <w:tr w:rsidR="009A2A34" w:rsidRPr="00E6770A" w14:paraId="59017C95" w14:textId="77777777" w:rsidTr="00CC1F9E">
        <w:trPr>
          <w:trHeight w:val="361"/>
        </w:trPr>
        <w:tc>
          <w:tcPr>
            <w:tcW w:w="3890" w:type="dxa"/>
            <w:tcBorders>
              <w:top w:val="single" w:sz="8" w:space="0" w:color="000000"/>
              <w:left w:val="nil"/>
              <w:bottom w:val="single" w:sz="8" w:space="0" w:color="000000"/>
              <w:right w:val="nil"/>
            </w:tcBorders>
            <w:shd w:val="clear" w:color="auto" w:fill="auto"/>
            <w:vAlign w:val="center"/>
            <w:hideMark/>
          </w:tcPr>
          <w:p w14:paraId="3CDE1AA9" w14:textId="77777777" w:rsidR="009A2A34" w:rsidRPr="00E6770A" w:rsidRDefault="009A2A34" w:rsidP="00CC1F9E">
            <w:pPr>
              <w:rPr>
                <w:rFonts w:ascii="Times New Roman" w:hAnsi="Times New Roman" w:cs="Times New Roman"/>
                <w:color w:val="000000"/>
                <w:sz w:val="14"/>
                <w:szCs w:val="14"/>
              </w:rPr>
            </w:pPr>
            <w:r w:rsidRPr="00E6770A">
              <w:rPr>
                <w:rFonts w:ascii="Times New Roman" w:hAnsi="Times New Roman" w:cs="Times New Roman"/>
                <w:color w:val="000000"/>
                <w:sz w:val="14"/>
                <w:szCs w:val="14"/>
              </w:rPr>
              <w:t> </w:t>
            </w:r>
          </w:p>
        </w:tc>
        <w:tc>
          <w:tcPr>
            <w:tcW w:w="1372" w:type="dxa"/>
            <w:tcBorders>
              <w:top w:val="single" w:sz="8" w:space="0" w:color="000000"/>
              <w:left w:val="nil"/>
              <w:bottom w:val="single" w:sz="8" w:space="0" w:color="000000"/>
              <w:right w:val="nil"/>
            </w:tcBorders>
            <w:shd w:val="clear" w:color="auto" w:fill="auto"/>
            <w:vAlign w:val="center"/>
            <w:hideMark/>
          </w:tcPr>
          <w:p w14:paraId="2FB18F46" w14:textId="77777777" w:rsidR="009A2A34" w:rsidRPr="00E6770A" w:rsidRDefault="009A2A34" w:rsidP="00CC1F9E">
            <w:pPr>
              <w:jc w:val="center"/>
              <w:rPr>
                <w:rFonts w:cs="Calibri"/>
                <w:b/>
                <w:bCs/>
                <w:color w:val="000000"/>
                <w:sz w:val="18"/>
                <w:szCs w:val="18"/>
              </w:rPr>
            </w:pPr>
            <w:r w:rsidRPr="00E6770A">
              <w:rPr>
                <w:rFonts w:cs="Calibri"/>
                <w:b/>
                <w:bCs/>
                <w:color w:val="000000"/>
                <w:sz w:val="18"/>
                <w:szCs w:val="18"/>
              </w:rPr>
              <w:t>2024</w:t>
            </w:r>
          </w:p>
        </w:tc>
        <w:tc>
          <w:tcPr>
            <w:tcW w:w="1737" w:type="dxa"/>
            <w:tcBorders>
              <w:top w:val="single" w:sz="8" w:space="0" w:color="000000"/>
              <w:left w:val="nil"/>
              <w:bottom w:val="single" w:sz="8" w:space="0" w:color="000000"/>
              <w:right w:val="nil"/>
            </w:tcBorders>
            <w:shd w:val="clear" w:color="auto" w:fill="auto"/>
            <w:vAlign w:val="center"/>
            <w:hideMark/>
          </w:tcPr>
          <w:p w14:paraId="49D24E04" w14:textId="77777777" w:rsidR="009A2A34" w:rsidRPr="00E6770A" w:rsidRDefault="009A2A34" w:rsidP="00CC1F9E">
            <w:pPr>
              <w:jc w:val="center"/>
              <w:rPr>
                <w:rFonts w:cs="Calibri"/>
                <w:b/>
                <w:bCs/>
                <w:color w:val="000000"/>
                <w:sz w:val="18"/>
                <w:szCs w:val="18"/>
              </w:rPr>
            </w:pPr>
            <w:r w:rsidRPr="00E6770A">
              <w:rPr>
                <w:rFonts w:cs="Calibri"/>
                <w:b/>
                <w:bCs/>
                <w:color w:val="000000"/>
                <w:sz w:val="18"/>
                <w:szCs w:val="18"/>
              </w:rPr>
              <w:t>2027</w:t>
            </w:r>
            <w:r w:rsidRPr="00E6770A">
              <w:rPr>
                <w:rFonts w:cs="Calibri"/>
                <w:b/>
                <w:bCs/>
                <w:color w:val="000000"/>
                <w:sz w:val="18"/>
                <w:szCs w:val="18"/>
              </w:rPr>
              <w:br/>
            </w:r>
            <w:r>
              <w:rPr>
                <w:rFonts w:cs="Calibri"/>
                <w:b/>
                <w:bCs/>
                <w:color w:val="000000"/>
                <w:sz w:val="18"/>
                <w:szCs w:val="18"/>
              </w:rPr>
              <w:t>aktuálne nastavený rozpočet</w:t>
            </w:r>
          </w:p>
        </w:tc>
        <w:tc>
          <w:tcPr>
            <w:tcW w:w="2111" w:type="dxa"/>
            <w:tcBorders>
              <w:top w:val="single" w:sz="8" w:space="0" w:color="000000"/>
              <w:left w:val="nil"/>
              <w:bottom w:val="single" w:sz="8" w:space="0" w:color="000000"/>
              <w:right w:val="nil"/>
            </w:tcBorders>
            <w:shd w:val="clear" w:color="auto" w:fill="auto"/>
            <w:vAlign w:val="center"/>
            <w:hideMark/>
          </w:tcPr>
          <w:p w14:paraId="2407C446" w14:textId="77777777" w:rsidR="009A2A34" w:rsidRPr="00E6770A" w:rsidRDefault="009A2A34" w:rsidP="00CC1F9E">
            <w:pPr>
              <w:jc w:val="center"/>
              <w:rPr>
                <w:rFonts w:cs="Calibri"/>
                <w:b/>
                <w:bCs/>
                <w:color w:val="000000"/>
                <w:sz w:val="18"/>
                <w:szCs w:val="18"/>
              </w:rPr>
            </w:pPr>
            <w:r w:rsidRPr="00E6770A">
              <w:rPr>
                <w:rFonts w:cs="Calibri"/>
                <w:b/>
                <w:bCs/>
                <w:color w:val="000000"/>
                <w:sz w:val="18"/>
                <w:szCs w:val="18"/>
              </w:rPr>
              <w:t>2027</w:t>
            </w:r>
            <w:r w:rsidRPr="00E6770A">
              <w:rPr>
                <w:rFonts w:cs="Calibri"/>
                <w:b/>
                <w:bCs/>
                <w:color w:val="000000"/>
                <w:sz w:val="18"/>
                <w:szCs w:val="18"/>
              </w:rPr>
              <w:br/>
              <w:t>scenár po splnení cieľov</w:t>
            </w:r>
          </w:p>
        </w:tc>
      </w:tr>
      <w:tr w:rsidR="009A2A34" w:rsidRPr="00E6770A" w14:paraId="25AB5639" w14:textId="77777777" w:rsidTr="00CC1F9E">
        <w:trPr>
          <w:trHeight w:val="209"/>
        </w:trPr>
        <w:tc>
          <w:tcPr>
            <w:tcW w:w="3890" w:type="dxa"/>
            <w:tcBorders>
              <w:top w:val="nil"/>
              <w:left w:val="nil"/>
              <w:bottom w:val="single" w:sz="8" w:space="0" w:color="000000"/>
              <w:right w:val="nil"/>
            </w:tcBorders>
            <w:shd w:val="clear" w:color="auto" w:fill="auto"/>
            <w:vAlign w:val="center"/>
            <w:hideMark/>
          </w:tcPr>
          <w:p w14:paraId="29154116" w14:textId="77777777" w:rsidR="009A2A34" w:rsidRPr="00E6770A" w:rsidRDefault="009A2A34" w:rsidP="00CC1F9E">
            <w:pPr>
              <w:rPr>
                <w:rFonts w:cs="Calibri"/>
                <w:b/>
                <w:bCs/>
                <w:color w:val="000000"/>
                <w:sz w:val="18"/>
                <w:szCs w:val="18"/>
              </w:rPr>
            </w:pPr>
            <w:r w:rsidRPr="00E6770A">
              <w:rPr>
                <w:rFonts w:cs="Calibri"/>
                <w:b/>
                <w:bCs/>
                <w:color w:val="000000"/>
                <w:sz w:val="18"/>
                <w:szCs w:val="18"/>
              </w:rPr>
              <w:t>S1 Indikátor</w:t>
            </w:r>
          </w:p>
        </w:tc>
        <w:tc>
          <w:tcPr>
            <w:tcW w:w="1372" w:type="dxa"/>
            <w:tcBorders>
              <w:top w:val="nil"/>
              <w:left w:val="nil"/>
              <w:bottom w:val="single" w:sz="8" w:space="0" w:color="000000"/>
              <w:right w:val="nil"/>
            </w:tcBorders>
            <w:shd w:val="clear" w:color="auto" w:fill="auto"/>
            <w:vAlign w:val="center"/>
            <w:hideMark/>
          </w:tcPr>
          <w:p w14:paraId="2F6EC47B" w14:textId="77777777" w:rsidR="009A2A34" w:rsidRPr="00E6770A" w:rsidRDefault="009A2A34" w:rsidP="00CC1F9E">
            <w:pPr>
              <w:jc w:val="center"/>
              <w:rPr>
                <w:rFonts w:cs="Calibri"/>
                <w:b/>
                <w:bCs/>
                <w:color w:val="FF0000"/>
                <w:sz w:val="18"/>
                <w:szCs w:val="18"/>
              </w:rPr>
            </w:pPr>
            <w:r>
              <w:rPr>
                <w:rFonts w:cs="Calibri"/>
                <w:b/>
                <w:bCs/>
                <w:color w:val="FF0000"/>
                <w:sz w:val="18"/>
                <w:szCs w:val="18"/>
              </w:rPr>
              <w:t>7,8</w:t>
            </w:r>
          </w:p>
        </w:tc>
        <w:tc>
          <w:tcPr>
            <w:tcW w:w="1737" w:type="dxa"/>
            <w:tcBorders>
              <w:top w:val="nil"/>
              <w:left w:val="nil"/>
              <w:bottom w:val="single" w:sz="8" w:space="0" w:color="000000"/>
              <w:right w:val="nil"/>
            </w:tcBorders>
            <w:shd w:val="clear" w:color="auto" w:fill="auto"/>
            <w:vAlign w:val="center"/>
            <w:hideMark/>
          </w:tcPr>
          <w:p w14:paraId="47747435" w14:textId="77777777" w:rsidR="009A2A34" w:rsidRPr="00E6770A" w:rsidRDefault="009A2A34" w:rsidP="00CC1F9E">
            <w:pPr>
              <w:jc w:val="center"/>
              <w:rPr>
                <w:rFonts w:cs="Calibri"/>
                <w:b/>
                <w:bCs/>
                <w:color w:val="FF0000"/>
                <w:sz w:val="18"/>
                <w:szCs w:val="18"/>
              </w:rPr>
            </w:pPr>
            <w:r w:rsidRPr="00E6770A">
              <w:rPr>
                <w:rFonts w:cs="Calibri"/>
                <w:b/>
                <w:bCs/>
                <w:color w:val="FF0000"/>
                <w:sz w:val="18"/>
                <w:szCs w:val="18"/>
              </w:rPr>
              <w:t>7,</w:t>
            </w:r>
            <w:r>
              <w:rPr>
                <w:rFonts w:cs="Calibri"/>
                <w:b/>
                <w:bCs/>
                <w:color w:val="FF0000"/>
                <w:sz w:val="18"/>
                <w:szCs w:val="18"/>
              </w:rPr>
              <w:t>4</w:t>
            </w:r>
          </w:p>
        </w:tc>
        <w:tc>
          <w:tcPr>
            <w:tcW w:w="2111" w:type="dxa"/>
            <w:tcBorders>
              <w:top w:val="nil"/>
              <w:left w:val="nil"/>
              <w:bottom w:val="single" w:sz="8" w:space="0" w:color="000000"/>
              <w:right w:val="nil"/>
            </w:tcBorders>
            <w:shd w:val="clear" w:color="auto" w:fill="auto"/>
            <w:vAlign w:val="center"/>
            <w:hideMark/>
          </w:tcPr>
          <w:p w14:paraId="599AE0B5" w14:textId="77777777" w:rsidR="009A2A34" w:rsidRPr="00E6770A" w:rsidRDefault="009A2A34" w:rsidP="00CC1F9E">
            <w:pPr>
              <w:jc w:val="center"/>
              <w:rPr>
                <w:rFonts w:cs="Calibri"/>
                <w:b/>
                <w:bCs/>
                <w:color w:val="FFC000"/>
                <w:sz w:val="18"/>
                <w:szCs w:val="18"/>
              </w:rPr>
            </w:pPr>
            <w:r>
              <w:rPr>
                <w:rFonts w:cs="Calibri"/>
                <w:b/>
                <w:bCs/>
                <w:color w:val="FFC000"/>
                <w:sz w:val="18"/>
                <w:szCs w:val="18"/>
              </w:rPr>
              <w:t>4,7</w:t>
            </w:r>
          </w:p>
        </w:tc>
      </w:tr>
      <w:tr w:rsidR="009A2A34" w:rsidRPr="00E6770A" w14:paraId="561FC3EF" w14:textId="77777777" w:rsidTr="00CC1F9E">
        <w:trPr>
          <w:trHeight w:val="200"/>
        </w:trPr>
        <w:tc>
          <w:tcPr>
            <w:tcW w:w="3890" w:type="dxa"/>
            <w:tcBorders>
              <w:top w:val="nil"/>
              <w:left w:val="nil"/>
              <w:bottom w:val="nil"/>
              <w:right w:val="nil"/>
            </w:tcBorders>
            <w:shd w:val="clear" w:color="auto" w:fill="auto"/>
            <w:vAlign w:val="center"/>
            <w:hideMark/>
          </w:tcPr>
          <w:p w14:paraId="391793B6" w14:textId="77777777" w:rsidR="009A2A34" w:rsidRPr="00E6770A" w:rsidRDefault="009A2A34" w:rsidP="00CC1F9E">
            <w:pPr>
              <w:rPr>
                <w:rFonts w:cs="Calibri"/>
                <w:color w:val="000000"/>
                <w:sz w:val="16"/>
                <w:szCs w:val="16"/>
              </w:rPr>
            </w:pPr>
            <w:r w:rsidRPr="00E6770A">
              <w:rPr>
                <w:rFonts w:cs="Calibri"/>
                <w:color w:val="000000"/>
                <w:sz w:val="16"/>
                <w:szCs w:val="16"/>
              </w:rPr>
              <w:t>z toho:</w:t>
            </w:r>
          </w:p>
        </w:tc>
        <w:tc>
          <w:tcPr>
            <w:tcW w:w="1372" w:type="dxa"/>
            <w:tcBorders>
              <w:top w:val="nil"/>
              <w:left w:val="nil"/>
              <w:bottom w:val="nil"/>
              <w:right w:val="nil"/>
            </w:tcBorders>
            <w:shd w:val="clear" w:color="auto" w:fill="auto"/>
            <w:vAlign w:val="center"/>
            <w:hideMark/>
          </w:tcPr>
          <w:p w14:paraId="588A8023" w14:textId="77777777" w:rsidR="009A2A34" w:rsidRPr="00E6770A" w:rsidRDefault="009A2A34" w:rsidP="00CC1F9E">
            <w:pPr>
              <w:rPr>
                <w:rFonts w:cs="Calibri"/>
                <w:color w:val="000000"/>
                <w:sz w:val="16"/>
                <w:szCs w:val="16"/>
              </w:rPr>
            </w:pPr>
          </w:p>
        </w:tc>
        <w:tc>
          <w:tcPr>
            <w:tcW w:w="1737" w:type="dxa"/>
            <w:tcBorders>
              <w:top w:val="nil"/>
              <w:left w:val="nil"/>
              <w:bottom w:val="nil"/>
              <w:right w:val="nil"/>
            </w:tcBorders>
            <w:shd w:val="clear" w:color="auto" w:fill="auto"/>
            <w:vAlign w:val="center"/>
            <w:hideMark/>
          </w:tcPr>
          <w:p w14:paraId="5462A272" w14:textId="77777777" w:rsidR="009A2A34" w:rsidRPr="00E6770A" w:rsidRDefault="009A2A34" w:rsidP="00CC1F9E">
            <w:pPr>
              <w:jc w:val="center"/>
              <w:rPr>
                <w:rFonts w:ascii="Times New Roman" w:hAnsi="Times New Roman" w:cs="Times New Roman"/>
                <w:sz w:val="20"/>
                <w:szCs w:val="20"/>
              </w:rPr>
            </w:pPr>
          </w:p>
        </w:tc>
        <w:tc>
          <w:tcPr>
            <w:tcW w:w="2111" w:type="dxa"/>
            <w:tcBorders>
              <w:top w:val="nil"/>
              <w:left w:val="nil"/>
              <w:bottom w:val="nil"/>
              <w:right w:val="nil"/>
            </w:tcBorders>
            <w:shd w:val="clear" w:color="auto" w:fill="auto"/>
            <w:vAlign w:val="center"/>
            <w:hideMark/>
          </w:tcPr>
          <w:p w14:paraId="66FEC02F" w14:textId="77777777" w:rsidR="009A2A34" w:rsidRPr="00E6770A" w:rsidRDefault="009A2A34" w:rsidP="00CC1F9E">
            <w:pPr>
              <w:rPr>
                <w:rFonts w:ascii="Times New Roman" w:hAnsi="Times New Roman" w:cs="Times New Roman"/>
                <w:sz w:val="20"/>
                <w:szCs w:val="20"/>
              </w:rPr>
            </w:pPr>
          </w:p>
        </w:tc>
      </w:tr>
      <w:tr w:rsidR="009A2A34" w:rsidRPr="00E6770A" w14:paraId="6C2FACFA" w14:textId="77777777" w:rsidTr="00CC1F9E">
        <w:trPr>
          <w:trHeight w:val="216"/>
        </w:trPr>
        <w:tc>
          <w:tcPr>
            <w:tcW w:w="3890" w:type="dxa"/>
            <w:tcBorders>
              <w:top w:val="nil"/>
              <w:left w:val="nil"/>
              <w:bottom w:val="nil"/>
              <w:right w:val="nil"/>
            </w:tcBorders>
            <w:shd w:val="clear" w:color="auto" w:fill="auto"/>
            <w:vAlign w:val="center"/>
            <w:hideMark/>
          </w:tcPr>
          <w:p w14:paraId="1BAC8124"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Počiatočná rozpočtová pozícia štrukturálneho salda a dlhu*</w:t>
            </w:r>
          </w:p>
        </w:tc>
        <w:tc>
          <w:tcPr>
            <w:tcW w:w="1372" w:type="dxa"/>
            <w:tcBorders>
              <w:top w:val="nil"/>
              <w:left w:val="nil"/>
              <w:bottom w:val="nil"/>
              <w:right w:val="nil"/>
            </w:tcBorders>
            <w:shd w:val="clear" w:color="auto" w:fill="auto"/>
            <w:vAlign w:val="center"/>
            <w:hideMark/>
          </w:tcPr>
          <w:p w14:paraId="43E30956" w14:textId="77777777" w:rsidR="009A2A34" w:rsidRPr="00E6770A" w:rsidRDefault="009A2A34" w:rsidP="00CC1F9E">
            <w:pPr>
              <w:jc w:val="center"/>
              <w:rPr>
                <w:rFonts w:cs="Calibri"/>
                <w:color w:val="000000"/>
                <w:sz w:val="16"/>
                <w:szCs w:val="16"/>
              </w:rPr>
            </w:pPr>
            <w:r w:rsidRPr="00E6770A">
              <w:rPr>
                <w:rFonts w:cs="Calibri"/>
                <w:color w:val="000000"/>
                <w:sz w:val="16"/>
                <w:szCs w:val="16"/>
              </w:rPr>
              <w:t>4,</w:t>
            </w:r>
            <w:r>
              <w:rPr>
                <w:rFonts w:cs="Calibri"/>
                <w:color w:val="000000"/>
                <w:sz w:val="16"/>
                <w:szCs w:val="16"/>
              </w:rPr>
              <w:t>1</w:t>
            </w:r>
          </w:p>
        </w:tc>
        <w:tc>
          <w:tcPr>
            <w:tcW w:w="1737" w:type="dxa"/>
            <w:tcBorders>
              <w:top w:val="nil"/>
              <w:left w:val="nil"/>
              <w:bottom w:val="nil"/>
              <w:right w:val="nil"/>
            </w:tcBorders>
            <w:shd w:val="clear" w:color="auto" w:fill="auto"/>
            <w:vAlign w:val="center"/>
            <w:hideMark/>
          </w:tcPr>
          <w:p w14:paraId="77E9F81D" w14:textId="77777777" w:rsidR="009A2A34" w:rsidRPr="00E6770A" w:rsidRDefault="009A2A34" w:rsidP="00CC1F9E">
            <w:pPr>
              <w:jc w:val="center"/>
              <w:rPr>
                <w:rFonts w:cs="Calibri"/>
                <w:color w:val="000000"/>
                <w:sz w:val="16"/>
                <w:szCs w:val="16"/>
              </w:rPr>
            </w:pPr>
            <w:r w:rsidRPr="00E6770A">
              <w:rPr>
                <w:rFonts w:cs="Calibri"/>
                <w:color w:val="000000"/>
                <w:sz w:val="16"/>
                <w:szCs w:val="16"/>
              </w:rPr>
              <w:t>4,3</w:t>
            </w:r>
          </w:p>
        </w:tc>
        <w:tc>
          <w:tcPr>
            <w:tcW w:w="2111" w:type="dxa"/>
            <w:tcBorders>
              <w:top w:val="nil"/>
              <w:left w:val="nil"/>
              <w:bottom w:val="nil"/>
              <w:right w:val="nil"/>
            </w:tcBorders>
            <w:shd w:val="clear" w:color="auto" w:fill="auto"/>
            <w:vAlign w:val="center"/>
            <w:hideMark/>
          </w:tcPr>
          <w:p w14:paraId="65E06280" w14:textId="77777777" w:rsidR="009A2A34" w:rsidRPr="00E6770A" w:rsidRDefault="009A2A34" w:rsidP="00CC1F9E">
            <w:pPr>
              <w:jc w:val="center"/>
              <w:rPr>
                <w:rFonts w:cs="Calibri"/>
                <w:color w:val="000000"/>
                <w:sz w:val="16"/>
                <w:szCs w:val="16"/>
              </w:rPr>
            </w:pPr>
            <w:r>
              <w:rPr>
                <w:rFonts w:cs="Calibri"/>
                <w:color w:val="000000"/>
                <w:sz w:val="16"/>
                <w:szCs w:val="16"/>
              </w:rPr>
              <w:t>1,7</w:t>
            </w:r>
          </w:p>
        </w:tc>
      </w:tr>
      <w:tr w:rsidR="009A2A34" w:rsidRPr="00E6770A" w14:paraId="05D18A07" w14:textId="77777777" w:rsidTr="00CC1F9E">
        <w:trPr>
          <w:trHeight w:val="200"/>
        </w:trPr>
        <w:tc>
          <w:tcPr>
            <w:tcW w:w="3890" w:type="dxa"/>
            <w:tcBorders>
              <w:top w:val="nil"/>
              <w:left w:val="nil"/>
              <w:bottom w:val="nil"/>
              <w:right w:val="nil"/>
            </w:tcBorders>
            <w:shd w:val="clear" w:color="auto" w:fill="auto"/>
            <w:vAlign w:val="center"/>
            <w:hideMark/>
          </w:tcPr>
          <w:p w14:paraId="7C0BE2E9" w14:textId="77777777" w:rsidR="009A2A34" w:rsidRPr="00E6770A" w:rsidRDefault="009A2A34" w:rsidP="00CC1F9E">
            <w:pPr>
              <w:ind w:firstLineChars="200" w:firstLine="320"/>
              <w:rPr>
                <w:rFonts w:cs="Calibri"/>
                <w:i/>
                <w:iCs/>
                <w:color w:val="000000"/>
                <w:sz w:val="16"/>
                <w:szCs w:val="16"/>
              </w:rPr>
            </w:pPr>
            <w:r w:rsidRPr="00E6770A">
              <w:rPr>
                <w:rFonts w:cs="Calibri"/>
                <w:i/>
                <w:iCs/>
                <w:color w:val="000000"/>
                <w:sz w:val="16"/>
                <w:szCs w:val="16"/>
              </w:rPr>
              <w:t>z toho primárne štrukturálne saldo (-):</w:t>
            </w:r>
          </w:p>
        </w:tc>
        <w:tc>
          <w:tcPr>
            <w:tcW w:w="1372" w:type="dxa"/>
            <w:tcBorders>
              <w:top w:val="nil"/>
              <w:left w:val="nil"/>
              <w:bottom w:val="nil"/>
              <w:right w:val="nil"/>
            </w:tcBorders>
            <w:shd w:val="clear" w:color="auto" w:fill="auto"/>
            <w:vAlign w:val="center"/>
            <w:hideMark/>
          </w:tcPr>
          <w:p w14:paraId="6F0CFAA7" w14:textId="77777777" w:rsidR="009A2A34" w:rsidRPr="00E6770A" w:rsidRDefault="009A2A34" w:rsidP="00CC1F9E">
            <w:pPr>
              <w:jc w:val="center"/>
              <w:rPr>
                <w:rFonts w:cs="Calibri"/>
                <w:color w:val="000000"/>
                <w:sz w:val="16"/>
                <w:szCs w:val="16"/>
              </w:rPr>
            </w:pPr>
            <w:r w:rsidRPr="00E6770A">
              <w:rPr>
                <w:rFonts w:cs="Calibri"/>
                <w:color w:val="000000"/>
                <w:sz w:val="16"/>
                <w:szCs w:val="16"/>
              </w:rPr>
              <w:t>-</w:t>
            </w:r>
            <w:r>
              <w:rPr>
                <w:rFonts w:cs="Calibri"/>
                <w:color w:val="000000"/>
                <w:sz w:val="16"/>
                <w:szCs w:val="16"/>
              </w:rPr>
              <w:t>3</w:t>
            </w:r>
            <w:r w:rsidRPr="00E6770A">
              <w:rPr>
                <w:rFonts w:cs="Calibri"/>
                <w:color w:val="000000"/>
                <w:sz w:val="16"/>
                <w:szCs w:val="16"/>
              </w:rPr>
              <w:t>,</w:t>
            </w:r>
            <w:r>
              <w:rPr>
                <w:rFonts w:cs="Calibri"/>
                <w:color w:val="000000"/>
                <w:sz w:val="16"/>
                <w:szCs w:val="16"/>
              </w:rPr>
              <w:t>8</w:t>
            </w:r>
          </w:p>
        </w:tc>
        <w:tc>
          <w:tcPr>
            <w:tcW w:w="1737" w:type="dxa"/>
            <w:tcBorders>
              <w:top w:val="nil"/>
              <w:left w:val="nil"/>
              <w:bottom w:val="nil"/>
              <w:right w:val="nil"/>
            </w:tcBorders>
            <w:shd w:val="clear" w:color="auto" w:fill="auto"/>
            <w:vAlign w:val="center"/>
            <w:hideMark/>
          </w:tcPr>
          <w:p w14:paraId="5FF8DC2A" w14:textId="77777777" w:rsidR="009A2A34" w:rsidRPr="00E6770A" w:rsidRDefault="009A2A34" w:rsidP="00CC1F9E">
            <w:pPr>
              <w:jc w:val="center"/>
              <w:rPr>
                <w:rFonts w:cs="Calibri"/>
                <w:color w:val="000000"/>
                <w:sz w:val="16"/>
                <w:szCs w:val="16"/>
              </w:rPr>
            </w:pPr>
            <w:r w:rsidRPr="00E6770A">
              <w:rPr>
                <w:rFonts w:cs="Calibri"/>
                <w:color w:val="000000"/>
                <w:sz w:val="16"/>
                <w:szCs w:val="16"/>
              </w:rPr>
              <w:t>-3,9</w:t>
            </w:r>
          </w:p>
        </w:tc>
        <w:tc>
          <w:tcPr>
            <w:tcW w:w="2111" w:type="dxa"/>
            <w:tcBorders>
              <w:top w:val="nil"/>
              <w:left w:val="nil"/>
              <w:bottom w:val="nil"/>
              <w:right w:val="nil"/>
            </w:tcBorders>
            <w:shd w:val="clear" w:color="auto" w:fill="auto"/>
            <w:vAlign w:val="center"/>
            <w:hideMark/>
          </w:tcPr>
          <w:p w14:paraId="69232F11"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4</w:t>
            </w:r>
          </w:p>
        </w:tc>
      </w:tr>
      <w:tr w:rsidR="009A2A34" w:rsidRPr="00E6770A" w14:paraId="0C8D41A0" w14:textId="77777777" w:rsidTr="00CC1F9E">
        <w:trPr>
          <w:trHeight w:val="200"/>
        </w:trPr>
        <w:tc>
          <w:tcPr>
            <w:tcW w:w="3890" w:type="dxa"/>
            <w:tcBorders>
              <w:top w:val="nil"/>
              <w:left w:val="nil"/>
              <w:bottom w:val="nil"/>
              <w:right w:val="nil"/>
            </w:tcBorders>
            <w:shd w:val="clear" w:color="auto" w:fill="auto"/>
            <w:vAlign w:val="center"/>
            <w:hideMark/>
          </w:tcPr>
          <w:p w14:paraId="52A8E2C4"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Výdavky na penzie</w:t>
            </w:r>
          </w:p>
        </w:tc>
        <w:tc>
          <w:tcPr>
            <w:tcW w:w="1372" w:type="dxa"/>
            <w:tcBorders>
              <w:top w:val="nil"/>
              <w:left w:val="nil"/>
              <w:bottom w:val="nil"/>
              <w:right w:val="nil"/>
            </w:tcBorders>
            <w:shd w:val="clear" w:color="auto" w:fill="auto"/>
            <w:vAlign w:val="center"/>
            <w:hideMark/>
          </w:tcPr>
          <w:p w14:paraId="34106A32"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7</w:t>
            </w:r>
          </w:p>
        </w:tc>
        <w:tc>
          <w:tcPr>
            <w:tcW w:w="1737" w:type="dxa"/>
            <w:tcBorders>
              <w:top w:val="nil"/>
              <w:left w:val="nil"/>
              <w:bottom w:val="nil"/>
              <w:right w:val="nil"/>
            </w:tcBorders>
            <w:shd w:val="clear" w:color="auto" w:fill="auto"/>
            <w:vAlign w:val="center"/>
            <w:hideMark/>
          </w:tcPr>
          <w:p w14:paraId="74C6D6B4"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1</w:t>
            </w:r>
          </w:p>
        </w:tc>
        <w:tc>
          <w:tcPr>
            <w:tcW w:w="2111" w:type="dxa"/>
            <w:tcBorders>
              <w:top w:val="nil"/>
              <w:left w:val="nil"/>
              <w:bottom w:val="nil"/>
              <w:right w:val="nil"/>
            </w:tcBorders>
            <w:shd w:val="clear" w:color="auto" w:fill="auto"/>
            <w:vAlign w:val="center"/>
            <w:hideMark/>
          </w:tcPr>
          <w:p w14:paraId="0B27AFBB"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1</w:t>
            </w:r>
          </w:p>
        </w:tc>
      </w:tr>
      <w:tr w:rsidR="009A2A34" w:rsidRPr="00E6770A" w14:paraId="1F212BB0" w14:textId="77777777" w:rsidTr="00CC1F9E">
        <w:trPr>
          <w:trHeight w:val="200"/>
        </w:trPr>
        <w:tc>
          <w:tcPr>
            <w:tcW w:w="3890" w:type="dxa"/>
            <w:tcBorders>
              <w:top w:val="nil"/>
              <w:left w:val="nil"/>
              <w:bottom w:val="nil"/>
              <w:right w:val="nil"/>
            </w:tcBorders>
            <w:shd w:val="clear" w:color="auto" w:fill="auto"/>
            <w:vAlign w:val="center"/>
            <w:hideMark/>
          </w:tcPr>
          <w:p w14:paraId="221B3C71"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Zdravotná starostlivosť</w:t>
            </w:r>
          </w:p>
        </w:tc>
        <w:tc>
          <w:tcPr>
            <w:tcW w:w="1372" w:type="dxa"/>
            <w:tcBorders>
              <w:top w:val="nil"/>
              <w:left w:val="nil"/>
              <w:bottom w:val="nil"/>
              <w:right w:val="nil"/>
            </w:tcBorders>
            <w:shd w:val="clear" w:color="auto" w:fill="auto"/>
            <w:vAlign w:val="center"/>
            <w:hideMark/>
          </w:tcPr>
          <w:p w14:paraId="09EA8010" w14:textId="77777777" w:rsidR="009A2A34" w:rsidRPr="00E6770A" w:rsidRDefault="009A2A34" w:rsidP="00CC1F9E">
            <w:pPr>
              <w:jc w:val="center"/>
              <w:rPr>
                <w:rFonts w:cs="Calibri"/>
                <w:color w:val="000000"/>
                <w:sz w:val="16"/>
                <w:szCs w:val="16"/>
              </w:rPr>
            </w:pPr>
            <w:r w:rsidRPr="00E6770A">
              <w:rPr>
                <w:rFonts w:cs="Calibri"/>
                <w:color w:val="000000"/>
                <w:sz w:val="16"/>
                <w:szCs w:val="16"/>
              </w:rPr>
              <w:t>0,9</w:t>
            </w:r>
          </w:p>
        </w:tc>
        <w:tc>
          <w:tcPr>
            <w:tcW w:w="1737" w:type="dxa"/>
            <w:tcBorders>
              <w:top w:val="nil"/>
              <w:left w:val="nil"/>
              <w:bottom w:val="nil"/>
              <w:right w:val="nil"/>
            </w:tcBorders>
            <w:shd w:val="clear" w:color="auto" w:fill="auto"/>
            <w:vAlign w:val="center"/>
            <w:hideMark/>
          </w:tcPr>
          <w:p w14:paraId="043FA475" w14:textId="77777777" w:rsidR="009A2A34" w:rsidRPr="00E6770A" w:rsidRDefault="009A2A34" w:rsidP="00CC1F9E">
            <w:pPr>
              <w:jc w:val="center"/>
              <w:rPr>
                <w:rFonts w:cs="Calibri"/>
                <w:color w:val="000000"/>
                <w:sz w:val="16"/>
                <w:szCs w:val="16"/>
              </w:rPr>
            </w:pPr>
            <w:r w:rsidRPr="00E6770A">
              <w:rPr>
                <w:rFonts w:cs="Calibri"/>
                <w:color w:val="000000"/>
                <w:sz w:val="16"/>
                <w:szCs w:val="16"/>
              </w:rPr>
              <w:t>0,8</w:t>
            </w:r>
          </w:p>
        </w:tc>
        <w:tc>
          <w:tcPr>
            <w:tcW w:w="2111" w:type="dxa"/>
            <w:tcBorders>
              <w:top w:val="nil"/>
              <w:left w:val="nil"/>
              <w:bottom w:val="nil"/>
              <w:right w:val="nil"/>
            </w:tcBorders>
            <w:shd w:val="clear" w:color="auto" w:fill="auto"/>
            <w:vAlign w:val="center"/>
            <w:hideMark/>
          </w:tcPr>
          <w:p w14:paraId="1894CA4A" w14:textId="77777777" w:rsidR="009A2A34" w:rsidRPr="00E6770A" w:rsidRDefault="009A2A34" w:rsidP="00CC1F9E">
            <w:pPr>
              <w:jc w:val="center"/>
              <w:rPr>
                <w:rFonts w:cs="Calibri"/>
                <w:color w:val="000000"/>
                <w:sz w:val="16"/>
                <w:szCs w:val="16"/>
              </w:rPr>
            </w:pPr>
            <w:r w:rsidRPr="00E6770A">
              <w:rPr>
                <w:rFonts w:cs="Calibri"/>
                <w:color w:val="000000"/>
                <w:sz w:val="16"/>
                <w:szCs w:val="16"/>
              </w:rPr>
              <w:t>0,8</w:t>
            </w:r>
          </w:p>
        </w:tc>
      </w:tr>
      <w:tr w:rsidR="009A2A34" w:rsidRPr="00E6770A" w14:paraId="02953C06" w14:textId="77777777" w:rsidTr="00CC1F9E">
        <w:trPr>
          <w:trHeight w:val="200"/>
        </w:trPr>
        <w:tc>
          <w:tcPr>
            <w:tcW w:w="3890" w:type="dxa"/>
            <w:tcBorders>
              <w:top w:val="nil"/>
              <w:left w:val="nil"/>
              <w:bottom w:val="nil"/>
              <w:right w:val="nil"/>
            </w:tcBorders>
            <w:shd w:val="clear" w:color="auto" w:fill="auto"/>
            <w:vAlign w:val="center"/>
          </w:tcPr>
          <w:p w14:paraId="5695B842"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Dlhodobá starostlivosť</w:t>
            </w:r>
          </w:p>
        </w:tc>
        <w:tc>
          <w:tcPr>
            <w:tcW w:w="1372" w:type="dxa"/>
            <w:tcBorders>
              <w:top w:val="nil"/>
              <w:left w:val="nil"/>
              <w:bottom w:val="nil"/>
              <w:right w:val="nil"/>
            </w:tcBorders>
            <w:shd w:val="clear" w:color="auto" w:fill="auto"/>
            <w:vAlign w:val="center"/>
          </w:tcPr>
          <w:p w14:paraId="48CA9418" w14:textId="77777777" w:rsidR="009A2A34" w:rsidRPr="00E6770A" w:rsidRDefault="009A2A34" w:rsidP="00CC1F9E">
            <w:pPr>
              <w:jc w:val="center"/>
              <w:rPr>
                <w:rFonts w:cs="Calibri"/>
                <w:color w:val="000000"/>
                <w:sz w:val="16"/>
                <w:szCs w:val="16"/>
              </w:rPr>
            </w:pPr>
            <w:r>
              <w:rPr>
                <w:rFonts w:cs="Calibri"/>
                <w:color w:val="000000"/>
                <w:sz w:val="16"/>
                <w:szCs w:val="16"/>
              </w:rPr>
              <w:t>0,7</w:t>
            </w:r>
          </w:p>
        </w:tc>
        <w:tc>
          <w:tcPr>
            <w:tcW w:w="1737" w:type="dxa"/>
            <w:tcBorders>
              <w:top w:val="nil"/>
              <w:left w:val="nil"/>
              <w:bottom w:val="nil"/>
              <w:right w:val="nil"/>
            </w:tcBorders>
            <w:shd w:val="clear" w:color="auto" w:fill="auto"/>
            <w:vAlign w:val="center"/>
          </w:tcPr>
          <w:p w14:paraId="1EA02793" w14:textId="77777777" w:rsidR="009A2A34" w:rsidRPr="00E6770A" w:rsidRDefault="009A2A34" w:rsidP="00CC1F9E">
            <w:pPr>
              <w:jc w:val="center"/>
              <w:rPr>
                <w:rFonts w:cs="Calibri"/>
                <w:color w:val="000000"/>
                <w:sz w:val="16"/>
                <w:szCs w:val="16"/>
              </w:rPr>
            </w:pPr>
            <w:r>
              <w:rPr>
                <w:rFonts w:cs="Calibri"/>
                <w:color w:val="000000"/>
                <w:sz w:val="16"/>
                <w:szCs w:val="16"/>
              </w:rPr>
              <w:t>0,6</w:t>
            </w:r>
          </w:p>
        </w:tc>
        <w:tc>
          <w:tcPr>
            <w:tcW w:w="2111" w:type="dxa"/>
            <w:tcBorders>
              <w:top w:val="nil"/>
              <w:left w:val="nil"/>
              <w:bottom w:val="nil"/>
              <w:right w:val="nil"/>
            </w:tcBorders>
            <w:shd w:val="clear" w:color="auto" w:fill="auto"/>
            <w:vAlign w:val="center"/>
          </w:tcPr>
          <w:p w14:paraId="011AF77E" w14:textId="77777777" w:rsidR="009A2A34" w:rsidRPr="00E6770A" w:rsidRDefault="009A2A34" w:rsidP="00CC1F9E">
            <w:pPr>
              <w:jc w:val="center"/>
              <w:rPr>
                <w:rFonts w:cs="Calibri"/>
                <w:color w:val="000000"/>
                <w:sz w:val="16"/>
                <w:szCs w:val="16"/>
              </w:rPr>
            </w:pPr>
            <w:r>
              <w:rPr>
                <w:rFonts w:cs="Calibri"/>
                <w:color w:val="000000"/>
                <w:sz w:val="16"/>
                <w:szCs w:val="16"/>
              </w:rPr>
              <w:t>0,6</w:t>
            </w:r>
          </w:p>
        </w:tc>
      </w:tr>
      <w:tr w:rsidR="009A2A34" w:rsidRPr="00E6770A" w14:paraId="54011A03" w14:textId="77777777" w:rsidTr="00CC1F9E">
        <w:trPr>
          <w:trHeight w:val="200"/>
        </w:trPr>
        <w:tc>
          <w:tcPr>
            <w:tcW w:w="3890" w:type="dxa"/>
            <w:tcBorders>
              <w:top w:val="nil"/>
              <w:left w:val="nil"/>
              <w:bottom w:val="nil"/>
              <w:right w:val="nil"/>
            </w:tcBorders>
            <w:shd w:val="clear" w:color="auto" w:fill="auto"/>
            <w:vAlign w:val="center"/>
            <w:hideMark/>
          </w:tcPr>
          <w:p w14:paraId="322C5BD8"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Výdavky na vzdelanie</w:t>
            </w:r>
          </w:p>
        </w:tc>
        <w:tc>
          <w:tcPr>
            <w:tcW w:w="1372" w:type="dxa"/>
            <w:tcBorders>
              <w:top w:val="nil"/>
              <w:left w:val="nil"/>
              <w:bottom w:val="nil"/>
              <w:right w:val="nil"/>
            </w:tcBorders>
            <w:shd w:val="clear" w:color="auto" w:fill="auto"/>
            <w:vAlign w:val="center"/>
            <w:hideMark/>
          </w:tcPr>
          <w:p w14:paraId="6ACC2C24" w14:textId="77777777" w:rsidR="009A2A34" w:rsidRPr="00E6770A" w:rsidRDefault="009A2A34" w:rsidP="00CC1F9E">
            <w:pPr>
              <w:jc w:val="center"/>
              <w:rPr>
                <w:rFonts w:cs="Calibri"/>
                <w:color w:val="000000"/>
                <w:sz w:val="16"/>
                <w:szCs w:val="16"/>
              </w:rPr>
            </w:pPr>
            <w:r w:rsidRPr="00E6770A">
              <w:rPr>
                <w:rFonts w:cs="Calibri"/>
                <w:color w:val="000000"/>
                <w:sz w:val="16"/>
                <w:szCs w:val="16"/>
              </w:rPr>
              <w:t>0,1</w:t>
            </w:r>
          </w:p>
        </w:tc>
        <w:tc>
          <w:tcPr>
            <w:tcW w:w="1737" w:type="dxa"/>
            <w:tcBorders>
              <w:top w:val="nil"/>
              <w:left w:val="nil"/>
              <w:bottom w:val="nil"/>
              <w:right w:val="nil"/>
            </w:tcBorders>
            <w:shd w:val="clear" w:color="auto" w:fill="auto"/>
            <w:vAlign w:val="center"/>
            <w:hideMark/>
          </w:tcPr>
          <w:p w14:paraId="35C65B40" w14:textId="77777777" w:rsidR="009A2A34" w:rsidRPr="00E6770A" w:rsidRDefault="009A2A34" w:rsidP="00CC1F9E">
            <w:pPr>
              <w:jc w:val="center"/>
              <w:rPr>
                <w:rFonts w:cs="Calibri"/>
                <w:color w:val="000000"/>
                <w:sz w:val="16"/>
                <w:szCs w:val="16"/>
              </w:rPr>
            </w:pPr>
            <w:r w:rsidRPr="00E6770A">
              <w:rPr>
                <w:rFonts w:cs="Calibri"/>
                <w:color w:val="000000"/>
                <w:sz w:val="16"/>
                <w:szCs w:val="16"/>
              </w:rPr>
              <w:t>0,1</w:t>
            </w:r>
          </w:p>
        </w:tc>
        <w:tc>
          <w:tcPr>
            <w:tcW w:w="2111" w:type="dxa"/>
            <w:tcBorders>
              <w:top w:val="nil"/>
              <w:left w:val="nil"/>
              <w:bottom w:val="nil"/>
              <w:right w:val="nil"/>
            </w:tcBorders>
            <w:shd w:val="clear" w:color="auto" w:fill="auto"/>
            <w:vAlign w:val="center"/>
            <w:hideMark/>
          </w:tcPr>
          <w:p w14:paraId="15A7735B" w14:textId="77777777" w:rsidR="009A2A34" w:rsidRPr="00E6770A" w:rsidRDefault="009A2A34" w:rsidP="00CC1F9E">
            <w:pPr>
              <w:jc w:val="center"/>
              <w:rPr>
                <w:rFonts w:cs="Calibri"/>
                <w:color w:val="000000"/>
                <w:sz w:val="16"/>
                <w:szCs w:val="16"/>
              </w:rPr>
            </w:pPr>
            <w:r w:rsidRPr="00E6770A">
              <w:rPr>
                <w:rFonts w:cs="Calibri"/>
                <w:color w:val="000000"/>
                <w:sz w:val="16"/>
                <w:szCs w:val="16"/>
              </w:rPr>
              <w:t>0,1</w:t>
            </w:r>
          </w:p>
        </w:tc>
      </w:tr>
      <w:tr w:rsidR="009A2A34" w:rsidRPr="00E6770A" w14:paraId="056CA03D" w14:textId="77777777" w:rsidTr="00CC1F9E">
        <w:trPr>
          <w:trHeight w:val="209"/>
        </w:trPr>
        <w:tc>
          <w:tcPr>
            <w:tcW w:w="3890" w:type="dxa"/>
            <w:tcBorders>
              <w:top w:val="nil"/>
              <w:left w:val="nil"/>
              <w:bottom w:val="nil"/>
              <w:right w:val="nil"/>
            </w:tcBorders>
            <w:shd w:val="clear" w:color="auto" w:fill="auto"/>
            <w:vAlign w:val="center"/>
            <w:hideMark/>
          </w:tcPr>
          <w:p w14:paraId="494FC885"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lastRenderedPageBreak/>
              <w:t>Ostatné</w:t>
            </w:r>
            <w:r>
              <w:rPr>
                <w:rFonts w:cs="Calibri"/>
                <w:color w:val="000000"/>
                <w:sz w:val="16"/>
                <w:szCs w:val="16"/>
              </w:rPr>
              <w:t>**</w:t>
            </w:r>
          </w:p>
        </w:tc>
        <w:tc>
          <w:tcPr>
            <w:tcW w:w="1372" w:type="dxa"/>
            <w:tcBorders>
              <w:top w:val="nil"/>
              <w:left w:val="nil"/>
              <w:bottom w:val="nil"/>
              <w:right w:val="nil"/>
            </w:tcBorders>
            <w:shd w:val="clear" w:color="auto" w:fill="auto"/>
            <w:vAlign w:val="center"/>
            <w:hideMark/>
          </w:tcPr>
          <w:p w14:paraId="14CC7195" w14:textId="77777777" w:rsidR="009A2A34" w:rsidRPr="00E6770A" w:rsidRDefault="009A2A34" w:rsidP="00CC1F9E">
            <w:pPr>
              <w:jc w:val="center"/>
              <w:rPr>
                <w:rFonts w:cs="Calibri"/>
                <w:color w:val="000000"/>
                <w:sz w:val="16"/>
                <w:szCs w:val="16"/>
              </w:rPr>
            </w:pPr>
            <w:r w:rsidRPr="00E6770A">
              <w:rPr>
                <w:rFonts w:cs="Calibri"/>
                <w:color w:val="000000"/>
                <w:sz w:val="16"/>
                <w:szCs w:val="16"/>
              </w:rPr>
              <w:t>0,3</w:t>
            </w:r>
          </w:p>
        </w:tc>
        <w:tc>
          <w:tcPr>
            <w:tcW w:w="1737" w:type="dxa"/>
            <w:tcBorders>
              <w:top w:val="nil"/>
              <w:left w:val="nil"/>
              <w:bottom w:val="nil"/>
              <w:right w:val="nil"/>
            </w:tcBorders>
            <w:shd w:val="clear" w:color="auto" w:fill="auto"/>
            <w:vAlign w:val="center"/>
            <w:hideMark/>
          </w:tcPr>
          <w:p w14:paraId="022E1DC0" w14:textId="77777777" w:rsidR="009A2A34" w:rsidRPr="00E6770A" w:rsidRDefault="009A2A34" w:rsidP="00CC1F9E">
            <w:pPr>
              <w:jc w:val="center"/>
              <w:rPr>
                <w:rFonts w:cs="Calibri"/>
                <w:color w:val="000000"/>
                <w:sz w:val="16"/>
                <w:szCs w:val="16"/>
              </w:rPr>
            </w:pPr>
            <w:r w:rsidRPr="00E6770A">
              <w:rPr>
                <w:rFonts w:cs="Calibri"/>
                <w:color w:val="000000"/>
                <w:sz w:val="16"/>
                <w:szCs w:val="16"/>
              </w:rPr>
              <w:t>0,5</w:t>
            </w:r>
          </w:p>
        </w:tc>
        <w:tc>
          <w:tcPr>
            <w:tcW w:w="2111" w:type="dxa"/>
            <w:tcBorders>
              <w:top w:val="nil"/>
              <w:left w:val="nil"/>
              <w:bottom w:val="nil"/>
              <w:right w:val="nil"/>
            </w:tcBorders>
            <w:shd w:val="clear" w:color="auto" w:fill="auto"/>
            <w:vAlign w:val="center"/>
            <w:hideMark/>
          </w:tcPr>
          <w:p w14:paraId="3E380034" w14:textId="77777777" w:rsidR="009A2A34" w:rsidRPr="00E6770A" w:rsidRDefault="009A2A34" w:rsidP="00CC1F9E">
            <w:pPr>
              <w:jc w:val="center"/>
              <w:rPr>
                <w:rFonts w:cs="Calibri"/>
                <w:color w:val="000000"/>
                <w:sz w:val="16"/>
                <w:szCs w:val="16"/>
              </w:rPr>
            </w:pPr>
            <w:r w:rsidRPr="00E6770A">
              <w:rPr>
                <w:rFonts w:cs="Calibri"/>
                <w:color w:val="000000"/>
                <w:sz w:val="16"/>
                <w:szCs w:val="16"/>
              </w:rPr>
              <w:t>0,</w:t>
            </w:r>
            <w:r>
              <w:rPr>
                <w:rFonts w:cs="Calibri"/>
                <w:color w:val="000000"/>
                <w:sz w:val="16"/>
                <w:szCs w:val="16"/>
              </w:rPr>
              <w:t>3</w:t>
            </w:r>
          </w:p>
        </w:tc>
      </w:tr>
      <w:tr w:rsidR="009A2A34" w:rsidRPr="00E6770A" w14:paraId="18EE6206" w14:textId="77777777" w:rsidTr="00CC1F9E">
        <w:trPr>
          <w:trHeight w:val="209"/>
        </w:trPr>
        <w:tc>
          <w:tcPr>
            <w:tcW w:w="3890" w:type="dxa"/>
            <w:tcBorders>
              <w:top w:val="single" w:sz="8" w:space="0" w:color="000000"/>
              <w:left w:val="nil"/>
              <w:bottom w:val="single" w:sz="8" w:space="0" w:color="000000"/>
              <w:right w:val="nil"/>
            </w:tcBorders>
            <w:shd w:val="clear" w:color="auto" w:fill="auto"/>
            <w:vAlign w:val="center"/>
            <w:hideMark/>
          </w:tcPr>
          <w:p w14:paraId="334C0A5E" w14:textId="77777777" w:rsidR="009A2A34" w:rsidRPr="00E6770A" w:rsidRDefault="009A2A34" w:rsidP="00CC1F9E">
            <w:pPr>
              <w:rPr>
                <w:rFonts w:cs="Calibri"/>
                <w:b/>
                <w:bCs/>
                <w:color w:val="000000"/>
                <w:sz w:val="18"/>
                <w:szCs w:val="18"/>
              </w:rPr>
            </w:pPr>
            <w:r w:rsidRPr="00E6770A">
              <w:rPr>
                <w:rFonts w:cs="Calibri"/>
                <w:b/>
                <w:bCs/>
                <w:color w:val="000000"/>
                <w:sz w:val="18"/>
                <w:szCs w:val="18"/>
              </w:rPr>
              <w:t>S2 Indikátor</w:t>
            </w:r>
          </w:p>
        </w:tc>
        <w:tc>
          <w:tcPr>
            <w:tcW w:w="1372" w:type="dxa"/>
            <w:tcBorders>
              <w:top w:val="single" w:sz="8" w:space="0" w:color="000000"/>
              <w:left w:val="nil"/>
              <w:bottom w:val="single" w:sz="8" w:space="0" w:color="000000"/>
              <w:right w:val="nil"/>
            </w:tcBorders>
            <w:shd w:val="clear" w:color="auto" w:fill="auto"/>
            <w:vAlign w:val="center"/>
            <w:hideMark/>
          </w:tcPr>
          <w:p w14:paraId="0736998F" w14:textId="77777777" w:rsidR="009A2A34" w:rsidRPr="00E6770A" w:rsidRDefault="009A2A34" w:rsidP="00CC1F9E">
            <w:pPr>
              <w:jc w:val="center"/>
              <w:rPr>
                <w:rFonts w:cs="Calibri"/>
                <w:b/>
                <w:bCs/>
                <w:color w:val="FF0000"/>
                <w:sz w:val="18"/>
                <w:szCs w:val="18"/>
              </w:rPr>
            </w:pPr>
            <w:r>
              <w:rPr>
                <w:rFonts w:cs="Calibri"/>
                <w:b/>
                <w:bCs/>
                <w:color w:val="FF0000"/>
                <w:sz w:val="18"/>
                <w:szCs w:val="18"/>
              </w:rPr>
              <w:t>9,1</w:t>
            </w:r>
          </w:p>
        </w:tc>
        <w:tc>
          <w:tcPr>
            <w:tcW w:w="1737" w:type="dxa"/>
            <w:tcBorders>
              <w:top w:val="single" w:sz="8" w:space="0" w:color="000000"/>
              <w:left w:val="nil"/>
              <w:bottom w:val="single" w:sz="8" w:space="0" w:color="000000"/>
              <w:right w:val="nil"/>
            </w:tcBorders>
            <w:shd w:val="clear" w:color="auto" w:fill="auto"/>
            <w:vAlign w:val="center"/>
            <w:hideMark/>
          </w:tcPr>
          <w:p w14:paraId="54ADBB85" w14:textId="77777777" w:rsidR="009A2A34" w:rsidRPr="00E6770A" w:rsidRDefault="009A2A34" w:rsidP="00CC1F9E">
            <w:pPr>
              <w:jc w:val="center"/>
              <w:rPr>
                <w:rFonts w:cs="Calibri"/>
                <w:b/>
                <w:bCs/>
                <w:color w:val="FF0000"/>
                <w:sz w:val="18"/>
                <w:szCs w:val="18"/>
              </w:rPr>
            </w:pPr>
            <w:r w:rsidRPr="00E6770A">
              <w:rPr>
                <w:rFonts w:cs="Calibri"/>
                <w:b/>
                <w:bCs/>
                <w:color w:val="FF0000"/>
                <w:sz w:val="18"/>
                <w:szCs w:val="18"/>
              </w:rPr>
              <w:t>8,</w:t>
            </w:r>
            <w:r>
              <w:rPr>
                <w:rFonts w:cs="Calibri"/>
                <w:b/>
                <w:bCs/>
                <w:color w:val="FF0000"/>
                <w:sz w:val="18"/>
                <w:szCs w:val="18"/>
              </w:rPr>
              <w:t>3</w:t>
            </w:r>
          </w:p>
        </w:tc>
        <w:tc>
          <w:tcPr>
            <w:tcW w:w="2111" w:type="dxa"/>
            <w:tcBorders>
              <w:top w:val="single" w:sz="8" w:space="0" w:color="000000"/>
              <w:left w:val="nil"/>
              <w:bottom w:val="single" w:sz="8" w:space="0" w:color="000000"/>
              <w:right w:val="nil"/>
            </w:tcBorders>
            <w:shd w:val="clear" w:color="auto" w:fill="auto"/>
            <w:vAlign w:val="center"/>
            <w:hideMark/>
          </w:tcPr>
          <w:p w14:paraId="27FFBC7A" w14:textId="77777777" w:rsidR="009A2A34" w:rsidRPr="00E6770A" w:rsidRDefault="009A2A34" w:rsidP="00CC1F9E">
            <w:pPr>
              <w:jc w:val="center"/>
              <w:rPr>
                <w:rFonts w:cs="Calibri"/>
                <w:b/>
                <w:bCs/>
                <w:color w:val="FFC000"/>
                <w:sz w:val="18"/>
                <w:szCs w:val="18"/>
              </w:rPr>
            </w:pPr>
            <w:r>
              <w:rPr>
                <w:rFonts w:cs="Calibri"/>
                <w:b/>
                <w:bCs/>
                <w:color w:val="FFC000"/>
                <w:sz w:val="18"/>
                <w:szCs w:val="18"/>
              </w:rPr>
              <w:t>5,7</w:t>
            </w:r>
          </w:p>
        </w:tc>
      </w:tr>
      <w:tr w:rsidR="009A2A34" w:rsidRPr="00E6770A" w14:paraId="0325B61F" w14:textId="77777777" w:rsidTr="00CC1F9E">
        <w:trPr>
          <w:trHeight w:val="209"/>
        </w:trPr>
        <w:tc>
          <w:tcPr>
            <w:tcW w:w="3890" w:type="dxa"/>
            <w:tcBorders>
              <w:top w:val="nil"/>
              <w:left w:val="nil"/>
              <w:bottom w:val="nil"/>
              <w:right w:val="nil"/>
            </w:tcBorders>
            <w:shd w:val="clear" w:color="auto" w:fill="auto"/>
            <w:vAlign w:val="center"/>
            <w:hideMark/>
          </w:tcPr>
          <w:p w14:paraId="0C334185" w14:textId="77777777" w:rsidR="009A2A34" w:rsidRPr="00E6770A" w:rsidRDefault="009A2A34" w:rsidP="00CC1F9E">
            <w:pPr>
              <w:rPr>
                <w:rFonts w:cs="Calibri"/>
                <w:color w:val="000000"/>
                <w:sz w:val="16"/>
                <w:szCs w:val="16"/>
              </w:rPr>
            </w:pPr>
            <w:r w:rsidRPr="00E6770A">
              <w:rPr>
                <w:rFonts w:cs="Calibri"/>
                <w:color w:val="000000"/>
                <w:sz w:val="16"/>
                <w:szCs w:val="16"/>
              </w:rPr>
              <w:t>z toho:</w:t>
            </w:r>
          </w:p>
        </w:tc>
        <w:tc>
          <w:tcPr>
            <w:tcW w:w="1372" w:type="dxa"/>
            <w:tcBorders>
              <w:top w:val="nil"/>
              <w:left w:val="nil"/>
              <w:bottom w:val="nil"/>
              <w:right w:val="nil"/>
            </w:tcBorders>
            <w:shd w:val="clear" w:color="auto" w:fill="auto"/>
            <w:vAlign w:val="center"/>
            <w:hideMark/>
          </w:tcPr>
          <w:p w14:paraId="25654DC8" w14:textId="77777777" w:rsidR="009A2A34" w:rsidRPr="00E6770A" w:rsidRDefault="009A2A34" w:rsidP="00CC1F9E">
            <w:pPr>
              <w:rPr>
                <w:rFonts w:cs="Calibri"/>
                <w:color w:val="000000"/>
                <w:sz w:val="16"/>
                <w:szCs w:val="16"/>
              </w:rPr>
            </w:pPr>
          </w:p>
        </w:tc>
        <w:tc>
          <w:tcPr>
            <w:tcW w:w="1737" w:type="dxa"/>
            <w:tcBorders>
              <w:top w:val="nil"/>
              <w:left w:val="nil"/>
              <w:bottom w:val="nil"/>
              <w:right w:val="nil"/>
            </w:tcBorders>
            <w:shd w:val="clear" w:color="auto" w:fill="auto"/>
            <w:vAlign w:val="center"/>
            <w:hideMark/>
          </w:tcPr>
          <w:p w14:paraId="3A65A98E" w14:textId="77777777" w:rsidR="009A2A34" w:rsidRPr="00E6770A" w:rsidRDefault="009A2A34" w:rsidP="00CC1F9E">
            <w:pPr>
              <w:jc w:val="center"/>
              <w:rPr>
                <w:rFonts w:ascii="Times New Roman" w:hAnsi="Times New Roman" w:cs="Times New Roman"/>
                <w:sz w:val="20"/>
                <w:szCs w:val="20"/>
              </w:rPr>
            </w:pPr>
          </w:p>
        </w:tc>
        <w:tc>
          <w:tcPr>
            <w:tcW w:w="2111" w:type="dxa"/>
            <w:tcBorders>
              <w:top w:val="nil"/>
              <w:left w:val="nil"/>
              <w:bottom w:val="nil"/>
              <w:right w:val="nil"/>
            </w:tcBorders>
            <w:shd w:val="clear" w:color="auto" w:fill="auto"/>
            <w:vAlign w:val="center"/>
            <w:hideMark/>
          </w:tcPr>
          <w:p w14:paraId="69267364" w14:textId="77777777" w:rsidR="009A2A34" w:rsidRPr="00E6770A" w:rsidRDefault="009A2A34" w:rsidP="00CC1F9E">
            <w:pPr>
              <w:rPr>
                <w:rFonts w:ascii="Times New Roman" w:hAnsi="Times New Roman" w:cs="Times New Roman"/>
                <w:sz w:val="20"/>
                <w:szCs w:val="20"/>
              </w:rPr>
            </w:pPr>
          </w:p>
        </w:tc>
      </w:tr>
      <w:tr w:rsidR="009A2A34" w:rsidRPr="00E6770A" w14:paraId="104A0E18" w14:textId="77777777" w:rsidTr="00CC1F9E">
        <w:trPr>
          <w:trHeight w:val="189"/>
        </w:trPr>
        <w:tc>
          <w:tcPr>
            <w:tcW w:w="3890" w:type="dxa"/>
            <w:tcBorders>
              <w:top w:val="nil"/>
              <w:left w:val="nil"/>
              <w:bottom w:val="nil"/>
              <w:right w:val="nil"/>
            </w:tcBorders>
            <w:shd w:val="clear" w:color="auto" w:fill="auto"/>
            <w:vAlign w:val="center"/>
            <w:hideMark/>
          </w:tcPr>
          <w:p w14:paraId="58C8813A"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Počiatočná rozpočtová pozícia štrukturálneho salda a dlhu*</w:t>
            </w:r>
          </w:p>
        </w:tc>
        <w:tc>
          <w:tcPr>
            <w:tcW w:w="1372" w:type="dxa"/>
            <w:tcBorders>
              <w:top w:val="nil"/>
              <w:left w:val="nil"/>
              <w:bottom w:val="nil"/>
              <w:right w:val="nil"/>
            </w:tcBorders>
            <w:shd w:val="clear" w:color="auto" w:fill="auto"/>
            <w:vAlign w:val="center"/>
            <w:hideMark/>
          </w:tcPr>
          <w:p w14:paraId="1F12703B" w14:textId="77777777" w:rsidR="009A2A34" w:rsidRPr="00E6770A" w:rsidRDefault="009A2A34" w:rsidP="00CC1F9E">
            <w:pPr>
              <w:jc w:val="center"/>
              <w:rPr>
                <w:rFonts w:cs="Calibri"/>
                <w:color w:val="000000"/>
                <w:sz w:val="16"/>
                <w:szCs w:val="16"/>
              </w:rPr>
            </w:pPr>
            <w:r w:rsidRPr="00E6770A">
              <w:rPr>
                <w:rFonts w:cs="Calibri"/>
                <w:color w:val="000000"/>
                <w:sz w:val="16"/>
                <w:szCs w:val="16"/>
              </w:rPr>
              <w:t>4,</w:t>
            </w:r>
            <w:r>
              <w:rPr>
                <w:rFonts w:cs="Calibri"/>
                <w:color w:val="000000"/>
                <w:sz w:val="16"/>
                <w:szCs w:val="16"/>
              </w:rPr>
              <w:t>3</w:t>
            </w:r>
          </w:p>
        </w:tc>
        <w:tc>
          <w:tcPr>
            <w:tcW w:w="1737" w:type="dxa"/>
            <w:tcBorders>
              <w:top w:val="nil"/>
              <w:left w:val="nil"/>
              <w:bottom w:val="nil"/>
              <w:right w:val="nil"/>
            </w:tcBorders>
            <w:shd w:val="clear" w:color="auto" w:fill="auto"/>
            <w:vAlign w:val="center"/>
            <w:hideMark/>
          </w:tcPr>
          <w:p w14:paraId="21684FF7" w14:textId="77777777" w:rsidR="009A2A34" w:rsidRPr="00E6770A" w:rsidRDefault="009A2A34" w:rsidP="00CC1F9E">
            <w:pPr>
              <w:jc w:val="center"/>
              <w:rPr>
                <w:rFonts w:cs="Calibri"/>
                <w:color w:val="000000"/>
                <w:sz w:val="16"/>
                <w:szCs w:val="16"/>
              </w:rPr>
            </w:pPr>
            <w:r w:rsidRPr="00E6770A">
              <w:rPr>
                <w:rFonts w:cs="Calibri"/>
                <w:color w:val="000000"/>
                <w:sz w:val="16"/>
                <w:szCs w:val="16"/>
              </w:rPr>
              <w:t>4,4</w:t>
            </w:r>
          </w:p>
        </w:tc>
        <w:tc>
          <w:tcPr>
            <w:tcW w:w="2111" w:type="dxa"/>
            <w:tcBorders>
              <w:top w:val="nil"/>
              <w:left w:val="nil"/>
              <w:bottom w:val="nil"/>
              <w:right w:val="nil"/>
            </w:tcBorders>
            <w:shd w:val="clear" w:color="auto" w:fill="auto"/>
            <w:vAlign w:val="center"/>
            <w:hideMark/>
          </w:tcPr>
          <w:p w14:paraId="39D089FA" w14:textId="77777777" w:rsidR="009A2A34" w:rsidRPr="00E6770A" w:rsidRDefault="009A2A34" w:rsidP="00CC1F9E">
            <w:pPr>
              <w:jc w:val="center"/>
              <w:rPr>
                <w:rFonts w:cs="Calibri"/>
                <w:color w:val="000000"/>
                <w:sz w:val="16"/>
                <w:szCs w:val="16"/>
              </w:rPr>
            </w:pPr>
            <w:r>
              <w:rPr>
                <w:rFonts w:cs="Calibri"/>
                <w:color w:val="000000"/>
                <w:sz w:val="16"/>
                <w:szCs w:val="16"/>
              </w:rPr>
              <w:t>1,8</w:t>
            </w:r>
          </w:p>
        </w:tc>
      </w:tr>
      <w:tr w:rsidR="009A2A34" w:rsidRPr="00E6770A" w14:paraId="6B5FB8E9" w14:textId="77777777" w:rsidTr="00CC1F9E">
        <w:trPr>
          <w:trHeight w:val="148"/>
        </w:trPr>
        <w:tc>
          <w:tcPr>
            <w:tcW w:w="3890" w:type="dxa"/>
            <w:tcBorders>
              <w:top w:val="nil"/>
              <w:left w:val="nil"/>
              <w:bottom w:val="nil"/>
              <w:right w:val="nil"/>
            </w:tcBorders>
            <w:shd w:val="clear" w:color="auto" w:fill="auto"/>
            <w:vAlign w:val="center"/>
            <w:hideMark/>
          </w:tcPr>
          <w:p w14:paraId="040B7322" w14:textId="77777777" w:rsidR="009A2A34" w:rsidRPr="00E6770A" w:rsidRDefault="009A2A34" w:rsidP="00CC1F9E">
            <w:pPr>
              <w:ind w:firstLineChars="200" w:firstLine="320"/>
              <w:rPr>
                <w:rFonts w:cs="Calibri"/>
                <w:i/>
                <w:iCs/>
                <w:color w:val="000000"/>
                <w:sz w:val="16"/>
                <w:szCs w:val="16"/>
              </w:rPr>
            </w:pPr>
            <w:r w:rsidRPr="00E6770A">
              <w:rPr>
                <w:rFonts w:cs="Calibri"/>
                <w:i/>
                <w:iCs/>
                <w:color w:val="000000"/>
                <w:sz w:val="16"/>
                <w:szCs w:val="16"/>
              </w:rPr>
              <w:t>z toho primárne štrukturálne saldo (-):</w:t>
            </w:r>
          </w:p>
        </w:tc>
        <w:tc>
          <w:tcPr>
            <w:tcW w:w="1372" w:type="dxa"/>
            <w:tcBorders>
              <w:top w:val="nil"/>
              <w:left w:val="nil"/>
              <w:bottom w:val="nil"/>
              <w:right w:val="nil"/>
            </w:tcBorders>
            <w:shd w:val="clear" w:color="auto" w:fill="auto"/>
            <w:vAlign w:val="center"/>
            <w:hideMark/>
          </w:tcPr>
          <w:p w14:paraId="464C8C9C" w14:textId="77777777" w:rsidR="009A2A34" w:rsidRPr="00E6770A" w:rsidRDefault="009A2A34" w:rsidP="00CC1F9E">
            <w:pPr>
              <w:jc w:val="center"/>
              <w:rPr>
                <w:rFonts w:cs="Calibri"/>
                <w:color w:val="000000"/>
                <w:sz w:val="16"/>
                <w:szCs w:val="16"/>
              </w:rPr>
            </w:pPr>
            <w:r w:rsidRPr="00E6770A">
              <w:rPr>
                <w:rFonts w:cs="Calibri"/>
                <w:color w:val="000000"/>
                <w:sz w:val="16"/>
                <w:szCs w:val="16"/>
              </w:rPr>
              <w:t>-</w:t>
            </w:r>
            <w:r>
              <w:rPr>
                <w:rFonts w:cs="Calibri"/>
                <w:color w:val="000000"/>
                <w:sz w:val="16"/>
                <w:szCs w:val="16"/>
              </w:rPr>
              <w:t>3</w:t>
            </w:r>
            <w:r w:rsidRPr="00E6770A">
              <w:rPr>
                <w:rFonts w:cs="Calibri"/>
                <w:color w:val="000000"/>
                <w:sz w:val="16"/>
                <w:szCs w:val="16"/>
              </w:rPr>
              <w:t>,</w:t>
            </w:r>
            <w:r>
              <w:rPr>
                <w:rFonts w:cs="Calibri"/>
                <w:color w:val="000000"/>
                <w:sz w:val="16"/>
                <w:szCs w:val="16"/>
              </w:rPr>
              <w:t>8</w:t>
            </w:r>
          </w:p>
        </w:tc>
        <w:tc>
          <w:tcPr>
            <w:tcW w:w="1737" w:type="dxa"/>
            <w:tcBorders>
              <w:top w:val="nil"/>
              <w:left w:val="nil"/>
              <w:bottom w:val="nil"/>
              <w:right w:val="nil"/>
            </w:tcBorders>
            <w:shd w:val="clear" w:color="auto" w:fill="auto"/>
            <w:vAlign w:val="center"/>
            <w:hideMark/>
          </w:tcPr>
          <w:p w14:paraId="01BB0B6D" w14:textId="77777777" w:rsidR="009A2A34" w:rsidRPr="00E6770A" w:rsidRDefault="009A2A34" w:rsidP="00CC1F9E">
            <w:pPr>
              <w:jc w:val="center"/>
              <w:rPr>
                <w:rFonts w:cs="Calibri"/>
                <w:color w:val="000000"/>
                <w:sz w:val="16"/>
                <w:szCs w:val="16"/>
              </w:rPr>
            </w:pPr>
            <w:r w:rsidRPr="00E6770A">
              <w:rPr>
                <w:rFonts w:cs="Calibri"/>
                <w:color w:val="000000"/>
                <w:sz w:val="16"/>
                <w:szCs w:val="16"/>
              </w:rPr>
              <w:t>-3,9</w:t>
            </w:r>
          </w:p>
        </w:tc>
        <w:tc>
          <w:tcPr>
            <w:tcW w:w="2111" w:type="dxa"/>
            <w:tcBorders>
              <w:top w:val="nil"/>
              <w:left w:val="nil"/>
              <w:bottom w:val="nil"/>
              <w:right w:val="nil"/>
            </w:tcBorders>
            <w:shd w:val="clear" w:color="auto" w:fill="auto"/>
            <w:vAlign w:val="center"/>
            <w:hideMark/>
          </w:tcPr>
          <w:p w14:paraId="7FB20466"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4</w:t>
            </w:r>
          </w:p>
        </w:tc>
      </w:tr>
      <w:tr w:rsidR="009A2A34" w:rsidRPr="00E6770A" w14:paraId="07DA1105" w14:textId="77777777" w:rsidTr="00CC1F9E">
        <w:trPr>
          <w:trHeight w:val="200"/>
        </w:trPr>
        <w:tc>
          <w:tcPr>
            <w:tcW w:w="3890" w:type="dxa"/>
            <w:tcBorders>
              <w:top w:val="nil"/>
              <w:left w:val="nil"/>
              <w:bottom w:val="nil"/>
              <w:right w:val="nil"/>
            </w:tcBorders>
            <w:shd w:val="clear" w:color="auto" w:fill="auto"/>
            <w:vAlign w:val="center"/>
            <w:hideMark/>
          </w:tcPr>
          <w:p w14:paraId="5245BD27"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Výdavky na penzie</w:t>
            </w:r>
          </w:p>
        </w:tc>
        <w:tc>
          <w:tcPr>
            <w:tcW w:w="1372" w:type="dxa"/>
            <w:tcBorders>
              <w:top w:val="nil"/>
              <w:left w:val="nil"/>
              <w:bottom w:val="nil"/>
              <w:right w:val="nil"/>
            </w:tcBorders>
            <w:shd w:val="clear" w:color="auto" w:fill="auto"/>
            <w:vAlign w:val="center"/>
            <w:hideMark/>
          </w:tcPr>
          <w:p w14:paraId="58765A68" w14:textId="77777777" w:rsidR="009A2A34" w:rsidRPr="00E6770A" w:rsidRDefault="009A2A34" w:rsidP="00CC1F9E">
            <w:pPr>
              <w:jc w:val="center"/>
              <w:rPr>
                <w:rFonts w:cs="Calibri"/>
                <w:color w:val="000000"/>
                <w:sz w:val="16"/>
                <w:szCs w:val="16"/>
              </w:rPr>
            </w:pPr>
            <w:r>
              <w:rPr>
                <w:rFonts w:cs="Calibri"/>
                <w:color w:val="000000"/>
                <w:sz w:val="16"/>
                <w:szCs w:val="16"/>
              </w:rPr>
              <w:t>1,8</w:t>
            </w:r>
          </w:p>
        </w:tc>
        <w:tc>
          <w:tcPr>
            <w:tcW w:w="1737" w:type="dxa"/>
            <w:tcBorders>
              <w:top w:val="nil"/>
              <w:left w:val="nil"/>
              <w:bottom w:val="nil"/>
              <w:right w:val="nil"/>
            </w:tcBorders>
            <w:shd w:val="clear" w:color="auto" w:fill="auto"/>
            <w:vAlign w:val="center"/>
            <w:hideMark/>
          </w:tcPr>
          <w:p w14:paraId="4F772E6F"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2</w:t>
            </w:r>
          </w:p>
        </w:tc>
        <w:tc>
          <w:tcPr>
            <w:tcW w:w="2111" w:type="dxa"/>
            <w:tcBorders>
              <w:top w:val="nil"/>
              <w:left w:val="nil"/>
              <w:bottom w:val="nil"/>
              <w:right w:val="nil"/>
            </w:tcBorders>
            <w:shd w:val="clear" w:color="auto" w:fill="auto"/>
            <w:vAlign w:val="center"/>
            <w:hideMark/>
          </w:tcPr>
          <w:p w14:paraId="2A3D2C52"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2</w:t>
            </w:r>
          </w:p>
        </w:tc>
      </w:tr>
      <w:tr w:rsidR="009A2A34" w:rsidRPr="00E6770A" w14:paraId="0C0E824E" w14:textId="77777777" w:rsidTr="00CC1F9E">
        <w:trPr>
          <w:trHeight w:val="114"/>
        </w:trPr>
        <w:tc>
          <w:tcPr>
            <w:tcW w:w="3890" w:type="dxa"/>
            <w:tcBorders>
              <w:top w:val="nil"/>
              <w:left w:val="nil"/>
              <w:bottom w:val="nil"/>
              <w:right w:val="nil"/>
            </w:tcBorders>
            <w:shd w:val="clear" w:color="auto" w:fill="auto"/>
            <w:vAlign w:val="center"/>
            <w:hideMark/>
          </w:tcPr>
          <w:p w14:paraId="53CBAE61"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Zdravotná starostlivosť</w:t>
            </w:r>
          </w:p>
        </w:tc>
        <w:tc>
          <w:tcPr>
            <w:tcW w:w="1372" w:type="dxa"/>
            <w:tcBorders>
              <w:top w:val="nil"/>
              <w:left w:val="nil"/>
              <w:bottom w:val="nil"/>
              <w:right w:val="nil"/>
            </w:tcBorders>
            <w:shd w:val="clear" w:color="auto" w:fill="auto"/>
            <w:vAlign w:val="center"/>
            <w:hideMark/>
          </w:tcPr>
          <w:p w14:paraId="47ED969B" w14:textId="77777777" w:rsidR="009A2A34" w:rsidRPr="00E6770A" w:rsidRDefault="009A2A34" w:rsidP="00CC1F9E">
            <w:pPr>
              <w:jc w:val="center"/>
              <w:rPr>
                <w:rFonts w:cs="Calibri"/>
                <w:color w:val="000000"/>
                <w:sz w:val="16"/>
                <w:szCs w:val="16"/>
              </w:rPr>
            </w:pPr>
            <w:r w:rsidRPr="00E6770A">
              <w:rPr>
                <w:rFonts w:cs="Calibri"/>
                <w:color w:val="000000"/>
                <w:sz w:val="16"/>
                <w:szCs w:val="16"/>
              </w:rPr>
              <w:t>1,2</w:t>
            </w:r>
          </w:p>
        </w:tc>
        <w:tc>
          <w:tcPr>
            <w:tcW w:w="1737" w:type="dxa"/>
            <w:tcBorders>
              <w:top w:val="nil"/>
              <w:left w:val="nil"/>
              <w:bottom w:val="nil"/>
              <w:right w:val="nil"/>
            </w:tcBorders>
            <w:shd w:val="clear" w:color="auto" w:fill="auto"/>
            <w:vAlign w:val="center"/>
            <w:hideMark/>
          </w:tcPr>
          <w:p w14:paraId="00B78A36" w14:textId="77777777" w:rsidR="009A2A34" w:rsidRPr="00E6770A" w:rsidRDefault="009A2A34" w:rsidP="00CC1F9E">
            <w:pPr>
              <w:jc w:val="center"/>
              <w:rPr>
                <w:rFonts w:cs="Calibri"/>
                <w:color w:val="000000"/>
                <w:sz w:val="16"/>
                <w:szCs w:val="16"/>
              </w:rPr>
            </w:pPr>
            <w:r w:rsidRPr="00E6770A">
              <w:rPr>
                <w:rFonts w:cs="Calibri"/>
                <w:color w:val="000000"/>
                <w:sz w:val="16"/>
                <w:szCs w:val="16"/>
              </w:rPr>
              <w:t>1,1</w:t>
            </w:r>
          </w:p>
        </w:tc>
        <w:tc>
          <w:tcPr>
            <w:tcW w:w="2111" w:type="dxa"/>
            <w:tcBorders>
              <w:top w:val="nil"/>
              <w:left w:val="nil"/>
              <w:bottom w:val="nil"/>
              <w:right w:val="nil"/>
            </w:tcBorders>
            <w:shd w:val="clear" w:color="auto" w:fill="auto"/>
            <w:vAlign w:val="center"/>
            <w:hideMark/>
          </w:tcPr>
          <w:p w14:paraId="1C3DDB30" w14:textId="77777777" w:rsidR="009A2A34" w:rsidRPr="00E6770A" w:rsidRDefault="009A2A34" w:rsidP="00CC1F9E">
            <w:pPr>
              <w:jc w:val="center"/>
              <w:rPr>
                <w:rFonts w:cs="Calibri"/>
                <w:color w:val="000000"/>
                <w:sz w:val="16"/>
                <w:szCs w:val="16"/>
              </w:rPr>
            </w:pPr>
            <w:r w:rsidRPr="00E6770A">
              <w:rPr>
                <w:rFonts w:cs="Calibri"/>
                <w:color w:val="000000"/>
                <w:sz w:val="16"/>
                <w:szCs w:val="16"/>
              </w:rPr>
              <w:t>1,1</w:t>
            </w:r>
          </w:p>
        </w:tc>
      </w:tr>
      <w:tr w:rsidR="009A2A34" w:rsidRPr="00E6770A" w14:paraId="1D0AFE08" w14:textId="77777777" w:rsidTr="00CC1F9E">
        <w:trPr>
          <w:trHeight w:val="200"/>
        </w:trPr>
        <w:tc>
          <w:tcPr>
            <w:tcW w:w="3890" w:type="dxa"/>
            <w:tcBorders>
              <w:top w:val="nil"/>
              <w:left w:val="nil"/>
              <w:bottom w:val="nil"/>
              <w:right w:val="nil"/>
            </w:tcBorders>
            <w:shd w:val="clear" w:color="auto" w:fill="auto"/>
            <w:vAlign w:val="center"/>
            <w:hideMark/>
          </w:tcPr>
          <w:p w14:paraId="23A99C5A"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Dlhodobá starostlivosť</w:t>
            </w:r>
          </w:p>
        </w:tc>
        <w:tc>
          <w:tcPr>
            <w:tcW w:w="1372" w:type="dxa"/>
            <w:tcBorders>
              <w:top w:val="nil"/>
              <w:left w:val="nil"/>
              <w:bottom w:val="nil"/>
              <w:right w:val="nil"/>
            </w:tcBorders>
            <w:shd w:val="clear" w:color="auto" w:fill="auto"/>
            <w:vAlign w:val="center"/>
            <w:hideMark/>
          </w:tcPr>
          <w:p w14:paraId="3CDFF8C2" w14:textId="77777777" w:rsidR="009A2A34" w:rsidRPr="00E6770A" w:rsidRDefault="009A2A34" w:rsidP="00CC1F9E">
            <w:pPr>
              <w:jc w:val="center"/>
              <w:rPr>
                <w:rFonts w:cs="Calibri"/>
                <w:color w:val="000000"/>
                <w:sz w:val="16"/>
                <w:szCs w:val="16"/>
              </w:rPr>
            </w:pPr>
            <w:r w:rsidRPr="00E6770A">
              <w:rPr>
                <w:rFonts w:cs="Calibri"/>
                <w:color w:val="000000"/>
                <w:sz w:val="16"/>
                <w:szCs w:val="16"/>
              </w:rPr>
              <w:t>1,</w:t>
            </w:r>
            <w:r>
              <w:rPr>
                <w:rFonts w:cs="Calibri"/>
                <w:color w:val="000000"/>
                <w:sz w:val="16"/>
                <w:szCs w:val="16"/>
              </w:rPr>
              <w:t>1</w:t>
            </w:r>
          </w:p>
        </w:tc>
        <w:tc>
          <w:tcPr>
            <w:tcW w:w="1737" w:type="dxa"/>
            <w:tcBorders>
              <w:top w:val="nil"/>
              <w:left w:val="nil"/>
              <w:bottom w:val="nil"/>
              <w:right w:val="nil"/>
            </w:tcBorders>
            <w:shd w:val="clear" w:color="auto" w:fill="auto"/>
            <w:vAlign w:val="center"/>
            <w:hideMark/>
          </w:tcPr>
          <w:p w14:paraId="7756F451" w14:textId="77777777" w:rsidR="009A2A34" w:rsidRPr="00E6770A" w:rsidRDefault="009A2A34" w:rsidP="00CC1F9E">
            <w:pPr>
              <w:jc w:val="center"/>
              <w:rPr>
                <w:rFonts w:cs="Calibri"/>
                <w:color w:val="000000"/>
                <w:sz w:val="16"/>
                <w:szCs w:val="16"/>
              </w:rPr>
            </w:pPr>
            <w:r w:rsidRPr="00E6770A">
              <w:rPr>
                <w:rFonts w:cs="Calibri"/>
                <w:color w:val="000000"/>
                <w:sz w:val="16"/>
                <w:szCs w:val="16"/>
              </w:rPr>
              <w:t>1,1</w:t>
            </w:r>
          </w:p>
        </w:tc>
        <w:tc>
          <w:tcPr>
            <w:tcW w:w="2111" w:type="dxa"/>
            <w:tcBorders>
              <w:top w:val="nil"/>
              <w:left w:val="nil"/>
              <w:bottom w:val="nil"/>
              <w:right w:val="nil"/>
            </w:tcBorders>
            <w:shd w:val="clear" w:color="auto" w:fill="auto"/>
            <w:vAlign w:val="center"/>
            <w:hideMark/>
          </w:tcPr>
          <w:p w14:paraId="5DE7B4AB" w14:textId="77777777" w:rsidR="009A2A34" w:rsidRPr="00E6770A" w:rsidRDefault="009A2A34" w:rsidP="00CC1F9E">
            <w:pPr>
              <w:jc w:val="center"/>
              <w:rPr>
                <w:rFonts w:cs="Calibri"/>
                <w:color w:val="000000"/>
                <w:sz w:val="16"/>
                <w:szCs w:val="16"/>
              </w:rPr>
            </w:pPr>
            <w:r w:rsidRPr="00E6770A">
              <w:rPr>
                <w:rFonts w:cs="Calibri"/>
                <w:color w:val="000000"/>
                <w:sz w:val="16"/>
                <w:szCs w:val="16"/>
              </w:rPr>
              <w:t>1,1</w:t>
            </w:r>
          </w:p>
        </w:tc>
      </w:tr>
      <w:tr w:rsidR="009A2A34" w:rsidRPr="00E6770A" w14:paraId="1997F5B5" w14:textId="77777777" w:rsidTr="00CC1F9E">
        <w:trPr>
          <w:trHeight w:val="200"/>
        </w:trPr>
        <w:tc>
          <w:tcPr>
            <w:tcW w:w="3890" w:type="dxa"/>
            <w:tcBorders>
              <w:top w:val="nil"/>
              <w:left w:val="nil"/>
              <w:bottom w:val="nil"/>
              <w:right w:val="nil"/>
            </w:tcBorders>
            <w:shd w:val="clear" w:color="auto" w:fill="auto"/>
            <w:vAlign w:val="center"/>
            <w:hideMark/>
          </w:tcPr>
          <w:p w14:paraId="49C040B0"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Výdavky na vzdelanie</w:t>
            </w:r>
          </w:p>
        </w:tc>
        <w:tc>
          <w:tcPr>
            <w:tcW w:w="1372" w:type="dxa"/>
            <w:tcBorders>
              <w:top w:val="nil"/>
              <w:left w:val="nil"/>
              <w:bottom w:val="nil"/>
              <w:right w:val="nil"/>
            </w:tcBorders>
            <w:shd w:val="clear" w:color="auto" w:fill="auto"/>
            <w:vAlign w:val="center"/>
            <w:hideMark/>
          </w:tcPr>
          <w:p w14:paraId="6F7E7A39" w14:textId="77777777" w:rsidR="009A2A34" w:rsidRPr="00E6770A" w:rsidRDefault="009A2A34" w:rsidP="00CC1F9E">
            <w:pPr>
              <w:jc w:val="center"/>
              <w:rPr>
                <w:rFonts w:cs="Calibri"/>
                <w:color w:val="000000"/>
                <w:sz w:val="16"/>
                <w:szCs w:val="16"/>
              </w:rPr>
            </w:pPr>
            <w:r w:rsidRPr="00E6770A">
              <w:rPr>
                <w:rFonts w:cs="Calibri"/>
                <w:color w:val="000000"/>
                <w:sz w:val="16"/>
                <w:szCs w:val="16"/>
              </w:rPr>
              <w:t>0,2</w:t>
            </w:r>
          </w:p>
        </w:tc>
        <w:tc>
          <w:tcPr>
            <w:tcW w:w="1737" w:type="dxa"/>
            <w:tcBorders>
              <w:top w:val="nil"/>
              <w:left w:val="nil"/>
              <w:bottom w:val="nil"/>
              <w:right w:val="nil"/>
            </w:tcBorders>
            <w:shd w:val="clear" w:color="auto" w:fill="auto"/>
            <w:vAlign w:val="center"/>
            <w:hideMark/>
          </w:tcPr>
          <w:p w14:paraId="6223D830" w14:textId="77777777" w:rsidR="009A2A34" w:rsidRPr="00E6770A" w:rsidRDefault="009A2A34" w:rsidP="00CC1F9E">
            <w:pPr>
              <w:jc w:val="center"/>
              <w:rPr>
                <w:rFonts w:cs="Calibri"/>
                <w:color w:val="000000"/>
                <w:sz w:val="16"/>
                <w:szCs w:val="16"/>
              </w:rPr>
            </w:pPr>
            <w:r w:rsidRPr="00E6770A">
              <w:rPr>
                <w:rFonts w:cs="Calibri"/>
                <w:color w:val="000000"/>
                <w:sz w:val="16"/>
                <w:szCs w:val="16"/>
              </w:rPr>
              <w:t>0,1</w:t>
            </w:r>
          </w:p>
        </w:tc>
        <w:tc>
          <w:tcPr>
            <w:tcW w:w="2111" w:type="dxa"/>
            <w:tcBorders>
              <w:top w:val="nil"/>
              <w:left w:val="nil"/>
              <w:bottom w:val="nil"/>
              <w:right w:val="nil"/>
            </w:tcBorders>
            <w:shd w:val="clear" w:color="auto" w:fill="auto"/>
            <w:vAlign w:val="center"/>
            <w:hideMark/>
          </w:tcPr>
          <w:p w14:paraId="14299078" w14:textId="77777777" w:rsidR="009A2A34" w:rsidRPr="00E6770A" w:rsidRDefault="009A2A34" w:rsidP="00CC1F9E">
            <w:pPr>
              <w:jc w:val="center"/>
              <w:rPr>
                <w:rFonts w:cs="Calibri"/>
                <w:color w:val="000000"/>
                <w:sz w:val="16"/>
                <w:szCs w:val="16"/>
              </w:rPr>
            </w:pPr>
            <w:r w:rsidRPr="00E6770A">
              <w:rPr>
                <w:rFonts w:cs="Calibri"/>
                <w:color w:val="000000"/>
                <w:sz w:val="16"/>
                <w:szCs w:val="16"/>
              </w:rPr>
              <w:t>0,1</w:t>
            </w:r>
          </w:p>
        </w:tc>
      </w:tr>
      <w:tr w:rsidR="009A2A34" w:rsidRPr="00E6770A" w14:paraId="44B4853C" w14:textId="77777777" w:rsidTr="00CC1F9E">
        <w:trPr>
          <w:trHeight w:val="209"/>
        </w:trPr>
        <w:tc>
          <w:tcPr>
            <w:tcW w:w="3890" w:type="dxa"/>
            <w:tcBorders>
              <w:top w:val="nil"/>
              <w:left w:val="nil"/>
              <w:bottom w:val="nil"/>
              <w:right w:val="nil"/>
            </w:tcBorders>
            <w:shd w:val="clear" w:color="auto" w:fill="auto"/>
            <w:vAlign w:val="center"/>
            <w:hideMark/>
          </w:tcPr>
          <w:p w14:paraId="75B9D760" w14:textId="77777777" w:rsidR="009A2A34" w:rsidRPr="00E6770A" w:rsidRDefault="009A2A34" w:rsidP="00CC1F9E">
            <w:pPr>
              <w:ind w:firstLineChars="100" w:firstLine="160"/>
              <w:rPr>
                <w:rFonts w:cs="Calibri"/>
                <w:color w:val="000000"/>
                <w:sz w:val="16"/>
                <w:szCs w:val="16"/>
              </w:rPr>
            </w:pPr>
            <w:r w:rsidRPr="00E6770A">
              <w:rPr>
                <w:rFonts w:cs="Calibri"/>
                <w:color w:val="000000"/>
                <w:sz w:val="16"/>
                <w:szCs w:val="16"/>
              </w:rPr>
              <w:t>Ostatné</w:t>
            </w:r>
          </w:p>
        </w:tc>
        <w:tc>
          <w:tcPr>
            <w:tcW w:w="1372" w:type="dxa"/>
            <w:tcBorders>
              <w:top w:val="nil"/>
              <w:left w:val="nil"/>
              <w:bottom w:val="nil"/>
              <w:right w:val="nil"/>
            </w:tcBorders>
            <w:shd w:val="clear" w:color="auto" w:fill="auto"/>
            <w:vAlign w:val="center"/>
            <w:hideMark/>
          </w:tcPr>
          <w:p w14:paraId="758867AC" w14:textId="77777777" w:rsidR="009A2A34" w:rsidRPr="00E6770A" w:rsidRDefault="009A2A34" w:rsidP="00CC1F9E">
            <w:pPr>
              <w:jc w:val="center"/>
              <w:rPr>
                <w:rFonts w:cs="Calibri"/>
                <w:color w:val="000000"/>
                <w:sz w:val="16"/>
                <w:szCs w:val="16"/>
              </w:rPr>
            </w:pPr>
            <w:r w:rsidRPr="00E6770A">
              <w:rPr>
                <w:rFonts w:cs="Calibri"/>
                <w:color w:val="000000"/>
                <w:sz w:val="16"/>
                <w:szCs w:val="16"/>
              </w:rPr>
              <w:t>0,5</w:t>
            </w:r>
          </w:p>
        </w:tc>
        <w:tc>
          <w:tcPr>
            <w:tcW w:w="1737" w:type="dxa"/>
            <w:tcBorders>
              <w:top w:val="nil"/>
              <w:left w:val="nil"/>
              <w:bottom w:val="nil"/>
              <w:right w:val="nil"/>
            </w:tcBorders>
            <w:shd w:val="clear" w:color="auto" w:fill="auto"/>
            <w:vAlign w:val="center"/>
            <w:hideMark/>
          </w:tcPr>
          <w:p w14:paraId="0CFE1D9C" w14:textId="77777777" w:rsidR="009A2A34" w:rsidRPr="00E6770A" w:rsidRDefault="009A2A34" w:rsidP="00CC1F9E">
            <w:pPr>
              <w:jc w:val="center"/>
              <w:rPr>
                <w:rFonts w:cs="Calibri"/>
                <w:color w:val="000000"/>
                <w:sz w:val="16"/>
                <w:szCs w:val="16"/>
              </w:rPr>
            </w:pPr>
            <w:r w:rsidRPr="00E6770A">
              <w:rPr>
                <w:rFonts w:cs="Calibri"/>
                <w:color w:val="000000"/>
                <w:sz w:val="16"/>
                <w:szCs w:val="16"/>
              </w:rPr>
              <w:t>0,5</w:t>
            </w:r>
          </w:p>
        </w:tc>
        <w:tc>
          <w:tcPr>
            <w:tcW w:w="2111" w:type="dxa"/>
            <w:tcBorders>
              <w:top w:val="nil"/>
              <w:left w:val="nil"/>
              <w:bottom w:val="nil"/>
              <w:right w:val="nil"/>
            </w:tcBorders>
            <w:shd w:val="clear" w:color="auto" w:fill="auto"/>
            <w:vAlign w:val="center"/>
            <w:hideMark/>
          </w:tcPr>
          <w:p w14:paraId="0BC2A159" w14:textId="77777777" w:rsidR="009A2A34" w:rsidRPr="00E6770A" w:rsidRDefault="009A2A34" w:rsidP="00CC1F9E">
            <w:pPr>
              <w:jc w:val="center"/>
              <w:rPr>
                <w:rFonts w:cs="Calibri"/>
                <w:color w:val="000000"/>
                <w:sz w:val="16"/>
                <w:szCs w:val="16"/>
              </w:rPr>
            </w:pPr>
            <w:r w:rsidRPr="00E6770A">
              <w:rPr>
                <w:rFonts w:cs="Calibri"/>
                <w:color w:val="000000"/>
                <w:sz w:val="16"/>
                <w:szCs w:val="16"/>
              </w:rPr>
              <w:t>0,5</w:t>
            </w:r>
          </w:p>
        </w:tc>
      </w:tr>
      <w:tr w:rsidR="009A2A34" w:rsidRPr="00E6770A" w14:paraId="42600163" w14:textId="77777777" w:rsidTr="00CC1F9E">
        <w:trPr>
          <w:trHeight w:val="361"/>
        </w:trPr>
        <w:tc>
          <w:tcPr>
            <w:tcW w:w="9110" w:type="dxa"/>
            <w:gridSpan w:val="4"/>
            <w:tcBorders>
              <w:top w:val="single" w:sz="8" w:space="0" w:color="auto"/>
              <w:left w:val="nil"/>
              <w:bottom w:val="nil"/>
              <w:right w:val="nil"/>
            </w:tcBorders>
            <w:shd w:val="clear" w:color="auto" w:fill="auto"/>
            <w:hideMark/>
          </w:tcPr>
          <w:p w14:paraId="5C682796" w14:textId="77777777" w:rsidR="009A2A34" w:rsidRDefault="009A2A34" w:rsidP="00CC1F9E">
            <w:pPr>
              <w:jc w:val="both"/>
              <w:rPr>
                <w:rFonts w:cs="Calibri"/>
                <w:i/>
                <w:iCs/>
                <w:color w:val="000000"/>
                <w:sz w:val="16"/>
                <w:szCs w:val="16"/>
              </w:rPr>
            </w:pPr>
            <w:r w:rsidRPr="00E6770A">
              <w:rPr>
                <w:rFonts w:cs="Calibri"/>
                <w:i/>
                <w:iCs/>
                <w:color w:val="000000"/>
                <w:sz w:val="16"/>
                <w:szCs w:val="16"/>
              </w:rPr>
              <w:t>* Počiatočná rozpočtová pozíc</w:t>
            </w:r>
            <w:r>
              <w:rPr>
                <w:rFonts w:cs="Calibri"/>
                <w:i/>
                <w:iCs/>
                <w:color w:val="000000"/>
                <w:sz w:val="16"/>
                <w:szCs w:val="16"/>
              </w:rPr>
              <w:t>i</w:t>
            </w:r>
            <w:r w:rsidRPr="00E6770A">
              <w:rPr>
                <w:rFonts w:cs="Calibri"/>
                <w:i/>
                <w:iCs/>
                <w:color w:val="000000"/>
                <w:sz w:val="16"/>
                <w:szCs w:val="16"/>
              </w:rPr>
              <w:t>a zahrňuje príspevok primárneho štrukturálneho salda, príspevok snowball efektu k dlhu a príspevok dlhodobej prognózy príjmov z majetku.</w:t>
            </w:r>
          </w:p>
          <w:p w14:paraId="22C388B3" w14:textId="77777777" w:rsidR="009A2A34" w:rsidRPr="00E6770A" w:rsidRDefault="009A2A34" w:rsidP="00CC1F9E">
            <w:pPr>
              <w:jc w:val="both"/>
              <w:rPr>
                <w:rFonts w:cs="Calibri"/>
                <w:i/>
                <w:iCs/>
                <w:color w:val="000000"/>
                <w:sz w:val="16"/>
                <w:szCs w:val="16"/>
              </w:rPr>
            </w:pPr>
            <w:r>
              <w:rPr>
                <w:rFonts w:cs="Calibri"/>
                <w:i/>
                <w:iCs/>
                <w:color w:val="000000"/>
                <w:sz w:val="16"/>
                <w:szCs w:val="16"/>
              </w:rPr>
              <w:t>** V prípade indikátora S1 obsahuje položka ostatné oproti indikátoru S2, v ktorom je iba vplyv výpadku príjmov z titulu II. piliera, navyše aj dlhovú požiadavku.</w:t>
            </w:r>
          </w:p>
        </w:tc>
      </w:tr>
      <w:tr w:rsidR="009A2A34" w:rsidRPr="00E6770A" w14:paraId="4ACB499B" w14:textId="77777777" w:rsidTr="00CC1F9E">
        <w:trPr>
          <w:trHeight w:val="392"/>
        </w:trPr>
        <w:tc>
          <w:tcPr>
            <w:tcW w:w="9110" w:type="dxa"/>
            <w:gridSpan w:val="4"/>
            <w:tcBorders>
              <w:top w:val="nil"/>
              <w:left w:val="nil"/>
              <w:bottom w:val="nil"/>
              <w:right w:val="nil"/>
            </w:tcBorders>
            <w:shd w:val="clear" w:color="auto" w:fill="auto"/>
            <w:hideMark/>
          </w:tcPr>
          <w:p w14:paraId="7821FBF1" w14:textId="77777777" w:rsidR="009A2A34" w:rsidRPr="00E6770A" w:rsidRDefault="009A2A34" w:rsidP="00CC1F9E">
            <w:pPr>
              <w:jc w:val="right"/>
              <w:rPr>
                <w:rFonts w:cs="Calibri"/>
                <w:i/>
                <w:iCs/>
                <w:color w:val="000000"/>
                <w:sz w:val="16"/>
                <w:szCs w:val="16"/>
              </w:rPr>
            </w:pPr>
            <w:r w:rsidRPr="00E6770A">
              <w:rPr>
                <w:rFonts w:cs="Calibri"/>
                <w:i/>
                <w:iCs/>
                <w:color w:val="000000"/>
                <w:sz w:val="16"/>
                <w:szCs w:val="16"/>
              </w:rPr>
              <w:t>Zdroj: MF SR</w:t>
            </w:r>
          </w:p>
        </w:tc>
      </w:tr>
    </w:tbl>
    <w:p w14:paraId="73D39F4A" w14:textId="77777777" w:rsidR="009A2A34" w:rsidRDefault="009A2A34" w:rsidP="009A2A34">
      <w:pPr>
        <w:widowControl w:val="0"/>
        <w:spacing w:before="120" w:after="120"/>
        <w:jc w:val="both"/>
        <w:rPr>
          <w:rFonts w:cs="Arial Narrow"/>
          <w:b/>
          <w:color w:val="2C9ADC"/>
          <w:szCs w:val="20"/>
        </w:rPr>
      </w:pPr>
      <w:r w:rsidRPr="00CC1F9E">
        <w:rPr>
          <w:rFonts w:cs="Arial Narrow"/>
          <w:b/>
          <w:color w:val="2C9ADC"/>
          <w:szCs w:val="20"/>
        </w:rPr>
        <w:t>Prijaté zmeny v politikách citlivých na starnutie</w:t>
      </w:r>
    </w:p>
    <w:p w14:paraId="1892CDE0" w14:textId="52E3276E" w:rsidR="009A2A34" w:rsidRPr="00962D29" w:rsidRDefault="00A823DD" w:rsidP="009A2A34">
      <w:pPr>
        <w:widowControl w:val="0"/>
        <w:spacing w:after="120"/>
        <w:jc w:val="both"/>
        <w:rPr>
          <w:b/>
        </w:rPr>
      </w:pPr>
      <w:r>
        <w:rPr>
          <w:b/>
        </w:rPr>
        <w:t>Schválený p</w:t>
      </w:r>
      <w:r w:rsidR="009A2A34">
        <w:rPr>
          <w:b/>
        </w:rPr>
        <w:t>ozmeňujúci návrh</w:t>
      </w:r>
      <w:r w:rsidR="009A2A34">
        <w:rPr>
          <w:rStyle w:val="Odkaznapoznmkupodiarou"/>
          <w:b/>
        </w:rPr>
        <w:footnoteReference w:id="38"/>
      </w:r>
      <w:r w:rsidR="009A2A34">
        <w:rPr>
          <w:b/>
        </w:rPr>
        <w:t xml:space="preserve"> k novele zákona o sociálnom poistení</w:t>
      </w:r>
      <w:r w:rsidR="009A2A34">
        <w:rPr>
          <w:rStyle w:val="Odkaznapoznmkupodiarou"/>
          <w:b/>
        </w:rPr>
        <w:footnoteReference w:id="39"/>
      </w:r>
      <w:r w:rsidR="009A2A34">
        <w:rPr>
          <w:b/>
        </w:rPr>
        <w:t xml:space="preserve"> vo veľkej miere kompenzuje negatívny vplyv uvoľnenia podmienok pre predčasný dôchodok. </w:t>
      </w:r>
      <w:r w:rsidR="009A2A34">
        <w:rPr>
          <w:bCs/>
        </w:rPr>
        <w:t>Od roku 2023 boli uvoľnené podmienky odchodu do predčasného dôchodku zavedením možnosti odchodu do dôchodku po odpracovaní 40 rokov (bez ohľadu na vek). Zároveň sa znížilo krátenie priznanej dávky za predčasný odchod z 0,5 % za každý začatý mesiac pred dovŕšením dôchodkového veku na 0,3 %. To výrazne prispelo k nárast záujmu</w:t>
      </w:r>
      <w:r w:rsidR="009A2A34">
        <w:rPr>
          <w:rStyle w:val="Odkaznapoznmkupodiarou"/>
          <w:bCs/>
        </w:rPr>
        <w:footnoteReference w:id="40"/>
      </w:r>
      <w:r w:rsidR="009A2A34">
        <w:rPr>
          <w:bCs/>
        </w:rPr>
        <w:t xml:space="preserve"> o predčasný dôchodok v roku 2023, kedy počet žiadostí o predčasný dôchodok dosiahol 47</w:t>
      </w:r>
      <w:r w:rsidR="00854C41">
        <w:rPr>
          <w:bCs/>
        </w:rPr>
        <w:t>-</w:t>
      </w:r>
      <w:r w:rsidR="009A2A34">
        <w:rPr>
          <w:bCs/>
        </w:rPr>
        <w:t>tisíc (</w:t>
      </w:r>
      <w:r w:rsidR="00854C41">
        <w:rPr>
          <w:rFonts w:cs="ArialNarrow,Bold"/>
          <w:b/>
          <w:bCs/>
          <w:color w:val="2C9BDD"/>
        </w:rPr>
        <w:t>GRAF 17</w:t>
      </w:r>
      <w:r w:rsidR="009A2A34">
        <w:rPr>
          <w:bCs/>
        </w:rPr>
        <w:t>), čo je viac ako za 3 predchádzajúce roky spolu.</w:t>
      </w:r>
    </w:p>
    <w:p w14:paraId="52F0C4BE" w14:textId="21CD6EB1" w:rsidR="009A2A34" w:rsidRPr="00CC1F9E" w:rsidRDefault="009A2A34" w:rsidP="009A2A34">
      <w:pPr>
        <w:widowControl w:val="0"/>
        <w:spacing w:after="120"/>
        <w:jc w:val="both"/>
        <w:rPr>
          <w:bCs/>
        </w:rPr>
      </w:pPr>
      <w:r>
        <w:rPr>
          <w:bCs/>
        </w:rPr>
        <w:t xml:space="preserve">Pozmeňujúci návrh mení definíciu hranice odpracovaných rokov zo 40 rokov na rozdiel všeobecného dôchodkového veku a čísla 23. Pre poistencov, ktorí dovŕšili dôchodkový vek 63 rokov v roku 2023 (ročník 1960), zostala hranica na úrovni 40 rokov. Pre každý ďalší ročník hranica odpracovaných rokov rastie spolu s rastom dôchodkového veku, čím sa zabezpečí nepredlžovanie doby poberania predčasného dôchodku. Návrh ďalej zjednocuje mieru krátenia za skorší odchod na úroveň 0,5 %. Prijatie návrhu na sprísnenie podmienok predčasného dôchodku vedie k zlepšeniu udržateľnosti o 0,3 </w:t>
      </w:r>
      <w:r w:rsidRPr="00664E8C">
        <w:rPr>
          <w:bCs/>
        </w:rPr>
        <w:t>% z </w:t>
      </w:r>
      <w:r>
        <w:rPr>
          <w:bCs/>
        </w:rPr>
        <w:t xml:space="preserve">pohľadu indikátora S2 a 0,2 </w:t>
      </w:r>
      <w:r w:rsidRPr="00664E8C">
        <w:rPr>
          <w:bCs/>
        </w:rPr>
        <w:t>% z </w:t>
      </w:r>
      <w:r>
        <w:rPr>
          <w:bCs/>
        </w:rPr>
        <w:t>pohľadu indikátora S1 (</w:t>
      </w:r>
      <w:r w:rsidR="00854C41">
        <w:rPr>
          <w:rFonts w:cs="ArialNarrow,Bold"/>
          <w:b/>
          <w:bCs/>
          <w:color w:val="2C9BDD"/>
        </w:rPr>
        <w:t>GRAF 18</w:t>
      </w:r>
      <w:r>
        <w:rPr>
          <w:bCs/>
        </w:rPr>
        <w:t>).</w:t>
      </w:r>
    </w:p>
    <w:tbl>
      <w:tblPr>
        <w:tblW w:w="8845"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1E0" w:firstRow="1" w:lastRow="1" w:firstColumn="1" w:lastColumn="1" w:noHBand="0" w:noVBand="0"/>
      </w:tblPr>
      <w:tblGrid>
        <w:gridCol w:w="4280"/>
        <w:gridCol w:w="285"/>
        <w:gridCol w:w="4280"/>
      </w:tblGrid>
      <w:tr w:rsidR="009A2A34" w:rsidRPr="008B50B9" w14:paraId="2D52497E" w14:textId="77777777" w:rsidTr="00CC1F9E">
        <w:trPr>
          <w:trHeight w:val="167"/>
          <w:jc w:val="center"/>
        </w:trPr>
        <w:tc>
          <w:tcPr>
            <w:tcW w:w="4280" w:type="dxa"/>
            <w:tcBorders>
              <w:top w:val="nil"/>
              <w:left w:val="nil"/>
              <w:bottom w:val="single" w:sz="4" w:space="0" w:color="auto"/>
              <w:right w:val="nil"/>
            </w:tcBorders>
            <w:shd w:val="clear" w:color="auto" w:fill="auto"/>
            <w:vAlign w:val="center"/>
          </w:tcPr>
          <w:p w14:paraId="79B899F7" w14:textId="722080A0" w:rsidR="009A2A34" w:rsidRPr="00664E8C" w:rsidRDefault="009A2A34" w:rsidP="00664E8C">
            <w:pPr>
              <w:pStyle w:val="Popis"/>
              <w:widowControl w:val="0"/>
              <w:spacing w:before="120" w:after="0"/>
              <w:jc w:val="both"/>
              <w:rPr>
                <w:rFonts w:cs="BookAntiqua"/>
                <w:sz w:val="20"/>
                <w:szCs w:val="20"/>
              </w:rPr>
            </w:pPr>
            <w:bookmarkStart w:id="158" w:name="_Toc164684582"/>
            <w:r w:rsidRPr="008B50B9">
              <w:rPr>
                <w:rFonts w:cs="Arial"/>
                <w:color w:val="2C9ADC"/>
                <w:sz w:val="20"/>
                <w:szCs w:val="20"/>
              </w:rPr>
              <w:t xml:space="preserve">GRAF </w:t>
            </w:r>
            <w:r w:rsidRPr="008B50B9">
              <w:rPr>
                <w:color w:val="2C9ADC"/>
                <w:sz w:val="20"/>
                <w:szCs w:val="20"/>
              </w:rPr>
              <w:fldChar w:fldCharType="begin"/>
            </w:r>
            <w:r w:rsidRPr="008B50B9">
              <w:rPr>
                <w:color w:val="2C9ADC"/>
                <w:sz w:val="20"/>
                <w:szCs w:val="20"/>
              </w:rPr>
              <w:instrText xml:space="preserve"> SEQ GRAF \* ARABIC </w:instrText>
            </w:r>
            <w:r w:rsidRPr="008B50B9">
              <w:rPr>
                <w:color w:val="2C9ADC"/>
                <w:sz w:val="20"/>
                <w:szCs w:val="20"/>
              </w:rPr>
              <w:fldChar w:fldCharType="separate"/>
            </w:r>
            <w:r w:rsidR="007435E9">
              <w:rPr>
                <w:noProof/>
                <w:color w:val="2C9ADC"/>
                <w:sz w:val="20"/>
                <w:szCs w:val="20"/>
              </w:rPr>
              <w:t>17</w:t>
            </w:r>
            <w:r w:rsidRPr="008B50B9">
              <w:rPr>
                <w:color w:val="2C9ADC"/>
                <w:sz w:val="20"/>
                <w:szCs w:val="20"/>
              </w:rPr>
              <w:fldChar w:fldCharType="end"/>
            </w:r>
            <w:r w:rsidRPr="008B50B9">
              <w:rPr>
                <w:rFonts w:cs="Arial"/>
                <w:color w:val="2C9ADC"/>
                <w:sz w:val="20"/>
                <w:szCs w:val="20"/>
              </w:rPr>
              <w:t xml:space="preserve"> –</w:t>
            </w:r>
            <w:r w:rsidRPr="008B50B9">
              <w:rPr>
                <w:rFonts w:cs="Arial"/>
                <w:bCs w:val="0"/>
                <w:color w:val="2C9ADC"/>
                <w:sz w:val="20"/>
                <w:szCs w:val="20"/>
              </w:rPr>
              <w:t xml:space="preserve"> </w:t>
            </w:r>
            <w:r>
              <w:rPr>
                <w:rFonts w:cs="Arial"/>
                <w:bCs w:val="0"/>
                <w:color w:val="2C9ADC"/>
                <w:sz w:val="20"/>
                <w:szCs w:val="20"/>
              </w:rPr>
              <w:t>Počet žiadostí a novopriznaných predčasných dôchodkov</w:t>
            </w:r>
            <w:r w:rsidRPr="008B50B9">
              <w:rPr>
                <w:rFonts w:cs="Arial"/>
                <w:bCs w:val="0"/>
                <w:color w:val="2C9ADC"/>
                <w:sz w:val="20"/>
                <w:szCs w:val="20"/>
              </w:rPr>
              <w:t xml:space="preserve"> (</w:t>
            </w:r>
            <w:r>
              <w:rPr>
                <w:rFonts w:cs="Arial"/>
                <w:bCs w:val="0"/>
                <w:color w:val="2C9ADC"/>
                <w:sz w:val="20"/>
                <w:szCs w:val="20"/>
              </w:rPr>
              <w:t>mesačne</w:t>
            </w:r>
            <w:r w:rsidRPr="008B50B9">
              <w:rPr>
                <w:rFonts w:cs="Arial"/>
                <w:bCs w:val="0"/>
                <w:color w:val="2C9ADC"/>
                <w:sz w:val="20"/>
                <w:szCs w:val="20"/>
              </w:rPr>
              <w:t>)</w:t>
            </w:r>
            <w:bookmarkEnd w:id="158"/>
          </w:p>
        </w:tc>
        <w:tc>
          <w:tcPr>
            <w:tcW w:w="285" w:type="dxa"/>
            <w:tcBorders>
              <w:top w:val="nil"/>
              <w:left w:val="nil"/>
              <w:bottom w:val="nil"/>
              <w:right w:val="nil"/>
            </w:tcBorders>
            <w:shd w:val="clear" w:color="auto" w:fill="auto"/>
          </w:tcPr>
          <w:p w14:paraId="39F79CFB" w14:textId="77777777" w:rsidR="009A2A34" w:rsidRPr="008B50B9" w:rsidRDefault="009A2A34" w:rsidP="00CC1F9E">
            <w:pPr>
              <w:widowControl w:val="0"/>
              <w:spacing w:before="60"/>
              <w:rPr>
                <w:rFonts w:cs="Arial"/>
                <w:b/>
                <w:color w:val="2C9ADC"/>
                <w:sz w:val="20"/>
                <w:szCs w:val="20"/>
              </w:rPr>
            </w:pPr>
          </w:p>
        </w:tc>
        <w:tc>
          <w:tcPr>
            <w:tcW w:w="4280" w:type="dxa"/>
            <w:tcBorders>
              <w:top w:val="nil"/>
              <w:left w:val="nil"/>
              <w:bottom w:val="single" w:sz="4" w:space="0" w:color="auto"/>
              <w:right w:val="nil"/>
            </w:tcBorders>
            <w:shd w:val="clear" w:color="auto" w:fill="auto"/>
            <w:vAlign w:val="center"/>
          </w:tcPr>
          <w:p w14:paraId="6B4E1396" w14:textId="3EA32029" w:rsidR="009A2A34" w:rsidRPr="008B50B9" w:rsidRDefault="009A2A34" w:rsidP="00664E8C">
            <w:pPr>
              <w:pStyle w:val="Popis"/>
              <w:widowControl w:val="0"/>
              <w:spacing w:before="120" w:after="0"/>
              <w:jc w:val="both"/>
              <w:rPr>
                <w:rFonts w:cs="Arial"/>
                <w:bCs w:val="0"/>
                <w:sz w:val="20"/>
                <w:szCs w:val="20"/>
              </w:rPr>
            </w:pPr>
            <w:bookmarkStart w:id="159" w:name="_Toc164684583"/>
            <w:r w:rsidRPr="00E32114">
              <w:rPr>
                <w:rFonts w:cs="Arial"/>
                <w:color w:val="2C9ADC"/>
                <w:sz w:val="20"/>
                <w:szCs w:val="20"/>
              </w:rPr>
              <w:t xml:space="preserve">GRAF </w:t>
            </w:r>
            <w:r w:rsidR="009F6FB1" w:rsidRPr="00664E8C">
              <w:rPr>
                <w:color w:val="2C9ADC"/>
                <w:sz w:val="20"/>
                <w:szCs w:val="20"/>
              </w:rPr>
              <w:fldChar w:fldCharType="begin"/>
            </w:r>
            <w:r w:rsidR="009F6FB1" w:rsidRPr="00664E8C">
              <w:rPr>
                <w:color w:val="2C9ADC"/>
                <w:sz w:val="20"/>
                <w:szCs w:val="20"/>
              </w:rPr>
              <w:instrText xml:space="preserve"> SEQ GRAF \* ARABIC </w:instrText>
            </w:r>
            <w:r w:rsidR="009F6FB1" w:rsidRPr="00664E8C">
              <w:rPr>
                <w:color w:val="2C9ADC"/>
                <w:sz w:val="20"/>
                <w:szCs w:val="20"/>
              </w:rPr>
              <w:fldChar w:fldCharType="separate"/>
            </w:r>
            <w:r w:rsidR="007435E9">
              <w:rPr>
                <w:noProof/>
                <w:color w:val="2C9ADC"/>
                <w:sz w:val="20"/>
                <w:szCs w:val="20"/>
              </w:rPr>
              <w:t>18</w:t>
            </w:r>
            <w:r w:rsidR="009F6FB1" w:rsidRPr="00664E8C">
              <w:rPr>
                <w:color w:val="2C9ADC"/>
                <w:sz w:val="20"/>
                <w:szCs w:val="20"/>
              </w:rPr>
              <w:fldChar w:fldCharType="end"/>
            </w:r>
            <w:r w:rsidRPr="00E32114">
              <w:rPr>
                <w:rFonts w:cs="Arial"/>
                <w:color w:val="2C9ADC"/>
                <w:sz w:val="20"/>
                <w:szCs w:val="20"/>
              </w:rPr>
              <w:t xml:space="preserve"> –</w:t>
            </w:r>
            <w:r w:rsidRPr="00E32114">
              <w:rPr>
                <w:rFonts w:cs="Arial"/>
                <w:bCs w:val="0"/>
                <w:color w:val="2C9ADC"/>
                <w:sz w:val="20"/>
                <w:szCs w:val="20"/>
              </w:rPr>
              <w:t xml:space="preserve"> Vplyv</w:t>
            </w:r>
            <w:r w:rsidRPr="008B50B9">
              <w:rPr>
                <w:rFonts w:cs="Arial"/>
                <w:bCs w:val="0"/>
                <w:color w:val="2C9ADC"/>
                <w:sz w:val="20"/>
                <w:szCs w:val="20"/>
              </w:rPr>
              <w:t xml:space="preserve"> </w:t>
            </w:r>
            <w:r>
              <w:rPr>
                <w:rFonts w:cs="Arial"/>
                <w:bCs w:val="0"/>
                <w:color w:val="2C9ADC"/>
                <w:sz w:val="20"/>
                <w:szCs w:val="20"/>
              </w:rPr>
              <w:t>sprísnenia podmienok pre PSD po 40 rokoch</w:t>
            </w:r>
            <w:r w:rsidRPr="008B50B9">
              <w:rPr>
                <w:rFonts w:cs="Arial"/>
                <w:bCs w:val="0"/>
                <w:color w:val="2C9ADC"/>
                <w:sz w:val="20"/>
                <w:szCs w:val="20"/>
              </w:rPr>
              <w:t xml:space="preserve"> </w:t>
            </w:r>
            <w:r>
              <w:rPr>
                <w:rFonts w:cs="Arial"/>
                <w:bCs w:val="0"/>
                <w:color w:val="2C9ADC"/>
                <w:sz w:val="20"/>
                <w:szCs w:val="20"/>
              </w:rPr>
              <w:t>na indikátory S1 a S2</w:t>
            </w:r>
            <w:r w:rsidRPr="008B50B9">
              <w:rPr>
                <w:rFonts w:cs="Arial"/>
                <w:bCs w:val="0"/>
                <w:color w:val="2C9ADC"/>
                <w:sz w:val="20"/>
                <w:szCs w:val="20"/>
              </w:rPr>
              <w:t xml:space="preserve"> (% HDP)</w:t>
            </w:r>
            <w:bookmarkEnd w:id="159"/>
          </w:p>
        </w:tc>
      </w:tr>
      <w:tr w:rsidR="009A2A34" w:rsidRPr="008B50B9" w14:paraId="2834F2E9" w14:textId="77777777" w:rsidTr="00CC1F9E">
        <w:trPr>
          <w:trHeight w:val="1597"/>
          <w:jc w:val="center"/>
        </w:trPr>
        <w:tc>
          <w:tcPr>
            <w:tcW w:w="4280" w:type="dxa"/>
            <w:tcBorders>
              <w:top w:val="single" w:sz="4" w:space="0" w:color="auto"/>
              <w:left w:val="nil"/>
              <w:bottom w:val="single" w:sz="4" w:space="0" w:color="auto"/>
              <w:right w:val="nil"/>
            </w:tcBorders>
          </w:tcPr>
          <w:p w14:paraId="48DA451C" w14:textId="77777777" w:rsidR="009A2A34" w:rsidRPr="008B50B9" w:rsidRDefault="009A2A34" w:rsidP="00CC1F9E">
            <w:pPr>
              <w:widowControl w:val="0"/>
              <w:spacing w:before="40" w:after="40"/>
              <w:jc w:val="center"/>
              <w:rPr>
                <w:b/>
                <w:sz w:val="16"/>
              </w:rPr>
            </w:pPr>
            <w:r>
              <w:rPr>
                <w:noProof/>
              </w:rPr>
              <w:drawing>
                <wp:inline distT="0" distB="0" distL="0" distR="0" wp14:anchorId="51CBC4EF" wp14:editId="36309FAF">
                  <wp:extent cx="2628900" cy="1692000"/>
                  <wp:effectExtent l="0" t="0" r="0" b="3810"/>
                  <wp:docPr id="69" name="Graf 69">
                    <a:extLst xmlns:a="http://schemas.openxmlformats.org/drawingml/2006/main">
                      <a:ext uri="{FF2B5EF4-FFF2-40B4-BE49-F238E27FC236}">
                        <a16:creationId xmlns:a16="http://schemas.microsoft.com/office/drawing/2014/main" id="{D6226735-2B84-4E2E-BF09-932FBB215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8B50B9" w:rsidDel="00D043AF">
              <w:rPr>
                <w:b/>
                <w:sz w:val="16"/>
              </w:rPr>
              <w:t xml:space="preserve"> </w:t>
            </w:r>
          </w:p>
        </w:tc>
        <w:tc>
          <w:tcPr>
            <w:tcW w:w="285" w:type="dxa"/>
            <w:tcBorders>
              <w:top w:val="nil"/>
              <w:left w:val="nil"/>
              <w:bottom w:val="nil"/>
              <w:right w:val="nil"/>
            </w:tcBorders>
          </w:tcPr>
          <w:p w14:paraId="789A10F2" w14:textId="77777777" w:rsidR="009A2A34" w:rsidRPr="008B50B9" w:rsidRDefault="009A2A34" w:rsidP="00CC1F9E">
            <w:pPr>
              <w:widowControl w:val="0"/>
              <w:spacing w:before="40" w:after="40"/>
              <w:rPr>
                <w:b/>
                <w:sz w:val="16"/>
              </w:rPr>
            </w:pPr>
          </w:p>
        </w:tc>
        <w:tc>
          <w:tcPr>
            <w:tcW w:w="4280" w:type="dxa"/>
            <w:tcBorders>
              <w:top w:val="single" w:sz="4" w:space="0" w:color="auto"/>
              <w:left w:val="nil"/>
              <w:bottom w:val="single" w:sz="4" w:space="0" w:color="auto"/>
              <w:right w:val="nil"/>
            </w:tcBorders>
          </w:tcPr>
          <w:p w14:paraId="49890295" w14:textId="77777777" w:rsidR="009A2A34" w:rsidRPr="008B50B9" w:rsidRDefault="009A2A34" w:rsidP="00CC1F9E">
            <w:pPr>
              <w:widowControl w:val="0"/>
              <w:spacing w:before="40" w:after="40"/>
              <w:jc w:val="center"/>
              <w:rPr>
                <w:b/>
                <w:sz w:val="16"/>
              </w:rPr>
            </w:pPr>
            <w:r>
              <w:rPr>
                <w:noProof/>
              </w:rPr>
              <w:drawing>
                <wp:inline distT="0" distB="0" distL="0" distR="0" wp14:anchorId="1AB26692" wp14:editId="71892A82">
                  <wp:extent cx="2628900" cy="1692000"/>
                  <wp:effectExtent l="0" t="0" r="0" b="0"/>
                  <wp:docPr id="70" name="Graf 70">
                    <a:extLst xmlns:a="http://schemas.openxmlformats.org/drawingml/2006/main">
                      <a:ext uri="{FF2B5EF4-FFF2-40B4-BE49-F238E27FC236}">
                        <a16:creationId xmlns:a16="http://schemas.microsoft.com/office/drawing/2014/main" id="{7570C906-0ADF-95E9-8E89-B51D84C1E4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9A2A34" w:rsidRPr="00246BA8" w14:paraId="3F954C0A" w14:textId="77777777" w:rsidTr="00CC1F9E">
        <w:trPr>
          <w:trHeight w:val="297"/>
          <w:jc w:val="center"/>
        </w:trPr>
        <w:tc>
          <w:tcPr>
            <w:tcW w:w="4280" w:type="dxa"/>
            <w:tcBorders>
              <w:top w:val="single" w:sz="4" w:space="0" w:color="auto"/>
              <w:left w:val="nil"/>
              <w:bottom w:val="nil"/>
              <w:right w:val="nil"/>
            </w:tcBorders>
            <w:shd w:val="clear" w:color="auto" w:fill="auto"/>
          </w:tcPr>
          <w:p w14:paraId="125793E3" w14:textId="77777777" w:rsidR="009A2A34" w:rsidRPr="008B50B9" w:rsidRDefault="009A2A34" w:rsidP="00CC1F9E">
            <w:pPr>
              <w:widowControl w:val="0"/>
              <w:spacing w:before="40" w:after="40"/>
              <w:jc w:val="right"/>
              <w:rPr>
                <w:i/>
                <w:sz w:val="16"/>
              </w:rPr>
            </w:pPr>
            <w:r w:rsidRPr="008B50B9">
              <w:rPr>
                <w:i/>
                <w:sz w:val="16"/>
              </w:rPr>
              <w:t>Zdroj: MF SR</w:t>
            </w:r>
          </w:p>
        </w:tc>
        <w:tc>
          <w:tcPr>
            <w:tcW w:w="285" w:type="dxa"/>
            <w:tcBorders>
              <w:top w:val="nil"/>
              <w:left w:val="nil"/>
              <w:bottom w:val="nil"/>
              <w:right w:val="nil"/>
            </w:tcBorders>
          </w:tcPr>
          <w:p w14:paraId="44D12AA1" w14:textId="77777777" w:rsidR="009A2A34" w:rsidRPr="008B50B9" w:rsidRDefault="009A2A34" w:rsidP="00CC1F9E">
            <w:pPr>
              <w:widowControl w:val="0"/>
              <w:spacing w:before="40" w:after="40"/>
              <w:jc w:val="right"/>
              <w:rPr>
                <w:i/>
                <w:sz w:val="16"/>
              </w:rPr>
            </w:pPr>
          </w:p>
        </w:tc>
        <w:tc>
          <w:tcPr>
            <w:tcW w:w="4280" w:type="dxa"/>
            <w:tcBorders>
              <w:top w:val="single" w:sz="4" w:space="0" w:color="auto"/>
              <w:left w:val="nil"/>
              <w:bottom w:val="nil"/>
              <w:right w:val="nil"/>
            </w:tcBorders>
          </w:tcPr>
          <w:p w14:paraId="275D410D" w14:textId="77777777" w:rsidR="009A2A34" w:rsidRPr="008B50B9" w:rsidRDefault="009A2A34" w:rsidP="00CC1F9E">
            <w:pPr>
              <w:widowControl w:val="0"/>
              <w:spacing w:before="40" w:after="40"/>
              <w:jc w:val="right"/>
              <w:rPr>
                <w:i/>
                <w:sz w:val="16"/>
              </w:rPr>
            </w:pPr>
            <w:r w:rsidRPr="008B50B9">
              <w:rPr>
                <w:i/>
                <w:sz w:val="16"/>
              </w:rPr>
              <w:t>Zdroj: MF SR</w:t>
            </w:r>
          </w:p>
        </w:tc>
      </w:tr>
    </w:tbl>
    <w:p w14:paraId="5D92FDF0" w14:textId="77777777" w:rsidR="009A2A34" w:rsidRPr="00CC1F9E" w:rsidRDefault="009A2A34" w:rsidP="009A2A34">
      <w:pPr>
        <w:widowControl w:val="0"/>
        <w:spacing w:before="120" w:after="120"/>
        <w:jc w:val="both"/>
        <w:rPr>
          <w:rFonts w:cs="Arial Narrow"/>
          <w:b/>
          <w:color w:val="2C9ADC"/>
          <w:szCs w:val="20"/>
        </w:rPr>
      </w:pPr>
    </w:p>
    <w:p w14:paraId="56CF13F1" w14:textId="77777777" w:rsidR="009A2A34" w:rsidRDefault="009A2A34">
      <w:r>
        <w:br w:type="page"/>
      </w:r>
    </w:p>
    <w:p w14:paraId="613CF40B" w14:textId="301EE73E" w:rsidR="009A2A34" w:rsidRPr="00312206" w:rsidRDefault="00174AC2" w:rsidP="00F8670D">
      <w:pPr>
        <w:pStyle w:val="Nadpis1"/>
        <w:numPr>
          <w:ilvl w:val="0"/>
          <w:numId w:val="29"/>
        </w:numPr>
        <w:ind w:left="397" w:hanging="397"/>
        <w:rPr>
          <w:color w:val="2C9ADC"/>
          <w:szCs w:val="28"/>
        </w:rPr>
      </w:pPr>
      <w:bookmarkStart w:id="160" w:name="_Toc117776971"/>
      <w:bookmarkStart w:id="161" w:name="_Toc152932741"/>
      <w:bookmarkStart w:id="162" w:name="_Toc164684487"/>
      <w:r>
        <w:rPr>
          <w:color w:val="2C9ADC"/>
          <w:szCs w:val="28"/>
        </w:rPr>
        <w:lastRenderedPageBreak/>
        <w:t>NAVIAZANIE ROZPOČTOVÉHO PLÁNU NA CIELE STRATÉGIE RASTU A ZAMESTNANOSTI A ŠPECIFICKÉ ODPORÚČANIA RADY E</w:t>
      </w:r>
      <w:bookmarkEnd w:id="160"/>
      <w:bookmarkEnd w:id="161"/>
      <w:r>
        <w:rPr>
          <w:color w:val="2C9ADC"/>
          <w:szCs w:val="28"/>
        </w:rPr>
        <w:t>Ú</w:t>
      </w:r>
      <w:bookmarkEnd w:id="162"/>
      <w:r w:rsidR="009A2A34" w:rsidRPr="00312206">
        <w:rPr>
          <w:color w:val="2C9ADC"/>
          <w:szCs w:val="28"/>
        </w:rPr>
        <w:t xml:space="preserve"> </w:t>
      </w:r>
    </w:p>
    <w:tbl>
      <w:tblPr>
        <w:tblStyle w:val="Mriekatabuky"/>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9A2A34" w:rsidRPr="00FD02CD" w14:paraId="7CE887CA" w14:textId="77777777" w:rsidTr="00CC1F9E">
        <w:tc>
          <w:tcPr>
            <w:tcW w:w="9072" w:type="dxa"/>
          </w:tcPr>
          <w:p w14:paraId="7A6B2E9F" w14:textId="492E63BE" w:rsidR="009A2A34" w:rsidRPr="00FD02CD" w:rsidRDefault="009A2A34" w:rsidP="00CC1F9E">
            <w:pPr>
              <w:jc w:val="both"/>
              <w:rPr>
                <w:rFonts w:eastAsia="Calibri" w:cs="Arial"/>
                <w:i/>
              </w:rPr>
            </w:pPr>
            <w:r w:rsidRPr="00FD02CD">
              <w:rPr>
                <w:i/>
              </w:rPr>
              <w:t xml:space="preserve">Reformné snaženie vlády SR v kľúčových štrukturálnych oblastiach sa bude v najbližších rokoch naďalej koncentrovať na úspešnú implementáciu </w:t>
            </w:r>
            <w:r w:rsidRPr="0092521C">
              <w:rPr>
                <w:i/>
              </w:rPr>
              <w:t>POO. Z hľadiska</w:t>
            </w:r>
            <w:r w:rsidRPr="00FD02CD">
              <w:rPr>
                <w:i/>
              </w:rPr>
              <w:t xml:space="preserve"> zlepšenia výsledkov vzdelávacieho systému bude kľúčový úspešný prechod na nové kurikulum vzdelávania</w:t>
            </w:r>
            <w:r>
              <w:rPr>
                <w:i/>
              </w:rPr>
              <w:t xml:space="preserve"> </w:t>
            </w:r>
            <w:r w:rsidRPr="00FD02CD">
              <w:rPr>
                <w:i/>
              </w:rPr>
              <w:t xml:space="preserve">a zvýšenie inklúzie detí so špeciálnymi výchovno-vzdelávacími potrebami. S cieľom zvýšenia dostupnosti pracovnej sily sa zriadia </w:t>
            </w:r>
            <w:r w:rsidRPr="00FD02CD">
              <w:rPr>
                <w:rFonts w:cs="Arial"/>
                <w:i/>
                <w:iCs/>
              </w:rPr>
              <w:t>klientske strediská, ktoré budú poskytovať komplexné služby uľahčujúce usadenie sa na Slovensku.</w:t>
            </w:r>
            <w:r w:rsidRPr="00FD02CD">
              <w:rPr>
                <w:i/>
              </w:rPr>
              <w:t xml:space="preserve"> V oblasti sociálnych politík je </w:t>
            </w:r>
            <w:r w:rsidRPr="00FD02CD">
              <w:rPr>
                <w:rFonts w:cs="Arial"/>
                <w:i/>
                <w:iCs/>
              </w:rPr>
              <w:t>zmierňovanie následkov vyššej inflácie pre ohrozené skupiny adresované úpravou valorizácie životného minima o rast životných nákladov nízkopríjmových domácností ako aj rozmrazením minimálneho dôchodku.</w:t>
            </w:r>
            <w:r w:rsidRPr="00FD02CD">
              <w:rPr>
                <w:i/>
              </w:rPr>
              <w:t xml:space="preserve"> </w:t>
            </w:r>
            <w:r w:rsidRPr="00FD02CD">
              <w:rPr>
                <w:rFonts w:cs="Arial"/>
                <w:i/>
              </w:rPr>
              <w:t>Kľúčovým prvkom digitálnej transformácie Slovenska bude prijatie a úspešná implementácia rozsiahleho Vnútroštátneho plánu digitálnej dekády</w:t>
            </w:r>
            <w:r w:rsidRPr="00FD02CD">
              <w:rPr>
                <w:i/>
              </w:rPr>
              <w:t>.</w:t>
            </w:r>
            <w:r w:rsidRPr="00FD02CD">
              <w:rPr>
                <w:rFonts w:cs="Arial"/>
                <w:i/>
              </w:rPr>
              <w:t xml:space="preserve"> Pre zlepšenie alokácie zdrojov v sektore zdravotníctva a jeho kvality je dôležité pokračovanie reformy optimalizácie siete nemocníc a zriadenie rozpočtovej rady pre zdravotníctvo</w:t>
            </w:r>
            <w:r w:rsidRPr="00FD02CD">
              <w:rPr>
                <w:i/>
              </w:rPr>
              <w:t xml:space="preserve">. </w:t>
            </w:r>
            <w:r w:rsidRPr="00FD02CD">
              <w:rPr>
                <w:rFonts w:cs="Arial"/>
                <w:i/>
              </w:rPr>
              <w:t>Reformy a investície v kapitole REPowerEU v rámci POO cielia</w:t>
            </w:r>
            <w:r>
              <w:rPr>
                <w:rFonts w:cs="Arial"/>
                <w:i/>
              </w:rPr>
              <w:t xml:space="preserve"> aj</w:t>
            </w:r>
            <w:r w:rsidR="00CC732D">
              <w:rPr>
                <w:rFonts w:cs="Arial"/>
                <w:i/>
              </w:rPr>
              <w:t xml:space="preserve"> na</w:t>
            </w:r>
            <w:r w:rsidRPr="00FD02CD">
              <w:rPr>
                <w:rFonts w:cs="Arial"/>
                <w:i/>
              </w:rPr>
              <w:t xml:space="preserve"> zníženie závislosti Slovenska od fosílnych palív</w:t>
            </w:r>
            <w:r>
              <w:rPr>
                <w:rFonts w:cs="Arial"/>
                <w:i/>
              </w:rPr>
              <w:t xml:space="preserve"> a</w:t>
            </w:r>
            <w:r w:rsidR="00C62526">
              <w:rPr>
                <w:rFonts w:cs="Arial"/>
                <w:i/>
              </w:rPr>
              <w:t> rýchlejše a </w:t>
            </w:r>
            <w:r w:rsidR="00C62526" w:rsidRPr="00C62526">
              <w:rPr>
                <w:rFonts w:cs="Arial"/>
                <w:i/>
                <w:iCs/>
              </w:rPr>
              <w:t>širšie</w:t>
            </w:r>
            <w:r w:rsidR="00C62526">
              <w:rPr>
                <w:rFonts w:cs="Arial"/>
                <w:i/>
                <w:iCs/>
              </w:rPr>
              <w:t xml:space="preserve"> </w:t>
            </w:r>
            <w:r w:rsidR="00C62526" w:rsidRPr="00C62526">
              <w:rPr>
                <w:rFonts w:cs="Arial"/>
                <w:i/>
                <w:iCs/>
              </w:rPr>
              <w:t>začleneni</w:t>
            </w:r>
            <w:r w:rsidR="00C62526">
              <w:rPr>
                <w:rFonts w:cs="Arial"/>
                <w:i/>
                <w:iCs/>
              </w:rPr>
              <w:t>e</w:t>
            </w:r>
            <w:r w:rsidR="00C62526" w:rsidRPr="00C62526">
              <w:rPr>
                <w:rFonts w:cs="Arial"/>
                <w:i/>
                <w:iCs/>
              </w:rPr>
              <w:t xml:space="preserve"> obnoviteľných zdrojov energie do slovenského energetického mixu</w:t>
            </w:r>
            <w:r w:rsidR="00C62526">
              <w:rPr>
                <w:rFonts w:cs="Arial"/>
                <w:i/>
                <w:iCs/>
              </w:rPr>
              <w:t>.</w:t>
            </w:r>
          </w:p>
        </w:tc>
      </w:tr>
    </w:tbl>
    <w:p w14:paraId="5A98FBCB" w14:textId="77777777" w:rsidR="009A2A34" w:rsidRPr="00FD02CD" w:rsidRDefault="009A2A34" w:rsidP="003C5534">
      <w:pPr>
        <w:pStyle w:val="Nadpis2"/>
        <w:numPr>
          <w:ilvl w:val="1"/>
          <w:numId w:val="29"/>
        </w:numPr>
        <w:spacing w:after="120"/>
        <w:rPr>
          <w:color w:val="2C9ADC"/>
          <w:szCs w:val="24"/>
        </w:rPr>
      </w:pPr>
      <w:bookmarkStart w:id="163" w:name="_Toc117776972"/>
      <w:bookmarkStart w:id="164" w:name="_Toc152932742"/>
      <w:bookmarkStart w:id="165" w:name="_Toc164684488"/>
      <w:r w:rsidRPr="003C5534">
        <w:rPr>
          <w:b/>
          <w:bCs/>
          <w:color w:val="2C9ADC"/>
          <w:szCs w:val="24"/>
        </w:rPr>
        <w:t>Hlavné priority v štrukturálnych politikách</w:t>
      </w:r>
      <w:bookmarkEnd w:id="163"/>
      <w:bookmarkEnd w:id="164"/>
      <w:bookmarkEnd w:id="165"/>
    </w:p>
    <w:p w14:paraId="3A008346" w14:textId="3658013C" w:rsidR="009A2A34" w:rsidRDefault="009A2A34" w:rsidP="009A2A34">
      <w:pPr>
        <w:jc w:val="both"/>
        <w:rPr>
          <w:rFonts w:cs="Arial"/>
        </w:rPr>
      </w:pPr>
      <w:r w:rsidRPr="00A653A8">
        <w:rPr>
          <w:b/>
        </w:rPr>
        <w:t xml:space="preserve">Významnou reformou zameranou na systematické a cielené rozvíjanie gramotnosti žiakov je kurikulárna a učebnicová reforma. </w:t>
      </w:r>
      <w:r w:rsidRPr="00A653A8">
        <w:rPr>
          <w:rFonts w:cs="Arial"/>
        </w:rPr>
        <w:t>Koncom marca 2023 bol ministrom školstva schválený nový štátny vzdelávací program pre základné vzdelávanie</w:t>
      </w:r>
      <w:r>
        <w:rPr>
          <w:rFonts w:cs="Arial"/>
        </w:rPr>
        <w:t>. J</w:t>
      </w:r>
      <w:r w:rsidRPr="00A653A8">
        <w:rPr>
          <w:rFonts w:cs="Arial"/>
        </w:rPr>
        <w:t>eho implementácia sa začala v septembri 2023 v základných školách, s ktorými je uzavretá  dohoda o experimentálnom overovaní. Kurikulum cieli schopnosť žiakov</w:t>
      </w:r>
      <w:r>
        <w:rPr>
          <w:rFonts w:cs="Arial"/>
        </w:rPr>
        <w:t xml:space="preserve"> zapájať sa do budúcich výziev</w:t>
      </w:r>
      <w:r w:rsidRPr="00A653A8">
        <w:rPr>
          <w:rFonts w:cs="Arial"/>
        </w:rPr>
        <w:t>, preberať zodpovednosť a riešiť zložité problémy, kriticky pristupovať k informáciám či spolupracovať v rôznorodých tímoch. Zámerom reformy je aj posilnenie zručností pedagogických zamestnancov vrátane ich vyškolenia na nové kurikulum. Zriadenie regionálnych centier kurikulárneho manažmentu a podpory škôl je preto kľúčovým prvkom úspešnej implementácie nového kurikula. Úlohou centier je poskytovať mentoring, odborné poradenstvo a konzultačné služby</w:t>
      </w:r>
      <w:r>
        <w:rPr>
          <w:rFonts w:cs="Arial"/>
        </w:rPr>
        <w:t xml:space="preserve">. </w:t>
      </w:r>
      <w:r w:rsidRPr="00A653A8">
        <w:rPr>
          <w:rFonts w:cs="Arial"/>
        </w:rPr>
        <w:t>Podpora predprimárneho vzdelávania je najnovšie zvýraznená zavedením práva dieťaťa na prijatie do materskej školy pre deti od štyroch a postupne od troch rokov, a taktiež prípravou prechodu na normatívne financovanie materských škôl. </w:t>
      </w:r>
      <w:r>
        <w:rPr>
          <w:rFonts w:cs="Arial"/>
        </w:rPr>
        <w:t>N</w:t>
      </w:r>
      <w:r w:rsidRPr="00A653A8">
        <w:rPr>
          <w:rFonts w:cs="Arial"/>
        </w:rPr>
        <w:t xml:space="preserve">ový zákon o štátnej správe v školstve a školskej samospráve pomôže zvýšiť efektívnosť, účelnosť a kvalitu vzdelávania v regionálnom školstve. Značná časť reformného úsilia v rámci POO sa zameriava na zvýšenie inklúzie detí so špeciálnymi výchovno-vzdelávacími potrebami, detí z marginalizovaných rómskych komunít a detí z rodín nachádzajúcich sa v riziku chudoby. Inkluzívne opatrenia sa týkajú </w:t>
      </w:r>
      <w:r>
        <w:rPr>
          <w:rFonts w:cs="Arial"/>
        </w:rPr>
        <w:t xml:space="preserve">napr. </w:t>
      </w:r>
      <w:r w:rsidRPr="00A653A8">
        <w:rPr>
          <w:rFonts w:cs="Arial"/>
        </w:rPr>
        <w:t>zavedenia desegregačných štandardov, vytvorenie manuálu debarierizácie a zmapovanie potrieb škôl na všetkých stupňoch vzdelávania</w:t>
      </w:r>
      <w:r>
        <w:rPr>
          <w:rFonts w:cs="Arial"/>
        </w:rPr>
        <w:t xml:space="preserve">. </w:t>
      </w:r>
    </w:p>
    <w:p w14:paraId="69343B9A" w14:textId="77777777" w:rsidR="00885665" w:rsidRPr="00A653A8" w:rsidRDefault="00885665" w:rsidP="009A2A34">
      <w:pPr>
        <w:jc w:val="both"/>
        <w:rPr>
          <w:rFonts w:cs="Arial"/>
        </w:rPr>
      </w:pPr>
    </w:p>
    <w:p w14:paraId="40B8D6D1" w14:textId="412B3688" w:rsidR="009A2A34" w:rsidRDefault="009A2A34" w:rsidP="009A2A34">
      <w:pPr>
        <w:jc w:val="both"/>
        <w:rPr>
          <w:rFonts w:cs="Arial"/>
          <w:iCs/>
        </w:rPr>
      </w:pPr>
      <w:r w:rsidRPr="00A653A8">
        <w:rPr>
          <w:rFonts w:cs="Arial"/>
          <w:b/>
          <w:bCs/>
        </w:rPr>
        <w:t xml:space="preserve">Novovzniknutý Úrad podpredsedu vlády SR predstavuje ďalší krok v posilnení agendy výskumu, vývoja a inovácii (VVaI). </w:t>
      </w:r>
      <w:r w:rsidRPr="00A653A8">
        <w:rPr>
          <w:rFonts w:cs="Arial"/>
        </w:rPr>
        <w:t>Nový kompetenčný zákon v platnosti od februára 2024 potvrdzuje nadrezortnú koordináciu verejných politík v tejto oblasti. Medzi splnené míľniky Národnej stratégie patria schválenie Záväznej metodiky riadenia, financovania a hodnotenia podpory VVaI</w:t>
      </w:r>
      <w:r>
        <w:rPr>
          <w:rStyle w:val="Odkaznapoznmkupodiarou"/>
          <w:rFonts w:cs="Arial"/>
        </w:rPr>
        <w:footnoteReference w:id="41"/>
      </w:r>
      <w:r w:rsidRPr="00A653A8">
        <w:rPr>
          <w:rFonts w:cs="Arial"/>
        </w:rPr>
        <w:t xml:space="preserve"> a Revízie výdavkov, kompetencií a personálnych kapacít vo VVaI. Kľúčovým prvkom digitálnej transformácie Slovenska bude prijatie a úspešná implementácia rozsiahleho Vnútroštátneho plánu digitálnej dekády. Tento strategický dokument zadefinuje súčasný a plánovaný vývoj Slovenska do roku 2030 v oblast</w:t>
      </w:r>
      <w:r w:rsidR="00B567F8">
        <w:rPr>
          <w:rFonts w:cs="Arial"/>
        </w:rPr>
        <w:t>i</w:t>
      </w:r>
      <w:r w:rsidRPr="00A653A8">
        <w:rPr>
          <w:rFonts w:cs="Arial"/>
        </w:rPr>
        <w:t xml:space="preserve"> </w:t>
      </w:r>
      <w:r>
        <w:rPr>
          <w:rFonts w:cs="Arial"/>
        </w:rPr>
        <w:t>digitalizácie</w:t>
      </w:r>
      <w:r w:rsidRPr="00A653A8">
        <w:rPr>
          <w:rFonts w:cs="Arial"/>
        </w:rPr>
        <w:t xml:space="preserve">. </w:t>
      </w:r>
      <w:r w:rsidRPr="00A653A8">
        <w:rPr>
          <w:rFonts w:cs="Arial"/>
          <w:iCs/>
        </w:rPr>
        <w:t>Konkrétne kroky na podporu digitalizácie budú napríklad smerovať k zvýšeniu využívania elektronických služieb štátu</w:t>
      </w:r>
      <w:r w:rsidRPr="00A653A8">
        <w:rPr>
          <w:rFonts w:cs="Arial"/>
        </w:rPr>
        <w:t>,</w:t>
      </w:r>
      <w:r w:rsidRPr="00A653A8">
        <w:rPr>
          <w:rFonts w:cs="Arial"/>
          <w:iCs/>
        </w:rPr>
        <w:t xml:space="preserve"> rozvoju kybernetickej bezpečnosti a nárastu počtu projektov na vývoj a aplikáciu špičkových digitálnych technológií.</w:t>
      </w:r>
    </w:p>
    <w:p w14:paraId="7EDFAFAF" w14:textId="77777777" w:rsidR="00885665" w:rsidRPr="00A653A8" w:rsidRDefault="00885665" w:rsidP="009A2A34">
      <w:pPr>
        <w:jc w:val="both"/>
        <w:rPr>
          <w:rFonts w:cs="Arial"/>
          <w:iCs/>
        </w:rPr>
      </w:pPr>
    </w:p>
    <w:p w14:paraId="44DA0ACB" w14:textId="77777777" w:rsidR="005F086D" w:rsidRDefault="009A2A34" w:rsidP="009A2A34">
      <w:pPr>
        <w:jc w:val="both"/>
        <w:rPr>
          <w:rFonts w:cs="Arial"/>
        </w:rPr>
      </w:pPr>
      <w:r>
        <w:rPr>
          <w:rFonts w:cs="Arial"/>
          <w:b/>
          <w:iCs/>
        </w:rPr>
        <w:t>P</w:t>
      </w:r>
      <w:r w:rsidRPr="00A653A8">
        <w:rPr>
          <w:rFonts w:cs="Arial"/>
          <w:b/>
          <w:iCs/>
        </w:rPr>
        <w:t>okračuje implementácia opatrení znižujúcich bariéry pre vstup vysokokvalifikovaných pracovníkov na domáci trh práce</w:t>
      </w:r>
      <w:r>
        <w:rPr>
          <w:rFonts w:cs="Arial"/>
          <w:b/>
          <w:iCs/>
        </w:rPr>
        <w:t xml:space="preserve"> a znižujú sa dopady vysokej inflácie pre ohrozené skupiny</w:t>
      </w:r>
      <w:r w:rsidRPr="00A653A8">
        <w:rPr>
          <w:rFonts w:cs="Arial"/>
          <w:b/>
          <w:iCs/>
        </w:rPr>
        <w:t>.</w:t>
      </w:r>
      <w:r w:rsidRPr="00A653A8">
        <w:rPr>
          <w:rFonts w:cs="Arial"/>
          <w:iCs/>
        </w:rPr>
        <w:t xml:space="preserve"> S cieľom podporiť prilákanie a udržanie vysokokvalifikovaných zamestnancov a študentov sa vytvoria 3 plne funkčné klientské strediská (tzv. „one-stop shopy“)</w:t>
      </w:r>
      <w:r>
        <w:rPr>
          <w:rFonts w:cs="Arial"/>
          <w:iCs/>
        </w:rPr>
        <w:t>. Tie</w:t>
      </w:r>
      <w:r w:rsidRPr="00A653A8">
        <w:rPr>
          <w:rFonts w:cs="Arial"/>
          <w:iCs/>
        </w:rPr>
        <w:t xml:space="preserve"> budú poskytovať komplexné služby uľahčujúce usadenie sa na Slovensku. Zmierňovanie následkov vyššej inflácie pre ohrozené skupiny</w:t>
      </w:r>
      <w:r>
        <w:rPr>
          <w:rFonts w:cs="Arial"/>
          <w:iCs/>
        </w:rPr>
        <w:t xml:space="preserve"> </w:t>
      </w:r>
      <w:r w:rsidRPr="00A653A8">
        <w:rPr>
          <w:rFonts w:cs="Arial"/>
          <w:iCs/>
        </w:rPr>
        <w:t xml:space="preserve">adresuje úprava valorizácie životného minima o rast životných nákladov nízkopríjmových domácností ako aj rozmrazenie minimálneho dôchodku. </w:t>
      </w:r>
      <w:r w:rsidRPr="00A653A8">
        <w:rPr>
          <w:rFonts w:cs="Arial"/>
        </w:rPr>
        <w:t xml:space="preserve">Novela zákona o životnom minime upravila valorizačný mechanizmus súm životného minima v súlade s rastom spotrebiteľských cien. Rozmrazenie súm minimálneho dôchodku umožňuje ich automatické zvýšenie, pričom naviazanie minimálneho </w:t>
      </w:r>
      <w:r w:rsidRPr="00A653A8">
        <w:rPr>
          <w:rFonts w:cs="Arial"/>
        </w:rPr>
        <w:lastRenderedPageBreak/>
        <w:t xml:space="preserve">dôchodku na 136 % sumy životného </w:t>
      </w:r>
      <w:r>
        <w:rPr>
          <w:rFonts w:cs="Arial"/>
        </w:rPr>
        <w:t>minima pre jednotlivca slúži k zabráneniu</w:t>
      </w:r>
      <w:r w:rsidRPr="00A653A8">
        <w:rPr>
          <w:rFonts w:cs="Arial"/>
        </w:rPr>
        <w:t xml:space="preserve"> jeho prepadu do stavu hmotnej núdze. </w:t>
      </w:r>
    </w:p>
    <w:p w14:paraId="0E15E738" w14:textId="0093E58D" w:rsidR="009A2A34" w:rsidRPr="00A653A8" w:rsidRDefault="009A2A34" w:rsidP="009A2A34">
      <w:pPr>
        <w:jc w:val="both"/>
        <w:rPr>
          <w:rFonts w:cs="Arial"/>
        </w:rPr>
      </w:pPr>
      <w:r w:rsidRPr="00A653A8">
        <w:rPr>
          <w:rFonts w:cs="Arial"/>
        </w:rPr>
        <w:t xml:space="preserve"> </w:t>
      </w:r>
    </w:p>
    <w:p w14:paraId="79541A45" w14:textId="1A5F3851" w:rsidR="009A2A34" w:rsidRDefault="009A2A34" w:rsidP="009A2A34">
      <w:pPr>
        <w:jc w:val="both"/>
        <w:rPr>
          <w:rFonts w:cs="Arial"/>
        </w:rPr>
      </w:pPr>
      <w:r w:rsidRPr="00A653A8">
        <w:rPr>
          <w:rFonts w:cs="Arial"/>
          <w:b/>
        </w:rPr>
        <w:t xml:space="preserve">Zvyšovanie alokačnej efektívnosti v ekonomike </w:t>
      </w:r>
      <w:r>
        <w:rPr>
          <w:rFonts w:cs="Arial"/>
          <w:b/>
        </w:rPr>
        <w:t>podporia</w:t>
      </w:r>
      <w:r w:rsidRPr="00A653A8">
        <w:rPr>
          <w:rFonts w:cs="Arial"/>
          <w:b/>
        </w:rPr>
        <w:t xml:space="preserve"> najmä opatrenia zlepšujúce kvalitu inštitúcií a podnikateľského prostredia.</w:t>
      </w:r>
      <w:r w:rsidRPr="00A653A8">
        <w:rPr>
          <w:rFonts w:cs="Arial"/>
        </w:rPr>
        <w:t xml:space="preserve"> </w:t>
      </w:r>
      <w:r>
        <w:rPr>
          <w:rFonts w:cs="Arial"/>
        </w:rPr>
        <w:t>D</w:t>
      </w:r>
      <w:r w:rsidRPr="00A653A8">
        <w:rPr>
          <w:rFonts w:cs="Arial"/>
        </w:rPr>
        <w:t>ôležitým míľnikom</w:t>
      </w:r>
      <w:r>
        <w:rPr>
          <w:rFonts w:cs="Arial"/>
        </w:rPr>
        <w:t xml:space="preserve"> je</w:t>
      </w:r>
      <w:r w:rsidRPr="00A653A8">
        <w:rPr>
          <w:rFonts w:cs="Arial"/>
        </w:rPr>
        <w:t xml:space="preserve"> spustenie novej reorganizovanej siete súdov, ktorá cieli</w:t>
      </w:r>
      <w:r w:rsidR="005F086D">
        <w:rPr>
          <w:rFonts w:cs="Arial"/>
        </w:rPr>
        <w:t xml:space="preserve"> na</w:t>
      </w:r>
      <w:r w:rsidRPr="00A653A8">
        <w:rPr>
          <w:rFonts w:cs="Arial"/>
        </w:rPr>
        <w:t xml:space="preserve"> zefektívnenie súdnych konaní a zlepšenie kvality súdnych rozhodnutí.</w:t>
      </w:r>
      <w:r w:rsidRPr="00A653A8">
        <w:t xml:space="preserve"> </w:t>
      </w:r>
      <w:r w:rsidRPr="00A653A8">
        <w:rPr>
          <w:rFonts w:cs="Arial"/>
        </w:rPr>
        <w:t>Elektronizácia a zrýchlenie insolvenčných konaní a procesov obchodného registra prispeje k zníženiu administratívnych bariér podnikania.</w:t>
      </w:r>
      <w:r w:rsidRPr="00A653A8">
        <w:rPr>
          <w:rFonts w:cs="Calibri"/>
          <w:color w:val="131D2B"/>
          <w:sz w:val="20"/>
          <w:szCs w:val="20"/>
        </w:rPr>
        <w:t xml:space="preserve"> </w:t>
      </w:r>
      <w:r w:rsidRPr="00A653A8">
        <w:rPr>
          <w:rFonts w:cs="Arial"/>
        </w:rPr>
        <w:t>Do konca roka 2024 nadobudne účinnosť 300 konkrétnych opatrení, ktoré povedú k administratívnym úsporám pre podnikateľov. Vďaka prepojeniu s povoľovacími procesmi sa zrýchli a zefektívni posudzovanie vplyvov na životné prostredie. Prijatie plánovaných legislatívnych zmien by malo priniesť zlepšenie súčasného mechanizmu správy zaisteného a konfiškovaného majetku.</w:t>
      </w:r>
      <w:r w:rsidRPr="00A653A8">
        <w:rPr>
          <w:rFonts w:cs="Calibri"/>
          <w:color w:val="131D2B"/>
          <w:sz w:val="20"/>
          <w:szCs w:val="20"/>
        </w:rPr>
        <w:t xml:space="preserve"> </w:t>
      </w:r>
      <w:r w:rsidRPr="00A653A8">
        <w:rPr>
          <w:rFonts w:cs="Arial"/>
        </w:rPr>
        <w:t>Zmodernizovanie informačných systémov pre medzinárodnú policajnú spoluprácu zefektívni výmenu informácií potrebných pre boj s medzinárodnou trestnou činnosťou. Zámerom budovania centier zdieľaných služieb je posilnenie a zlepšenie výkonu miestnej územnej samosprávy pri poskytovaní verejných služieb pre občanov.</w:t>
      </w:r>
    </w:p>
    <w:p w14:paraId="1DF67FF9" w14:textId="77777777" w:rsidR="00885665" w:rsidRPr="00A653A8" w:rsidRDefault="00885665" w:rsidP="009A2A34">
      <w:pPr>
        <w:jc w:val="both"/>
        <w:rPr>
          <w:rFonts w:cs="Arial"/>
        </w:rPr>
      </w:pPr>
    </w:p>
    <w:p w14:paraId="2A80BB7C" w14:textId="14983096" w:rsidR="009A2A34" w:rsidRDefault="009A2A34" w:rsidP="009A2A34">
      <w:pPr>
        <w:jc w:val="both"/>
        <w:rPr>
          <w:rFonts w:cs="Arial"/>
        </w:rPr>
      </w:pPr>
      <w:r w:rsidRPr="00947332">
        <w:rPr>
          <w:rFonts w:cs="Arial"/>
          <w:b/>
        </w:rPr>
        <w:t xml:space="preserve">Pre zlepšenie alokácie zdrojov v sektore zdravotníctva a jeho kvality je kľúčové pokračovanie reformy optimalizácie siete nemocníc a zriadenie rozpočtovej rady pre zdravotníctvo. </w:t>
      </w:r>
      <w:r w:rsidRPr="00947332">
        <w:rPr>
          <w:rFonts w:cs="Arial"/>
        </w:rPr>
        <w:t xml:space="preserve">Cieľom </w:t>
      </w:r>
      <w:r w:rsidRPr="00F0460F">
        <w:rPr>
          <w:rFonts w:cs="Arial"/>
          <w:bCs/>
        </w:rPr>
        <w:t xml:space="preserve">rady </w:t>
      </w:r>
      <w:r w:rsidRPr="00FD02CD">
        <w:rPr>
          <w:rFonts w:cs="Arial"/>
          <w:bCs/>
        </w:rPr>
        <w:t xml:space="preserve">je </w:t>
      </w:r>
      <w:r w:rsidRPr="00947332">
        <w:rPr>
          <w:rFonts w:cs="Arial"/>
          <w:bCs/>
        </w:rPr>
        <w:t>podporiť nielen proces prípravy rozpočtu, ale aj jeho priebežné monitorovanie a vyhodnocovanie počas roka</w:t>
      </w:r>
      <w:r>
        <w:rPr>
          <w:rStyle w:val="Odkaznapoznmkupodiarou"/>
          <w:rFonts w:cs="Arial"/>
          <w:bCs/>
        </w:rPr>
        <w:footnoteReference w:id="42"/>
      </w:r>
      <w:r w:rsidRPr="00947332">
        <w:rPr>
          <w:rFonts w:cs="Arial"/>
          <w:bCs/>
        </w:rPr>
        <w:t xml:space="preserve">. </w:t>
      </w:r>
      <w:r>
        <w:rPr>
          <w:rFonts w:cs="Arial"/>
        </w:rPr>
        <w:t>Významným</w:t>
      </w:r>
      <w:r w:rsidRPr="00947332">
        <w:rPr>
          <w:rFonts w:cs="Arial"/>
        </w:rPr>
        <w:t xml:space="preserve"> opatrením v oblasti nemocníc je tiež pokračovanie v reforme optimalizácie jej siete. </w:t>
      </w:r>
      <w:r w:rsidRPr="00947332">
        <w:rPr>
          <w:rFonts w:eastAsiaTheme="minorEastAsia" w:cs="Times New Roman"/>
          <w:bCs/>
          <w:color w:val="000000" w:themeColor="text1"/>
        </w:rPr>
        <w:t xml:space="preserve">V rámci </w:t>
      </w:r>
      <w:r>
        <w:rPr>
          <w:rFonts w:eastAsiaTheme="minorEastAsia" w:cs="Times New Roman"/>
          <w:bCs/>
          <w:color w:val="000000" w:themeColor="text1"/>
        </w:rPr>
        <w:t>tejto reformy</w:t>
      </w:r>
      <w:r w:rsidRPr="00947332">
        <w:rPr>
          <w:rFonts w:eastAsiaTheme="minorEastAsia" w:cs="Times New Roman"/>
          <w:bCs/>
          <w:color w:val="000000" w:themeColor="text1"/>
        </w:rPr>
        <w:t xml:space="preserve"> bude počas roka 2024 prebiehať implementácia maximálnych čakacích dôb a indikátorov kvality</w:t>
      </w:r>
      <w:r w:rsidRPr="00947332">
        <w:rPr>
          <w:rFonts w:eastAsiaTheme="minorEastAsia" w:cs="Times New Roman"/>
          <w:color w:val="000000" w:themeColor="text1"/>
        </w:rPr>
        <w:t xml:space="preserve">. </w:t>
      </w:r>
      <w:r w:rsidRPr="00947332">
        <w:rPr>
          <w:rFonts w:cs="Arial"/>
        </w:rPr>
        <w:t>Aktuálne sa realizuje zber údajov týkajúcich sa čakacích dôb v oblasti ústavnej starostlivosti s cieľom zabezpečenia manažmentu zdravotnej starostlivosti o pacientov od začiatku roka 2025</w:t>
      </w:r>
      <w:r>
        <w:rPr>
          <w:rStyle w:val="Odkaznapoznmkupodiarou"/>
          <w:rFonts w:cs="Arial"/>
        </w:rPr>
        <w:footnoteReference w:id="43"/>
      </w:r>
      <w:r w:rsidRPr="00947332">
        <w:rPr>
          <w:rFonts w:cs="Arial"/>
        </w:rPr>
        <w:t>. V sfére dlhodobej starostlivosti sa očakáva zjednotenie posudkovej činnosti pri posudzovaní potrieb osôb so zdravotným postihnutím v prípade nároku na osobnú asistenciu a taktiež zefektívnenie posudzovania vďaka digitalizácií.</w:t>
      </w:r>
    </w:p>
    <w:p w14:paraId="2D8CB5D6" w14:textId="77777777" w:rsidR="00885665" w:rsidRPr="00947332" w:rsidRDefault="00885665" w:rsidP="009A2A34">
      <w:pPr>
        <w:jc w:val="both"/>
        <w:rPr>
          <w:rFonts w:eastAsiaTheme="minorEastAsia" w:cs="Times New Roman"/>
          <w:color w:val="000000" w:themeColor="text1"/>
        </w:rPr>
      </w:pPr>
    </w:p>
    <w:p w14:paraId="27A5459C" w14:textId="520028D5" w:rsidR="009A2A34" w:rsidRDefault="009A2A34" w:rsidP="009A2A34">
      <w:pPr>
        <w:jc w:val="both"/>
        <w:rPr>
          <w:rFonts w:cs="Arial"/>
        </w:rPr>
      </w:pPr>
      <w:r w:rsidRPr="009F2D6B">
        <w:rPr>
          <w:rFonts w:cs="Arial"/>
          <w:b/>
        </w:rPr>
        <w:t xml:space="preserve">Reformy a investície v kapitole REPowerEU v rámci POO cielia podporu </w:t>
      </w:r>
      <w:r w:rsidR="005F086D">
        <w:rPr>
          <w:rFonts w:cs="Arial"/>
          <w:b/>
        </w:rPr>
        <w:t>n</w:t>
      </w:r>
      <w:r w:rsidRPr="009F2D6B">
        <w:rPr>
          <w:rFonts w:cs="Arial"/>
          <w:b/>
        </w:rPr>
        <w:t>a urýchlenie ukončenia závislosti Slovenska na dovoze fosílnych palív z Ruska a tiež boj s klimatickou krízou.</w:t>
      </w:r>
      <w:r w:rsidRPr="009F2D6B">
        <w:rPr>
          <w:b/>
        </w:rPr>
        <w:t xml:space="preserve"> </w:t>
      </w:r>
      <w:r w:rsidRPr="009F2D6B">
        <w:rPr>
          <w:rFonts w:cs="Arial"/>
          <w:bCs/>
          <w:iCs/>
        </w:rPr>
        <w:t xml:space="preserve">Opatrenia </w:t>
      </w:r>
      <w:r>
        <w:rPr>
          <w:rFonts w:cs="Arial"/>
          <w:iCs/>
        </w:rPr>
        <w:t xml:space="preserve">reforiem a investícií v oblasti zelenej ekonomiky </w:t>
      </w:r>
      <w:r w:rsidRPr="009F2D6B">
        <w:rPr>
          <w:rFonts w:cs="Arial"/>
          <w:bCs/>
          <w:iCs/>
        </w:rPr>
        <w:t xml:space="preserve">napríklad zahŕňajú zjednodušenie povoľovacích procesov či investície do energetickej infraštruktúry, </w:t>
      </w:r>
      <w:r w:rsidRPr="009F2D6B">
        <w:rPr>
          <w:rFonts w:cs="Arial"/>
          <w:iCs/>
        </w:rPr>
        <w:t>dopravy s nulovými emisiami a energetickej hospodárnosti budov</w:t>
      </w:r>
      <w:bookmarkStart w:id="166" w:name="_Hlk163567186"/>
      <w:r w:rsidRPr="009F2D6B">
        <w:rPr>
          <w:rFonts w:cs="Arial"/>
          <w:iCs/>
        </w:rPr>
        <w:t>. Kľúčovú úlohu pri zelenej transformácii budú zohrávať aj prostriedky Programu Slovensko a Modernizačného fondu</w:t>
      </w:r>
      <w:bookmarkEnd w:id="166"/>
      <w:r w:rsidRPr="009F2D6B">
        <w:rPr>
          <w:rFonts w:cs="Arial"/>
          <w:iCs/>
        </w:rPr>
        <w:t>.</w:t>
      </w:r>
      <w:r w:rsidRPr="009F2D6B">
        <w:rPr>
          <w:rFonts w:cs="Arial"/>
        </w:rPr>
        <w:t xml:space="preserve"> </w:t>
      </w:r>
      <w:r w:rsidRPr="009F2D6B">
        <w:rPr>
          <w:rFonts w:cs="Arial"/>
          <w:iCs/>
        </w:rPr>
        <w:t>N</w:t>
      </w:r>
      <w:r w:rsidRPr="009F2D6B">
        <w:rPr>
          <w:rFonts w:cs="Arial"/>
        </w:rPr>
        <w:t>ový klimatický zákon</w:t>
      </w:r>
      <w:r>
        <w:rPr>
          <w:rStyle w:val="Odkaznapoznmkupodiarou"/>
          <w:rFonts w:cs="Arial"/>
        </w:rPr>
        <w:footnoteReference w:id="44"/>
      </w:r>
      <w:r w:rsidRPr="009F2D6B">
        <w:rPr>
          <w:rFonts w:cs="Arial"/>
          <w:iCs/>
        </w:rPr>
        <w:t xml:space="preserve">, </w:t>
      </w:r>
      <w:r w:rsidRPr="009F2D6B">
        <w:rPr>
          <w:rFonts w:cs="Arial"/>
        </w:rPr>
        <w:t xml:space="preserve"> by mal harmonizovať legislatívny rámec SR s rámcom EÚ a výrazne prispieť k dosiahnutiu klimatických cieľov Slovenska do roku 2030 vrátane klimatickej neutrality najneskôr do roka 2050</w:t>
      </w:r>
      <w:r w:rsidRPr="009F2D6B">
        <w:rPr>
          <w:rStyle w:val="Odkaznapoznmkupodiarou"/>
          <w:rFonts w:cs="Arial"/>
        </w:rPr>
        <w:footnoteReference w:id="45"/>
      </w:r>
      <w:r w:rsidRPr="009F2D6B">
        <w:rPr>
          <w:rFonts w:cs="Arial"/>
        </w:rPr>
        <w:t>.</w:t>
      </w:r>
      <w:r w:rsidRPr="009F2D6B">
        <w:rPr>
          <w:rFonts w:cs="Arial"/>
          <w:iCs/>
        </w:rPr>
        <w:t xml:space="preserve"> Reformy a investície zamerané na podporu alternatívnych pohonov a zvyšovanie podielu ekologických foriem dopravy dokážu</w:t>
      </w:r>
      <w:r w:rsidRPr="009F2D6B">
        <w:rPr>
          <w:rFonts w:cs="Times"/>
          <w:sz w:val="25"/>
          <w:szCs w:val="25"/>
        </w:rPr>
        <w:t xml:space="preserve"> </w:t>
      </w:r>
      <w:r w:rsidRPr="009F2D6B">
        <w:rPr>
          <w:rFonts w:cs="Arial"/>
          <w:iCs/>
        </w:rPr>
        <w:t>výrazne napomôcť v procese prechodu na udržateľnú dopravu</w:t>
      </w:r>
      <w:r>
        <w:rPr>
          <w:rFonts w:cs="Arial"/>
          <w:iCs/>
        </w:rPr>
        <w:t>. T</w:t>
      </w:r>
      <w:r w:rsidRPr="009F2D6B">
        <w:rPr>
          <w:rFonts w:cs="Arial"/>
          <w:iCs/>
        </w:rPr>
        <w:t>eda významne prispieť k znižovaniu CO2 v doprave a k zlepšeniu kvality ovzdušia. P</w:t>
      </w:r>
      <w:r w:rsidRPr="009F2D6B">
        <w:rPr>
          <w:rFonts w:cs="Arial"/>
        </w:rPr>
        <w:t>ripravovaná Stratégia a akčný plán odpadového hospodárstva majú za úlohu okrem iného zabezpečiť stabilitu a predvídateľnosť prostredia obehového a odpadového hospodárstva</w:t>
      </w:r>
      <w:r>
        <w:rPr>
          <w:rFonts w:cs="Arial"/>
        </w:rPr>
        <w:t>.</w:t>
      </w:r>
      <w:r w:rsidRPr="009F2D6B">
        <w:rPr>
          <w:rFonts w:cs="Arial"/>
        </w:rPr>
        <w:t> </w:t>
      </w:r>
      <w:r>
        <w:rPr>
          <w:rFonts w:cs="Arial"/>
        </w:rPr>
        <w:t>T</w:t>
      </w:r>
      <w:r w:rsidRPr="009F2D6B">
        <w:rPr>
          <w:rFonts w:cs="Arial"/>
        </w:rPr>
        <w:t>ým prisp</w:t>
      </w:r>
      <w:r>
        <w:rPr>
          <w:rFonts w:cs="Arial"/>
        </w:rPr>
        <w:t>ejú</w:t>
      </w:r>
      <w:r w:rsidRPr="009F2D6B">
        <w:rPr>
          <w:rFonts w:cs="Arial"/>
        </w:rPr>
        <w:t xml:space="preserve"> k jeho fungovaniu a rozvoju.</w:t>
      </w:r>
    </w:p>
    <w:p w14:paraId="1DCC013B" w14:textId="77777777" w:rsidR="00885665" w:rsidRPr="009F2D6B" w:rsidRDefault="00885665" w:rsidP="009A2A34">
      <w:pPr>
        <w:jc w:val="both"/>
        <w:rPr>
          <w:rFonts w:cs="Arial"/>
          <w:iCs/>
        </w:rPr>
      </w:pPr>
    </w:p>
    <w:p w14:paraId="0A6C490B" w14:textId="77777777" w:rsidR="009A2A34" w:rsidRPr="00DB225C" w:rsidRDefault="009A2A34" w:rsidP="009A2A34">
      <w:pPr>
        <w:jc w:val="both"/>
        <w:rPr>
          <w:rFonts w:cs="Arial"/>
        </w:rPr>
      </w:pPr>
      <w:r w:rsidRPr="00DB225C">
        <w:rPr>
          <w:rFonts w:cs="Arial"/>
          <w:b/>
        </w:rPr>
        <w:t xml:space="preserve">Politika súdržnosti EÚ je jedným zo základných pilierov fungovania Európskej únie, a zároveň  jedným z jej hlavných investičných nástrojov. </w:t>
      </w:r>
      <w:r w:rsidRPr="00DB225C">
        <w:rPr>
          <w:rFonts w:cs="Arial"/>
        </w:rPr>
        <w:t>Jej cieľom je podporovať projekty, ktoré pomáhajú odstraňovať sociálne a hospodárske rozdiely v rozvoji regiónov, zvyšovať ich konkurencieschopnosť a zlepšovať kvalitu života všetkých občanov. V roku 2022 bola vládou SR a EK schválená Partnerská dohoda na roky 2021-2027 a Program Slovensko</w:t>
      </w:r>
      <w:r>
        <w:rPr>
          <w:rFonts w:cs="Arial"/>
        </w:rPr>
        <w:t>. Tie</w:t>
      </w:r>
      <w:r w:rsidRPr="00DB225C">
        <w:rPr>
          <w:rFonts w:cs="Arial"/>
        </w:rPr>
        <w:t xml:space="preserve"> predstavujú základný rámec pre čerpanie zdrojov v rámci štvrtého programového obdobia.</w:t>
      </w:r>
    </w:p>
    <w:p w14:paraId="773AD687" w14:textId="7E88C351" w:rsidR="009A2A34" w:rsidRPr="003C5534" w:rsidRDefault="003C5534" w:rsidP="009A2A34">
      <w:pPr>
        <w:pStyle w:val="Nadpis2"/>
        <w:numPr>
          <w:ilvl w:val="1"/>
          <w:numId w:val="29"/>
        </w:numPr>
        <w:spacing w:after="120"/>
        <w:rPr>
          <w:b/>
          <w:bCs/>
          <w:color w:val="2C9ADC"/>
          <w:szCs w:val="24"/>
        </w:rPr>
      </w:pPr>
      <w:bookmarkStart w:id="167" w:name="_Toc164684489"/>
      <w:r w:rsidRPr="003C5534">
        <w:rPr>
          <w:b/>
          <w:bCs/>
          <w:color w:val="2C9ADC"/>
          <w:szCs w:val="24"/>
        </w:rPr>
        <w:t>Verejné financie</w:t>
      </w:r>
      <w:bookmarkEnd w:id="167"/>
    </w:p>
    <w:p w14:paraId="196BB678" w14:textId="2755377D" w:rsidR="009A2A34" w:rsidRDefault="009A2A34" w:rsidP="009A2A34">
      <w:pPr>
        <w:jc w:val="both"/>
        <w:rPr>
          <w:rFonts w:cs="Times New Roman"/>
        </w:rPr>
      </w:pPr>
      <w:bookmarkStart w:id="168" w:name="_Hlk159402432"/>
      <w:r w:rsidRPr="00B466B3">
        <w:rPr>
          <w:rFonts w:cs="Times New Roman"/>
          <w:b/>
        </w:rPr>
        <w:t>Limity verejných výdavkov</w:t>
      </w:r>
      <w:r>
        <w:rPr>
          <w:rFonts w:cs="Times New Roman"/>
          <w:b/>
        </w:rPr>
        <w:t xml:space="preserve"> budú od roku 2025 </w:t>
      </w:r>
      <w:r w:rsidRPr="00B466B3">
        <w:rPr>
          <w:rFonts w:cs="Times New Roman"/>
          <w:b/>
        </w:rPr>
        <w:t>zosúladen</w:t>
      </w:r>
      <w:r>
        <w:rPr>
          <w:rFonts w:cs="Times New Roman"/>
          <w:b/>
        </w:rPr>
        <w:t>é</w:t>
      </w:r>
      <w:r w:rsidRPr="00B466B3">
        <w:rPr>
          <w:rFonts w:cs="Times New Roman"/>
          <w:b/>
        </w:rPr>
        <w:t xml:space="preserve"> s novými fiškálnymi pravidlami EÚ</w:t>
      </w:r>
      <w:r>
        <w:rPr>
          <w:rFonts w:cs="Times New Roman"/>
          <w:b/>
        </w:rPr>
        <w:t xml:space="preserve">, </w:t>
      </w:r>
      <w:r w:rsidRPr="00664E8C">
        <w:rPr>
          <w:rFonts w:cs="Times New Roman"/>
          <w:b/>
        </w:rPr>
        <w:t>v roku 2024 bude vláda plniť odporúčanie Rady EÚ ohľadom rastu výdavkového agregátu.</w:t>
      </w:r>
      <w:bookmarkEnd w:id="168"/>
      <w:r w:rsidRPr="00B466B3">
        <w:rPr>
          <w:rFonts w:cs="Times New Roman"/>
        </w:rPr>
        <w:t xml:space="preserve"> S cieľom zjednodušiť platné fiškálne pravidlá </w:t>
      </w:r>
      <w:r>
        <w:rPr>
          <w:rFonts w:cs="Times New Roman"/>
        </w:rPr>
        <w:t>vláda</w:t>
      </w:r>
      <w:r w:rsidRPr="00B466B3">
        <w:rPr>
          <w:rFonts w:cs="Times New Roman"/>
        </w:rPr>
        <w:t xml:space="preserve"> pristúpi k zosúladeniu limitov verejných výdavkov s novými fiškálnymi pravidlami EÚ od roku 2025. </w:t>
      </w:r>
      <w:r>
        <w:rPr>
          <w:rFonts w:cs="Times New Roman"/>
        </w:rPr>
        <w:t>Ponechanie národných výdavkových limitov spolu s tými európskymi</w:t>
      </w:r>
      <w:r w:rsidRPr="00B466B3">
        <w:rPr>
          <w:rFonts w:cs="Times New Roman"/>
        </w:rPr>
        <w:t xml:space="preserve"> by spôsoboval</w:t>
      </w:r>
      <w:r>
        <w:rPr>
          <w:rFonts w:cs="Times New Roman"/>
        </w:rPr>
        <w:t>o</w:t>
      </w:r>
      <w:r w:rsidRPr="00B466B3">
        <w:rPr>
          <w:rFonts w:cs="Times New Roman"/>
        </w:rPr>
        <w:t xml:space="preserve"> komplikované riadenie verejných financií</w:t>
      </w:r>
      <w:r>
        <w:rPr>
          <w:rFonts w:cs="Times New Roman"/>
        </w:rPr>
        <w:t xml:space="preserve">. </w:t>
      </w:r>
      <w:r w:rsidRPr="00B466B3">
        <w:rPr>
          <w:rFonts w:cs="Times New Roman"/>
        </w:rPr>
        <w:t xml:space="preserve">Nové fiškálne pravidlá by mali byť schválené Európskym parlamentom na jar tohto roku. </w:t>
      </w:r>
      <w:r>
        <w:rPr>
          <w:rFonts w:cs="Times New Roman"/>
        </w:rPr>
        <w:t xml:space="preserve">Zároveň </w:t>
      </w:r>
      <w:r>
        <w:rPr>
          <w:rFonts w:cs="Times New Roman"/>
        </w:rPr>
        <w:lastRenderedPageBreak/>
        <w:t>sa vláda legislatívne zaviaže k splneniu špecifického odporúčania Rady ohľadom rastu národne financovaných čistých primárnych výdavkov</w:t>
      </w:r>
      <w:r>
        <w:rPr>
          <w:rStyle w:val="Odkaznapoznmkupodiarou"/>
          <w:rFonts w:cs="Times New Roman"/>
        </w:rPr>
        <w:footnoteReference w:id="46"/>
      </w:r>
      <w:r>
        <w:rPr>
          <w:rFonts w:cs="Times New Roman"/>
        </w:rPr>
        <w:t xml:space="preserve"> na rok 2024. Na tento účel bude určený limit výdavkov aj na rok 2024.</w:t>
      </w:r>
    </w:p>
    <w:p w14:paraId="1B6F1A2B" w14:textId="77777777" w:rsidR="00885665" w:rsidRPr="00B466B3" w:rsidRDefault="00885665" w:rsidP="009A2A34">
      <w:pPr>
        <w:jc w:val="both"/>
        <w:rPr>
          <w:rFonts w:cs="Times New Roman"/>
        </w:rPr>
      </w:pPr>
    </w:p>
    <w:p w14:paraId="5443E678" w14:textId="104B9214" w:rsidR="009A2A34" w:rsidRDefault="009A2A34" w:rsidP="009A2A34">
      <w:pPr>
        <w:jc w:val="both"/>
        <w:rPr>
          <w:rFonts w:cs="Times New Roman"/>
          <w:szCs w:val="20"/>
        </w:rPr>
      </w:pPr>
      <w:r w:rsidRPr="00B466B3">
        <w:rPr>
          <w:rFonts w:cs="Times New Roman"/>
          <w:b/>
          <w:szCs w:val="20"/>
        </w:rPr>
        <w:t>Vláda SR sa vo svojom programovom vyhlásení prihlásila k snahe o zmenu dlhovej brzdy s cieľom úpravy sankčných mechanizmov a efektívnejšieho riadenia likvidity.</w:t>
      </w:r>
      <w:r w:rsidRPr="00B466B3">
        <w:rPr>
          <w:rFonts w:cs="Times New Roman"/>
          <w:szCs w:val="20"/>
        </w:rPr>
        <w:t xml:space="preserve"> </w:t>
      </w:r>
      <w:r>
        <w:rPr>
          <w:rFonts w:cs="Times New Roman"/>
          <w:szCs w:val="20"/>
        </w:rPr>
        <w:t>Súčasné nastavenie dlhovej brzdy môže viesť k prílišnej procyklickej fiškálnej politike</w:t>
      </w:r>
      <w:r>
        <w:rPr>
          <w:rStyle w:val="Odkaznapoznmkupodiarou"/>
          <w:rFonts w:cs="Times New Roman"/>
          <w:szCs w:val="20"/>
        </w:rPr>
        <w:footnoteReference w:id="47"/>
      </w:r>
      <w:r w:rsidRPr="00B466B3">
        <w:rPr>
          <w:rFonts w:cs="Times New Roman"/>
          <w:szCs w:val="20"/>
        </w:rPr>
        <w:t xml:space="preserve">, </w:t>
      </w:r>
      <w:r>
        <w:rPr>
          <w:rFonts w:cs="Times New Roman"/>
          <w:szCs w:val="20"/>
        </w:rPr>
        <w:t xml:space="preserve">preto </w:t>
      </w:r>
      <w:r w:rsidRPr="00B466B3">
        <w:rPr>
          <w:rFonts w:cs="Times New Roman"/>
          <w:szCs w:val="20"/>
        </w:rPr>
        <w:t>sa vláda bude snažiť o úpravu ústavného zákona o rozpočtovej zodpovednosti. V rámci úpravy zákona vláda zváži aj zmenu sankčných pásiem dlhovej brzdy zohľadňujúc 10 rokov skúseností s jej fungovaním. Sankčné pásma by nemali vychádzať z hrubého dlhu verejnej správy, ale z čistého dlhu. Táto úprava cieli umožnenie efektívnejšieho riadenia likvidity sektora verejnej správy.</w:t>
      </w:r>
    </w:p>
    <w:p w14:paraId="3E2FD46B" w14:textId="77777777" w:rsidR="00885665" w:rsidRPr="00B466B3" w:rsidRDefault="00885665" w:rsidP="009A2A34">
      <w:pPr>
        <w:jc w:val="both"/>
        <w:rPr>
          <w:rFonts w:cs="Times New Roman"/>
          <w:szCs w:val="20"/>
        </w:rPr>
      </w:pPr>
    </w:p>
    <w:p w14:paraId="4BED715E" w14:textId="5DE11579" w:rsidR="009A2A34" w:rsidRPr="003F39A0" w:rsidRDefault="00A377A8" w:rsidP="009A2A34">
      <w:pPr>
        <w:spacing w:after="120"/>
        <w:jc w:val="both"/>
        <w:rPr>
          <w:rFonts w:eastAsia="Calibri" w:cs="Times New Roman"/>
          <w:bCs/>
        </w:rPr>
      </w:pPr>
      <w:r>
        <w:rPr>
          <w:rFonts w:eastAsia="Calibri" w:cs="Times New Roman"/>
          <w:b/>
          <w:bCs/>
        </w:rPr>
        <w:t>Od roku 2021</w:t>
      </w:r>
      <w:r w:rsidR="009A2A34" w:rsidRPr="1E238605">
        <w:rPr>
          <w:rFonts w:eastAsia="Calibri" w:cs="Times New Roman"/>
          <w:b/>
          <w:bCs/>
        </w:rPr>
        <w:t xml:space="preserve"> </w:t>
      </w:r>
      <w:r>
        <w:rPr>
          <w:rFonts w:eastAsia="Calibri" w:cs="Times New Roman"/>
          <w:b/>
          <w:bCs/>
        </w:rPr>
        <w:t>pracuje mini</w:t>
      </w:r>
      <w:r w:rsidR="009A2A34" w:rsidRPr="1E238605">
        <w:rPr>
          <w:rFonts w:eastAsia="Calibri" w:cs="Times New Roman"/>
          <w:b/>
          <w:bCs/>
        </w:rPr>
        <w:t>s</w:t>
      </w:r>
      <w:r>
        <w:rPr>
          <w:rFonts w:eastAsia="Calibri" w:cs="Times New Roman"/>
          <w:b/>
          <w:bCs/>
        </w:rPr>
        <w:t>terstvo</w:t>
      </w:r>
      <w:r w:rsidR="009A2A34" w:rsidRPr="1E238605">
        <w:rPr>
          <w:rFonts w:eastAsia="Calibri" w:cs="Times New Roman"/>
          <w:b/>
          <w:bCs/>
        </w:rPr>
        <w:t xml:space="preserve"> </w:t>
      </w:r>
      <w:r>
        <w:rPr>
          <w:rFonts w:eastAsia="Calibri" w:cs="Times New Roman"/>
          <w:b/>
          <w:bCs/>
        </w:rPr>
        <w:t>financií na</w:t>
      </w:r>
      <w:r w:rsidR="009A2A34" w:rsidRPr="1E238605">
        <w:rPr>
          <w:rFonts w:eastAsia="Calibri" w:cs="Times New Roman"/>
          <w:b/>
          <w:bCs/>
        </w:rPr>
        <w:t xml:space="preserve"> zv</w:t>
      </w:r>
      <w:r>
        <w:rPr>
          <w:rFonts w:eastAsia="Calibri" w:cs="Times New Roman"/>
          <w:b/>
          <w:bCs/>
        </w:rPr>
        <w:t>yšovaní</w:t>
      </w:r>
      <w:r w:rsidR="009A2A34" w:rsidRPr="1E238605">
        <w:rPr>
          <w:rFonts w:eastAsia="Calibri" w:cs="Times New Roman"/>
          <w:b/>
          <w:bCs/>
        </w:rPr>
        <w:t xml:space="preserve"> ekonomick</w:t>
      </w:r>
      <w:r>
        <w:rPr>
          <w:rFonts w:eastAsia="Calibri" w:cs="Times New Roman"/>
          <w:b/>
          <w:bCs/>
        </w:rPr>
        <w:t>ej</w:t>
      </w:r>
      <w:r w:rsidR="009A2A34" w:rsidRPr="1E238605">
        <w:rPr>
          <w:rFonts w:eastAsia="Calibri" w:cs="Times New Roman"/>
          <w:b/>
          <w:bCs/>
        </w:rPr>
        <w:t xml:space="preserve"> hodnot</w:t>
      </w:r>
      <w:r>
        <w:rPr>
          <w:rFonts w:eastAsia="Calibri" w:cs="Times New Roman"/>
          <w:b/>
          <w:bCs/>
        </w:rPr>
        <w:t>y</w:t>
      </w:r>
      <w:r w:rsidR="009A2A34" w:rsidRPr="1E238605">
        <w:rPr>
          <w:rFonts w:eastAsia="Calibri" w:cs="Times New Roman"/>
          <w:b/>
          <w:bCs/>
        </w:rPr>
        <w:t xml:space="preserve"> novo-realizovaných investičných projektov</w:t>
      </w:r>
      <w:r>
        <w:rPr>
          <w:rFonts w:eastAsia="Calibri" w:cs="Times New Roman"/>
          <w:b/>
          <w:bCs/>
        </w:rPr>
        <w:t xml:space="preserve">. </w:t>
      </w:r>
      <w:r w:rsidR="009A2A34" w:rsidRPr="1E238605">
        <w:rPr>
          <w:rFonts w:eastAsia="Calibri" w:cs="Times New Roman"/>
        </w:rPr>
        <w:t xml:space="preserve">Hlavnými </w:t>
      </w:r>
      <w:r>
        <w:rPr>
          <w:rFonts w:eastAsia="Calibri" w:cs="Times New Roman"/>
        </w:rPr>
        <w:t>aktivitami</w:t>
      </w:r>
      <w:r w:rsidR="009A2A34" w:rsidRPr="1E238605">
        <w:rPr>
          <w:rFonts w:eastAsia="Calibri" w:cs="Times New Roman"/>
        </w:rPr>
        <w:t xml:space="preserve"> sú ekonomické hodnotenia projektov pred ich realizáciou a nastavenie priorít a investičných plánov rezortov. V roku 2023 MF SR zhodnotilo 182 projektov s identifikovanou úsporou 525 mil. eur. Hodnotenia za celkovo 9,2 mld. eur priniesli odporúčania smerom k optimalizácií technického riešenia, či zlacneniu projektov. Medián úspory hodnotených projektov je 6 % odhadovaných nákladov. Kapitoly s ročnými investíciami nad 20 mil. eur majú zverejnenú metodiku určenia priorít a investičný plán na minimálne najbližších 5 rokov. Vo vyhodnotení investičných plánov identifikovalo MF SR priestor na zlepšenie najmä v</w:t>
      </w:r>
      <w:r w:rsidR="009A2A34" w:rsidRPr="1E238605">
        <w:rPr>
          <w:rFonts w:ascii="Arial" w:eastAsia="Calibri" w:hAnsi="Arial" w:cs="Arial"/>
        </w:rPr>
        <w:t> </w:t>
      </w:r>
      <w:r w:rsidR="009A2A34" w:rsidRPr="1E238605">
        <w:rPr>
          <w:rFonts w:eastAsia="Calibri" w:cs="Times New Roman"/>
        </w:rPr>
        <w:t>zre</w:t>
      </w:r>
      <w:r w:rsidR="009A2A34" w:rsidRPr="1E238605">
        <w:rPr>
          <w:rFonts w:eastAsia="Calibri" w:cs="Arial Narrow"/>
        </w:rPr>
        <w:t>á</w:t>
      </w:r>
      <w:r w:rsidR="009A2A34" w:rsidRPr="1E238605">
        <w:rPr>
          <w:rFonts w:eastAsia="Calibri" w:cs="Times New Roman"/>
        </w:rPr>
        <w:t>lnen</w:t>
      </w:r>
      <w:r w:rsidR="009A2A34" w:rsidRPr="1E238605">
        <w:rPr>
          <w:rFonts w:eastAsia="Calibri" w:cs="Arial Narrow"/>
        </w:rPr>
        <w:t>í</w:t>
      </w:r>
      <w:r w:rsidR="009A2A34" w:rsidRPr="1E238605">
        <w:rPr>
          <w:rFonts w:eastAsia="Calibri" w:cs="Times New Roman"/>
        </w:rPr>
        <w:t xml:space="preserve"> optimistického počtu nových projektov a</w:t>
      </w:r>
      <w:r w:rsidR="009A2A34" w:rsidRPr="1E238605">
        <w:rPr>
          <w:rFonts w:ascii="Arial" w:eastAsia="Calibri" w:hAnsi="Arial" w:cs="Arial"/>
        </w:rPr>
        <w:t> </w:t>
      </w:r>
      <w:r w:rsidR="009A2A34" w:rsidRPr="1E238605">
        <w:rPr>
          <w:rFonts w:eastAsia="Calibri" w:cs="Times New Roman"/>
        </w:rPr>
        <w:t>alok</w:t>
      </w:r>
      <w:r w:rsidR="009A2A34" w:rsidRPr="1E238605">
        <w:rPr>
          <w:rFonts w:eastAsia="Calibri" w:cs="Arial Narrow"/>
        </w:rPr>
        <w:t>á</w:t>
      </w:r>
      <w:r w:rsidR="009A2A34" w:rsidRPr="1E238605">
        <w:rPr>
          <w:rFonts w:eastAsia="Calibri" w:cs="Times New Roman"/>
        </w:rPr>
        <w:t>cii financi</w:t>
      </w:r>
      <w:r w:rsidR="009A2A34" w:rsidRPr="1E238605">
        <w:rPr>
          <w:rFonts w:eastAsia="Calibri" w:cs="Arial Narrow"/>
        </w:rPr>
        <w:t>í</w:t>
      </w:r>
      <w:r w:rsidR="009A2A34" w:rsidRPr="1E238605">
        <w:rPr>
          <w:rFonts w:eastAsia="Calibri" w:cs="Times New Roman"/>
        </w:rPr>
        <w:t xml:space="preserve"> na deklarovan</w:t>
      </w:r>
      <w:r w:rsidR="009A2A34" w:rsidRPr="1E238605">
        <w:rPr>
          <w:rFonts w:eastAsia="Calibri" w:cs="Arial Narrow"/>
        </w:rPr>
        <w:t>é</w:t>
      </w:r>
      <w:r w:rsidR="009A2A34" w:rsidRPr="1E238605">
        <w:rPr>
          <w:rFonts w:eastAsia="Calibri" w:cs="Times New Roman"/>
        </w:rPr>
        <w:t xml:space="preserve"> priority. </w:t>
      </w:r>
    </w:p>
    <w:p w14:paraId="6F2312F0" w14:textId="77777777" w:rsidR="009A2A34" w:rsidRDefault="009A2A34" w:rsidP="009A2A34">
      <w:pPr>
        <w:jc w:val="both"/>
      </w:pPr>
    </w:p>
    <w:p w14:paraId="2F9A81B1" w14:textId="77777777" w:rsidR="009A2A34" w:rsidRPr="00B466B3" w:rsidRDefault="009A2A34" w:rsidP="009A2A34"/>
    <w:p w14:paraId="556E2A8E" w14:textId="77777777" w:rsidR="009A2A34" w:rsidRDefault="009A2A34" w:rsidP="009A2A34">
      <w:pPr>
        <w:jc w:val="both"/>
        <w:rPr>
          <w:rFonts w:cs="Arial"/>
          <w:i/>
        </w:rPr>
      </w:pPr>
    </w:p>
    <w:p w14:paraId="7E637FD2" w14:textId="77777777" w:rsidR="009A2A34" w:rsidRDefault="009A2A34" w:rsidP="009A2A34">
      <w:pPr>
        <w:jc w:val="both"/>
        <w:rPr>
          <w:rFonts w:cs="Arial"/>
          <w:i/>
        </w:rPr>
      </w:pPr>
    </w:p>
    <w:p w14:paraId="4A2B8D41" w14:textId="77777777" w:rsidR="009A2A34" w:rsidRDefault="009A2A34" w:rsidP="009A2A34">
      <w:pPr>
        <w:jc w:val="both"/>
        <w:rPr>
          <w:rFonts w:cs="Arial"/>
          <w:i/>
        </w:rPr>
      </w:pPr>
    </w:p>
    <w:p w14:paraId="03D6DB19" w14:textId="77777777" w:rsidR="009A2A34" w:rsidRDefault="009A2A34" w:rsidP="009A2A34">
      <w:pPr>
        <w:jc w:val="both"/>
        <w:rPr>
          <w:rFonts w:cs="Arial"/>
          <w:i/>
        </w:rPr>
      </w:pPr>
    </w:p>
    <w:p w14:paraId="649FF172" w14:textId="77777777" w:rsidR="009A2A34" w:rsidRPr="005F01E2" w:rsidRDefault="009A2A34" w:rsidP="009A2A34">
      <w:pPr>
        <w:jc w:val="both"/>
        <w:rPr>
          <w:rFonts w:cs="Arial"/>
          <w:i/>
        </w:rPr>
      </w:pPr>
    </w:p>
    <w:p w14:paraId="66FE986D" w14:textId="77777777" w:rsidR="009A2A34" w:rsidRDefault="009A2A34" w:rsidP="009A2A34">
      <w:pPr>
        <w:jc w:val="both"/>
        <w:rPr>
          <w:rFonts w:cs="Arial"/>
          <w:i/>
          <w:iCs/>
        </w:rPr>
      </w:pPr>
    </w:p>
    <w:p w14:paraId="502A6AA8" w14:textId="77777777" w:rsidR="009A2A34" w:rsidRPr="009A4643" w:rsidRDefault="009A2A34" w:rsidP="009A2A34">
      <w:pPr>
        <w:jc w:val="both"/>
        <w:rPr>
          <w:rFonts w:cs="Arial"/>
          <w:i/>
        </w:rPr>
      </w:pPr>
    </w:p>
    <w:p w14:paraId="064A9FCD" w14:textId="77777777" w:rsidR="009A2A34" w:rsidRDefault="009A2A34" w:rsidP="009A2A34"/>
    <w:p w14:paraId="4CE1D01B" w14:textId="0718A06C" w:rsidR="009A2A34" w:rsidRDefault="009A2A34">
      <w:r>
        <w:br w:type="page"/>
      </w:r>
    </w:p>
    <w:p w14:paraId="4280981A" w14:textId="0006F3EA" w:rsidR="000A33E7" w:rsidRPr="00521479" w:rsidRDefault="000A33E7" w:rsidP="000A33E7">
      <w:pPr>
        <w:pStyle w:val="Nadpis1"/>
        <w:spacing w:before="240" w:after="240"/>
        <w:rPr>
          <w:szCs w:val="28"/>
        </w:rPr>
      </w:pPr>
      <w:bookmarkStart w:id="169" w:name="_Toc40181057"/>
      <w:bookmarkStart w:id="170" w:name="_Toc164684490"/>
      <w:r w:rsidRPr="00427BB1">
        <w:rPr>
          <w:szCs w:val="28"/>
        </w:rPr>
        <w:lastRenderedPageBreak/>
        <w:t>PRÍLOHY</w:t>
      </w:r>
      <w:bookmarkEnd w:id="169"/>
      <w:bookmarkEnd w:id="170"/>
      <w:r w:rsidR="0078069E" w:rsidRPr="00427BB1">
        <w:rPr>
          <w:szCs w:val="28"/>
        </w:rPr>
        <w:t xml:space="preserve"> </w:t>
      </w:r>
    </w:p>
    <w:p w14:paraId="54FD15A2" w14:textId="77777777" w:rsidR="000F6636" w:rsidRPr="00C32637" w:rsidRDefault="000F6636" w:rsidP="000F6636">
      <w:pPr>
        <w:rPr>
          <w:b/>
          <w:color w:val="2C9ADC"/>
          <w:sz w:val="24"/>
          <w:szCs w:val="24"/>
        </w:rPr>
      </w:pPr>
      <w:bookmarkStart w:id="171" w:name="_Toc53422707"/>
      <w:bookmarkStart w:id="172" w:name="_Toc85097450"/>
      <w:bookmarkStart w:id="173" w:name="_Toc85100726"/>
      <w:bookmarkStart w:id="174" w:name="_Toc85101835"/>
      <w:bookmarkStart w:id="175" w:name="_Toc85887867"/>
      <w:r w:rsidRPr="00C32637">
        <w:rPr>
          <w:b/>
          <w:color w:val="2C9ADC"/>
          <w:sz w:val="24"/>
          <w:szCs w:val="24"/>
        </w:rPr>
        <w:t>Príloha 1 – Porovnanie s </w:t>
      </w:r>
      <w:bookmarkEnd w:id="171"/>
      <w:bookmarkEnd w:id="172"/>
      <w:bookmarkEnd w:id="173"/>
      <w:bookmarkEnd w:id="174"/>
      <w:bookmarkEnd w:id="175"/>
      <w:r w:rsidRPr="00C32637">
        <w:rPr>
          <w:b/>
          <w:color w:val="2C9ADC"/>
          <w:sz w:val="24"/>
          <w:szCs w:val="24"/>
        </w:rPr>
        <w:t>Návrhom rozpočtového plánu</w:t>
      </w:r>
    </w:p>
    <w:p w14:paraId="0C33C49E" w14:textId="77777777" w:rsidR="000F6636" w:rsidRPr="007C2DC9" w:rsidRDefault="000F6636" w:rsidP="000F6636">
      <w:pPr>
        <w:spacing w:before="120" w:after="120" w:line="276" w:lineRule="auto"/>
        <w:jc w:val="both"/>
        <w:rPr>
          <w:highlight w:val="yellow"/>
        </w:rPr>
      </w:pPr>
      <w:r w:rsidRPr="008E295D">
        <w:rPr>
          <w:b/>
        </w:rPr>
        <w:t>Program stability očakáva v porovnaní s Návrhom rozpočtového plánu slabší výkon ekonomiky v roku 2024, čo sa prejavuje v horších domácich aj zahraničných indikátoroch.</w:t>
      </w:r>
      <w:r w:rsidRPr="008E295D">
        <w:rPr>
          <w:bCs/>
        </w:rPr>
        <w:t xml:space="preserve"> Makroekonomická prognóza z novembra 2023, na základe ktorej bol zostavený Návrh rozpočtového plánu na roky 2024 až 2027, predpokladala rast reálneho HDP na úrovni 2,7 % v roku 2024 a 2,8 % v roku 2025. Aktuálna prognóza z mimoriadneho zasadnutia Výboru pre makroekonomické prognózy z marca 2024 znižuje dynamiku v roku 2024 o 0,7 p.</w:t>
      </w:r>
      <w:r>
        <w:rPr>
          <w:bCs/>
        </w:rPr>
        <w:t xml:space="preserve"> </w:t>
      </w:r>
      <w:r w:rsidRPr="008E295D">
        <w:rPr>
          <w:bCs/>
        </w:rPr>
        <w:t>b. a len mierne navyšuje výkon ekonomiku v 2025. Slabší výkon ekonomiky odráža vyššie šetrenie domácností v podmienkach vyššej inflácie a tiež slabší výkon zahraničných obchodných partnerov.</w:t>
      </w:r>
    </w:p>
    <w:tbl>
      <w:tblPr>
        <w:tblW w:w="9090" w:type="dxa"/>
        <w:jc w:val="center"/>
        <w:tblLayout w:type="fixed"/>
        <w:tblCellMar>
          <w:left w:w="70" w:type="dxa"/>
          <w:right w:w="70" w:type="dxa"/>
        </w:tblCellMar>
        <w:tblLook w:val="04A0" w:firstRow="1" w:lastRow="0" w:firstColumn="1" w:lastColumn="0" w:noHBand="0" w:noVBand="1"/>
      </w:tblPr>
      <w:tblGrid>
        <w:gridCol w:w="426"/>
        <w:gridCol w:w="3076"/>
        <w:gridCol w:w="609"/>
        <w:gridCol w:w="64"/>
        <w:gridCol w:w="648"/>
        <w:gridCol w:w="552"/>
        <w:gridCol w:w="25"/>
        <w:gridCol w:w="494"/>
        <w:gridCol w:w="33"/>
        <w:gridCol w:w="376"/>
        <w:gridCol w:w="130"/>
        <w:gridCol w:w="21"/>
        <w:gridCol w:w="510"/>
        <w:gridCol w:w="267"/>
        <w:gridCol w:w="277"/>
        <w:gridCol w:w="45"/>
        <w:gridCol w:w="482"/>
        <w:gridCol w:w="124"/>
        <w:gridCol w:w="403"/>
        <w:gridCol w:w="528"/>
      </w:tblGrid>
      <w:tr w:rsidR="000F6636" w:rsidRPr="008E295D" w14:paraId="65406F95" w14:textId="77777777" w:rsidTr="00484DB0">
        <w:trPr>
          <w:trHeight w:val="336"/>
          <w:jc w:val="center"/>
        </w:trPr>
        <w:tc>
          <w:tcPr>
            <w:tcW w:w="9090" w:type="dxa"/>
            <w:gridSpan w:val="20"/>
            <w:tcBorders>
              <w:top w:val="nil"/>
              <w:left w:val="nil"/>
              <w:bottom w:val="single" w:sz="4" w:space="0" w:color="auto"/>
              <w:right w:val="nil"/>
            </w:tcBorders>
            <w:shd w:val="clear" w:color="auto" w:fill="auto"/>
            <w:noWrap/>
            <w:vAlign w:val="center"/>
            <w:hideMark/>
          </w:tcPr>
          <w:p w14:paraId="390A8FEE" w14:textId="260F4E6C" w:rsidR="000F6636" w:rsidRPr="008E295D" w:rsidRDefault="000F6636" w:rsidP="00484DB0">
            <w:pPr>
              <w:pStyle w:val="Tabuka"/>
            </w:pPr>
            <w:bookmarkStart w:id="176" w:name="_Toc53500230"/>
            <w:bookmarkStart w:id="177" w:name="_Toc85887942"/>
            <w:bookmarkStart w:id="178" w:name="_Toc117765231"/>
            <w:bookmarkStart w:id="179" w:name="_Toc153185516"/>
            <w:bookmarkStart w:id="180" w:name="_Toc164684556"/>
            <w:r w:rsidRPr="008E295D">
              <w:t xml:space="preserve">TABUĽKA </w:t>
            </w:r>
            <w:fldSimple w:instr=" SEQ TABUĽKA \* ARABIC ">
              <w:r w:rsidR="007435E9">
                <w:rPr>
                  <w:noProof/>
                </w:rPr>
                <w:t>7</w:t>
              </w:r>
            </w:fldSimple>
            <w:r w:rsidRPr="008E295D">
              <w:t xml:space="preserve"> – Prognóza vybraných indikátorov vývoja ekonomiky SR</w:t>
            </w:r>
            <w:bookmarkEnd w:id="176"/>
            <w:bookmarkEnd w:id="177"/>
            <w:bookmarkEnd w:id="178"/>
            <w:bookmarkEnd w:id="179"/>
            <w:bookmarkEnd w:id="180"/>
          </w:p>
        </w:tc>
      </w:tr>
      <w:tr w:rsidR="000F6636" w:rsidRPr="008E295D" w14:paraId="484D8F43" w14:textId="77777777" w:rsidTr="00484DB0">
        <w:trPr>
          <w:trHeight w:val="343"/>
          <w:jc w:val="center"/>
        </w:trPr>
        <w:tc>
          <w:tcPr>
            <w:tcW w:w="426" w:type="dxa"/>
            <w:tcBorders>
              <w:top w:val="single" w:sz="4" w:space="0" w:color="auto"/>
              <w:left w:val="nil"/>
              <w:bottom w:val="nil"/>
              <w:right w:val="nil"/>
            </w:tcBorders>
            <w:shd w:val="clear" w:color="auto" w:fill="auto"/>
            <w:noWrap/>
            <w:vAlign w:val="center"/>
            <w:hideMark/>
          </w:tcPr>
          <w:p w14:paraId="740583F6" w14:textId="77777777" w:rsidR="000F6636" w:rsidRPr="008E295D" w:rsidRDefault="000F6636" w:rsidP="00484DB0">
            <w:pPr>
              <w:rPr>
                <w:rFonts w:cs="Times New Roman"/>
                <w:b/>
                <w:bCs/>
                <w:color w:val="000000"/>
                <w:sz w:val="18"/>
                <w:szCs w:val="18"/>
              </w:rPr>
            </w:pPr>
            <w:r w:rsidRPr="008E295D">
              <w:rPr>
                <w:rFonts w:cs="Times New Roman"/>
                <w:b/>
                <w:bCs/>
                <w:color w:val="000000"/>
                <w:sz w:val="18"/>
                <w:szCs w:val="18"/>
              </w:rPr>
              <w:t>P.č.</w:t>
            </w:r>
          </w:p>
        </w:tc>
        <w:tc>
          <w:tcPr>
            <w:tcW w:w="3685" w:type="dxa"/>
            <w:gridSpan w:val="2"/>
            <w:tcBorders>
              <w:top w:val="single" w:sz="4" w:space="0" w:color="auto"/>
              <w:left w:val="nil"/>
              <w:bottom w:val="nil"/>
              <w:right w:val="nil"/>
            </w:tcBorders>
            <w:shd w:val="clear" w:color="auto" w:fill="auto"/>
            <w:noWrap/>
            <w:vAlign w:val="center"/>
            <w:hideMark/>
          </w:tcPr>
          <w:p w14:paraId="12A47698" w14:textId="77777777" w:rsidR="000F6636" w:rsidRPr="008E295D" w:rsidRDefault="000F6636" w:rsidP="00484DB0">
            <w:pPr>
              <w:rPr>
                <w:rFonts w:cs="Times New Roman"/>
                <w:b/>
                <w:bCs/>
                <w:color w:val="000000"/>
                <w:sz w:val="18"/>
                <w:szCs w:val="18"/>
              </w:rPr>
            </w:pPr>
            <w:r w:rsidRPr="008E295D">
              <w:rPr>
                <w:rFonts w:cs="Times New Roman"/>
                <w:b/>
                <w:bCs/>
                <w:color w:val="000000"/>
                <w:sz w:val="18"/>
                <w:szCs w:val="18"/>
              </w:rPr>
              <w:t>Ukazovateľ</w:t>
            </w:r>
          </w:p>
        </w:tc>
        <w:tc>
          <w:tcPr>
            <w:tcW w:w="712" w:type="dxa"/>
            <w:gridSpan w:val="2"/>
            <w:tcBorders>
              <w:top w:val="single" w:sz="4" w:space="0" w:color="auto"/>
              <w:left w:val="nil"/>
              <w:bottom w:val="nil"/>
              <w:right w:val="nil"/>
            </w:tcBorders>
            <w:shd w:val="clear" w:color="auto" w:fill="auto"/>
            <w:noWrap/>
            <w:vAlign w:val="center"/>
            <w:hideMark/>
          </w:tcPr>
          <w:p w14:paraId="4A66735E" w14:textId="77777777" w:rsidR="000F6636" w:rsidRPr="008E295D" w:rsidRDefault="000F6636" w:rsidP="00484DB0">
            <w:pPr>
              <w:rPr>
                <w:rFonts w:cs="Times New Roman"/>
                <w:b/>
                <w:bCs/>
                <w:color w:val="000000"/>
                <w:sz w:val="18"/>
                <w:szCs w:val="18"/>
              </w:rPr>
            </w:pPr>
          </w:p>
        </w:tc>
        <w:tc>
          <w:tcPr>
            <w:tcW w:w="2141" w:type="dxa"/>
            <w:gridSpan w:val="8"/>
            <w:tcBorders>
              <w:top w:val="single" w:sz="4" w:space="0" w:color="auto"/>
              <w:left w:val="single" w:sz="4" w:space="0" w:color="auto"/>
              <w:bottom w:val="nil"/>
              <w:right w:val="single" w:sz="4" w:space="0" w:color="000000"/>
            </w:tcBorders>
            <w:shd w:val="clear" w:color="auto" w:fill="auto"/>
            <w:noWrap/>
            <w:vAlign w:val="center"/>
            <w:hideMark/>
          </w:tcPr>
          <w:p w14:paraId="5764C84B" w14:textId="77777777" w:rsidR="000F6636" w:rsidRPr="008E295D" w:rsidRDefault="000F6636" w:rsidP="00484DB0">
            <w:pPr>
              <w:jc w:val="center"/>
              <w:rPr>
                <w:rFonts w:cs="Times New Roman"/>
                <w:b/>
                <w:bCs/>
                <w:color w:val="000000"/>
                <w:sz w:val="18"/>
                <w:szCs w:val="18"/>
              </w:rPr>
            </w:pPr>
            <w:r w:rsidRPr="008E295D">
              <w:rPr>
                <w:rFonts w:cs="Times New Roman"/>
                <w:b/>
                <w:bCs/>
                <w:color w:val="000000"/>
                <w:sz w:val="18"/>
                <w:szCs w:val="18"/>
              </w:rPr>
              <w:t>Program stability</w:t>
            </w:r>
          </w:p>
        </w:tc>
        <w:tc>
          <w:tcPr>
            <w:tcW w:w="2126" w:type="dxa"/>
            <w:gridSpan w:val="7"/>
            <w:tcBorders>
              <w:top w:val="single" w:sz="4" w:space="0" w:color="auto"/>
              <w:left w:val="nil"/>
              <w:bottom w:val="nil"/>
              <w:right w:val="nil"/>
            </w:tcBorders>
            <w:shd w:val="clear" w:color="auto" w:fill="auto"/>
            <w:noWrap/>
            <w:vAlign w:val="center"/>
            <w:hideMark/>
          </w:tcPr>
          <w:p w14:paraId="5064DBB5" w14:textId="77777777" w:rsidR="000F6636" w:rsidRPr="008E295D" w:rsidRDefault="000F6636" w:rsidP="00484DB0">
            <w:pPr>
              <w:jc w:val="center"/>
              <w:rPr>
                <w:rFonts w:cs="Times New Roman"/>
                <w:b/>
                <w:bCs/>
                <w:color w:val="000000"/>
                <w:sz w:val="18"/>
                <w:szCs w:val="18"/>
              </w:rPr>
            </w:pPr>
            <w:r w:rsidRPr="008E295D">
              <w:rPr>
                <w:rFonts w:cs="Times New Roman"/>
                <w:b/>
                <w:bCs/>
                <w:color w:val="000000"/>
                <w:sz w:val="18"/>
                <w:szCs w:val="18"/>
              </w:rPr>
              <w:t>Návrh rozpočtu</w:t>
            </w:r>
          </w:p>
        </w:tc>
      </w:tr>
      <w:tr w:rsidR="000F6636" w:rsidRPr="008E295D" w14:paraId="7266D762" w14:textId="77777777" w:rsidTr="00484DB0">
        <w:trPr>
          <w:trHeight w:val="227"/>
          <w:jc w:val="center"/>
        </w:trPr>
        <w:tc>
          <w:tcPr>
            <w:tcW w:w="426" w:type="dxa"/>
            <w:tcBorders>
              <w:top w:val="single" w:sz="4" w:space="0" w:color="auto"/>
              <w:left w:val="nil"/>
              <w:bottom w:val="single" w:sz="4" w:space="0" w:color="auto"/>
              <w:right w:val="nil"/>
            </w:tcBorders>
            <w:shd w:val="clear" w:color="auto" w:fill="auto"/>
            <w:noWrap/>
            <w:vAlign w:val="center"/>
            <w:hideMark/>
          </w:tcPr>
          <w:p w14:paraId="627DD561" w14:textId="77777777" w:rsidR="000F6636" w:rsidRPr="008E295D" w:rsidRDefault="000F6636" w:rsidP="00484DB0">
            <w:pPr>
              <w:rPr>
                <w:rFonts w:cs="Times New Roman"/>
                <w:b/>
                <w:bCs/>
                <w:color w:val="000000"/>
                <w:sz w:val="16"/>
                <w:szCs w:val="18"/>
              </w:rPr>
            </w:pPr>
            <w:r w:rsidRPr="008E295D">
              <w:rPr>
                <w:rFonts w:cs="Times New Roman"/>
                <w:b/>
                <w:bCs/>
                <w:color w:val="000000"/>
                <w:sz w:val="16"/>
                <w:szCs w:val="18"/>
              </w:rPr>
              <w:t> </w:t>
            </w:r>
          </w:p>
        </w:tc>
        <w:tc>
          <w:tcPr>
            <w:tcW w:w="3685" w:type="dxa"/>
            <w:gridSpan w:val="2"/>
            <w:tcBorders>
              <w:top w:val="single" w:sz="4" w:space="0" w:color="auto"/>
              <w:left w:val="nil"/>
              <w:bottom w:val="single" w:sz="4" w:space="0" w:color="auto"/>
              <w:right w:val="nil"/>
            </w:tcBorders>
            <w:shd w:val="clear" w:color="auto" w:fill="auto"/>
            <w:noWrap/>
            <w:vAlign w:val="center"/>
            <w:hideMark/>
          </w:tcPr>
          <w:p w14:paraId="106FD47D" w14:textId="77777777" w:rsidR="000F6636" w:rsidRPr="008E295D" w:rsidRDefault="000F6636" w:rsidP="00484DB0">
            <w:pPr>
              <w:rPr>
                <w:rFonts w:cs="Times New Roman"/>
                <w:b/>
                <w:bCs/>
                <w:color w:val="000000"/>
                <w:sz w:val="16"/>
                <w:szCs w:val="18"/>
              </w:rPr>
            </w:pPr>
            <w:r w:rsidRPr="008E295D">
              <w:rPr>
                <w:rFonts w:cs="Times New Roman"/>
                <w:b/>
                <w:bCs/>
                <w:color w:val="000000"/>
                <w:sz w:val="16"/>
                <w:szCs w:val="18"/>
              </w:rPr>
              <w:t> </w:t>
            </w:r>
          </w:p>
        </w:tc>
        <w:tc>
          <w:tcPr>
            <w:tcW w:w="712" w:type="dxa"/>
            <w:gridSpan w:val="2"/>
            <w:tcBorders>
              <w:top w:val="single" w:sz="4" w:space="0" w:color="auto"/>
              <w:left w:val="nil"/>
              <w:bottom w:val="single" w:sz="4" w:space="0" w:color="auto"/>
              <w:right w:val="nil"/>
            </w:tcBorders>
            <w:shd w:val="clear" w:color="auto" w:fill="auto"/>
            <w:noWrap/>
            <w:vAlign w:val="center"/>
            <w:hideMark/>
          </w:tcPr>
          <w:p w14:paraId="2D37889E" w14:textId="77777777" w:rsidR="000F6636" w:rsidRPr="008E295D" w:rsidRDefault="000F6636" w:rsidP="00484DB0">
            <w:pPr>
              <w:jc w:val="center"/>
              <w:rPr>
                <w:rFonts w:cs="Times New Roman"/>
                <w:b/>
                <w:bCs/>
                <w:color w:val="000000"/>
                <w:sz w:val="16"/>
                <w:szCs w:val="18"/>
              </w:rPr>
            </w:pPr>
            <w:r w:rsidRPr="008E295D">
              <w:rPr>
                <w:rFonts w:cs="Times New Roman"/>
                <w:b/>
                <w:bCs/>
                <w:color w:val="000000"/>
                <w:sz w:val="16"/>
                <w:szCs w:val="18"/>
              </w:rPr>
              <w:t>m.j.</w:t>
            </w:r>
          </w:p>
        </w:tc>
        <w:tc>
          <w:tcPr>
            <w:tcW w:w="577" w:type="dxa"/>
            <w:gridSpan w:val="2"/>
            <w:tcBorders>
              <w:top w:val="single" w:sz="8" w:space="0" w:color="auto"/>
              <w:left w:val="single" w:sz="8" w:space="0" w:color="auto"/>
              <w:bottom w:val="single" w:sz="8" w:space="0" w:color="auto"/>
              <w:right w:val="nil"/>
            </w:tcBorders>
            <w:shd w:val="clear" w:color="auto" w:fill="auto"/>
            <w:noWrap/>
            <w:vAlign w:val="center"/>
            <w:hideMark/>
          </w:tcPr>
          <w:p w14:paraId="4680DAA2"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2024</w:t>
            </w:r>
          </w:p>
        </w:tc>
        <w:tc>
          <w:tcPr>
            <w:tcW w:w="527" w:type="dxa"/>
            <w:gridSpan w:val="2"/>
            <w:tcBorders>
              <w:top w:val="single" w:sz="8" w:space="0" w:color="auto"/>
              <w:left w:val="nil"/>
              <w:bottom w:val="single" w:sz="8" w:space="0" w:color="auto"/>
              <w:right w:val="nil"/>
            </w:tcBorders>
            <w:shd w:val="clear" w:color="auto" w:fill="auto"/>
            <w:noWrap/>
            <w:vAlign w:val="center"/>
            <w:hideMark/>
          </w:tcPr>
          <w:p w14:paraId="58504C65"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2025</w:t>
            </w:r>
          </w:p>
        </w:tc>
        <w:tc>
          <w:tcPr>
            <w:tcW w:w="527" w:type="dxa"/>
            <w:gridSpan w:val="3"/>
            <w:tcBorders>
              <w:top w:val="single" w:sz="8" w:space="0" w:color="auto"/>
              <w:left w:val="nil"/>
              <w:bottom w:val="single" w:sz="8" w:space="0" w:color="auto"/>
              <w:right w:val="nil"/>
            </w:tcBorders>
            <w:shd w:val="clear" w:color="auto" w:fill="auto"/>
            <w:noWrap/>
            <w:vAlign w:val="center"/>
            <w:hideMark/>
          </w:tcPr>
          <w:p w14:paraId="1B8FACD7"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2026</w:t>
            </w:r>
          </w:p>
        </w:tc>
        <w:tc>
          <w:tcPr>
            <w:tcW w:w="510" w:type="dxa"/>
            <w:tcBorders>
              <w:top w:val="single" w:sz="8" w:space="0" w:color="auto"/>
              <w:left w:val="nil"/>
              <w:bottom w:val="single" w:sz="8" w:space="0" w:color="auto"/>
              <w:right w:val="single" w:sz="8" w:space="0" w:color="auto"/>
            </w:tcBorders>
            <w:shd w:val="clear" w:color="auto" w:fill="auto"/>
            <w:noWrap/>
            <w:vAlign w:val="center"/>
            <w:hideMark/>
          </w:tcPr>
          <w:p w14:paraId="71E66807"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2027</w:t>
            </w:r>
          </w:p>
        </w:tc>
        <w:tc>
          <w:tcPr>
            <w:tcW w:w="544" w:type="dxa"/>
            <w:gridSpan w:val="2"/>
            <w:tcBorders>
              <w:top w:val="single" w:sz="8" w:space="0" w:color="auto"/>
              <w:left w:val="nil"/>
              <w:bottom w:val="single" w:sz="8" w:space="0" w:color="auto"/>
              <w:right w:val="nil"/>
            </w:tcBorders>
            <w:shd w:val="clear" w:color="auto" w:fill="auto"/>
            <w:vAlign w:val="center"/>
            <w:hideMark/>
          </w:tcPr>
          <w:p w14:paraId="2F31D007"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2024</w:t>
            </w:r>
          </w:p>
        </w:tc>
        <w:tc>
          <w:tcPr>
            <w:tcW w:w="527" w:type="dxa"/>
            <w:gridSpan w:val="2"/>
            <w:tcBorders>
              <w:top w:val="single" w:sz="8" w:space="0" w:color="auto"/>
              <w:left w:val="nil"/>
              <w:bottom w:val="single" w:sz="8" w:space="0" w:color="auto"/>
              <w:right w:val="nil"/>
            </w:tcBorders>
            <w:shd w:val="clear" w:color="auto" w:fill="auto"/>
            <w:vAlign w:val="center"/>
            <w:hideMark/>
          </w:tcPr>
          <w:p w14:paraId="25065D35"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2025</w:t>
            </w:r>
          </w:p>
        </w:tc>
        <w:tc>
          <w:tcPr>
            <w:tcW w:w="527" w:type="dxa"/>
            <w:gridSpan w:val="2"/>
            <w:tcBorders>
              <w:top w:val="single" w:sz="8" w:space="0" w:color="auto"/>
              <w:left w:val="nil"/>
              <w:bottom w:val="single" w:sz="8" w:space="0" w:color="auto"/>
              <w:right w:val="nil"/>
            </w:tcBorders>
            <w:shd w:val="clear" w:color="auto" w:fill="auto"/>
            <w:vAlign w:val="center"/>
            <w:hideMark/>
          </w:tcPr>
          <w:p w14:paraId="00328ABB"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2026</w:t>
            </w:r>
          </w:p>
        </w:tc>
        <w:tc>
          <w:tcPr>
            <w:tcW w:w="528" w:type="dxa"/>
            <w:tcBorders>
              <w:top w:val="single" w:sz="8" w:space="0" w:color="auto"/>
              <w:left w:val="nil"/>
              <w:bottom w:val="single" w:sz="8" w:space="0" w:color="auto"/>
              <w:right w:val="nil"/>
            </w:tcBorders>
            <w:shd w:val="clear" w:color="auto" w:fill="auto"/>
            <w:vAlign w:val="center"/>
            <w:hideMark/>
          </w:tcPr>
          <w:p w14:paraId="2E00DE8F" w14:textId="77777777" w:rsidR="000F6636" w:rsidRPr="008E295D" w:rsidRDefault="000F6636" w:rsidP="00484DB0">
            <w:pPr>
              <w:contextualSpacing/>
              <w:jc w:val="center"/>
              <w:rPr>
                <w:rFonts w:cs="Calibri"/>
                <w:b/>
                <w:bCs/>
                <w:color w:val="000000"/>
                <w:sz w:val="16"/>
                <w:szCs w:val="16"/>
              </w:rPr>
            </w:pPr>
            <w:r w:rsidRPr="008E295D">
              <w:rPr>
                <w:rFonts w:cs="Calibri"/>
                <w:b/>
                <w:bCs/>
                <w:color w:val="000000"/>
                <w:sz w:val="18"/>
                <w:szCs w:val="18"/>
              </w:rPr>
              <w:t>2027</w:t>
            </w:r>
          </w:p>
        </w:tc>
      </w:tr>
      <w:tr w:rsidR="000F6636" w:rsidRPr="008E295D" w14:paraId="57C7F862"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6E61C51B"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w:t>
            </w:r>
          </w:p>
        </w:tc>
        <w:tc>
          <w:tcPr>
            <w:tcW w:w="3685" w:type="dxa"/>
            <w:gridSpan w:val="2"/>
            <w:tcBorders>
              <w:top w:val="nil"/>
              <w:left w:val="nil"/>
              <w:bottom w:val="nil"/>
              <w:right w:val="nil"/>
            </w:tcBorders>
            <w:shd w:val="clear" w:color="auto" w:fill="auto"/>
            <w:noWrap/>
            <w:vAlign w:val="center"/>
            <w:hideMark/>
          </w:tcPr>
          <w:p w14:paraId="37D39C6A" w14:textId="77777777" w:rsidR="000F6636" w:rsidRPr="008E295D" w:rsidRDefault="000F6636" w:rsidP="00484DB0">
            <w:pPr>
              <w:rPr>
                <w:color w:val="000000"/>
                <w:sz w:val="16"/>
                <w:szCs w:val="18"/>
              </w:rPr>
            </w:pPr>
            <w:r w:rsidRPr="008E295D">
              <w:rPr>
                <w:color w:val="000000"/>
                <w:sz w:val="16"/>
                <w:szCs w:val="18"/>
              </w:rPr>
              <w:t>HDP, bežné ceny</w:t>
            </w:r>
          </w:p>
        </w:tc>
        <w:tc>
          <w:tcPr>
            <w:tcW w:w="712" w:type="dxa"/>
            <w:gridSpan w:val="2"/>
            <w:tcBorders>
              <w:top w:val="nil"/>
              <w:left w:val="nil"/>
              <w:bottom w:val="nil"/>
              <w:right w:val="single" w:sz="4" w:space="0" w:color="auto"/>
            </w:tcBorders>
            <w:shd w:val="clear" w:color="auto" w:fill="auto"/>
            <w:noWrap/>
            <w:vAlign w:val="center"/>
            <w:hideMark/>
          </w:tcPr>
          <w:p w14:paraId="4C244EDF"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mld. eur</w:t>
            </w:r>
          </w:p>
        </w:tc>
        <w:tc>
          <w:tcPr>
            <w:tcW w:w="577" w:type="dxa"/>
            <w:gridSpan w:val="2"/>
            <w:tcBorders>
              <w:top w:val="nil"/>
              <w:left w:val="single" w:sz="8" w:space="0" w:color="auto"/>
              <w:bottom w:val="nil"/>
              <w:right w:val="nil"/>
            </w:tcBorders>
            <w:shd w:val="clear" w:color="auto" w:fill="auto"/>
            <w:noWrap/>
            <w:vAlign w:val="center"/>
            <w:hideMark/>
          </w:tcPr>
          <w:p w14:paraId="27F29BF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131.4</w:t>
            </w:r>
          </w:p>
        </w:tc>
        <w:tc>
          <w:tcPr>
            <w:tcW w:w="527" w:type="dxa"/>
            <w:gridSpan w:val="2"/>
            <w:tcBorders>
              <w:top w:val="nil"/>
              <w:left w:val="nil"/>
              <w:bottom w:val="nil"/>
              <w:right w:val="nil"/>
            </w:tcBorders>
            <w:shd w:val="clear" w:color="auto" w:fill="auto"/>
            <w:noWrap/>
            <w:vAlign w:val="center"/>
            <w:hideMark/>
          </w:tcPr>
          <w:p w14:paraId="21568CE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140.4</w:t>
            </w:r>
          </w:p>
        </w:tc>
        <w:tc>
          <w:tcPr>
            <w:tcW w:w="527" w:type="dxa"/>
            <w:gridSpan w:val="3"/>
            <w:tcBorders>
              <w:top w:val="nil"/>
              <w:left w:val="nil"/>
              <w:bottom w:val="nil"/>
              <w:right w:val="nil"/>
            </w:tcBorders>
            <w:shd w:val="clear" w:color="auto" w:fill="auto"/>
            <w:noWrap/>
            <w:vAlign w:val="center"/>
            <w:hideMark/>
          </w:tcPr>
          <w:p w14:paraId="10694867"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147.0</w:t>
            </w:r>
          </w:p>
        </w:tc>
        <w:tc>
          <w:tcPr>
            <w:tcW w:w="510" w:type="dxa"/>
            <w:tcBorders>
              <w:top w:val="nil"/>
              <w:left w:val="nil"/>
              <w:bottom w:val="nil"/>
              <w:right w:val="single" w:sz="8" w:space="0" w:color="auto"/>
            </w:tcBorders>
            <w:shd w:val="clear" w:color="auto" w:fill="auto"/>
            <w:noWrap/>
            <w:vAlign w:val="center"/>
            <w:hideMark/>
          </w:tcPr>
          <w:p w14:paraId="320B44E7"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152.7</w:t>
            </w:r>
          </w:p>
        </w:tc>
        <w:tc>
          <w:tcPr>
            <w:tcW w:w="544" w:type="dxa"/>
            <w:gridSpan w:val="2"/>
            <w:tcBorders>
              <w:top w:val="nil"/>
              <w:left w:val="single" w:sz="8" w:space="0" w:color="auto"/>
              <w:bottom w:val="nil"/>
              <w:right w:val="nil"/>
            </w:tcBorders>
            <w:shd w:val="clear" w:color="auto" w:fill="auto"/>
            <w:noWrap/>
            <w:vAlign w:val="center"/>
          </w:tcPr>
          <w:p w14:paraId="755F0F35"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131.3</w:t>
            </w:r>
          </w:p>
        </w:tc>
        <w:tc>
          <w:tcPr>
            <w:tcW w:w="527" w:type="dxa"/>
            <w:gridSpan w:val="2"/>
            <w:tcBorders>
              <w:top w:val="nil"/>
              <w:left w:val="nil"/>
              <w:bottom w:val="nil"/>
              <w:right w:val="nil"/>
            </w:tcBorders>
            <w:shd w:val="clear" w:color="auto" w:fill="auto"/>
            <w:vAlign w:val="center"/>
          </w:tcPr>
          <w:p w14:paraId="5AD7546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139.2</w:t>
            </w:r>
          </w:p>
        </w:tc>
        <w:tc>
          <w:tcPr>
            <w:tcW w:w="527" w:type="dxa"/>
            <w:gridSpan w:val="2"/>
            <w:tcBorders>
              <w:top w:val="nil"/>
              <w:left w:val="nil"/>
              <w:bottom w:val="nil"/>
              <w:right w:val="nil"/>
            </w:tcBorders>
            <w:shd w:val="clear" w:color="auto" w:fill="auto"/>
            <w:vAlign w:val="center"/>
          </w:tcPr>
          <w:p w14:paraId="11CE89E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146.6</w:t>
            </w:r>
          </w:p>
        </w:tc>
        <w:tc>
          <w:tcPr>
            <w:tcW w:w="528" w:type="dxa"/>
            <w:tcBorders>
              <w:top w:val="nil"/>
              <w:left w:val="nil"/>
              <w:bottom w:val="nil"/>
              <w:right w:val="nil"/>
            </w:tcBorders>
            <w:shd w:val="clear" w:color="auto" w:fill="auto"/>
            <w:vAlign w:val="center"/>
          </w:tcPr>
          <w:p w14:paraId="3B8E290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152.1</w:t>
            </w:r>
          </w:p>
        </w:tc>
      </w:tr>
      <w:tr w:rsidR="000F6636" w:rsidRPr="008E295D" w14:paraId="58F9F995"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2D90AC75"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2</w:t>
            </w:r>
          </w:p>
        </w:tc>
        <w:tc>
          <w:tcPr>
            <w:tcW w:w="3685" w:type="dxa"/>
            <w:gridSpan w:val="2"/>
            <w:tcBorders>
              <w:top w:val="nil"/>
              <w:left w:val="nil"/>
              <w:bottom w:val="nil"/>
              <w:right w:val="nil"/>
            </w:tcBorders>
            <w:shd w:val="clear" w:color="auto" w:fill="auto"/>
            <w:noWrap/>
            <w:vAlign w:val="center"/>
            <w:hideMark/>
          </w:tcPr>
          <w:p w14:paraId="2234CAB7" w14:textId="77777777" w:rsidR="000F6636" w:rsidRPr="008E295D" w:rsidRDefault="000F6636" w:rsidP="00484DB0">
            <w:pPr>
              <w:rPr>
                <w:color w:val="000000"/>
                <w:sz w:val="16"/>
                <w:szCs w:val="18"/>
              </w:rPr>
            </w:pPr>
            <w:r w:rsidRPr="008E295D">
              <w:rPr>
                <w:color w:val="000000"/>
                <w:sz w:val="16"/>
                <w:szCs w:val="18"/>
              </w:rPr>
              <w:t>HDP, stále ceny</w:t>
            </w:r>
          </w:p>
        </w:tc>
        <w:tc>
          <w:tcPr>
            <w:tcW w:w="712" w:type="dxa"/>
            <w:gridSpan w:val="2"/>
            <w:tcBorders>
              <w:top w:val="nil"/>
              <w:left w:val="nil"/>
              <w:bottom w:val="nil"/>
              <w:right w:val="single" w:sz="4" w:space="0" w:color="auto"/>
            </w:tcBorders>
            <w:shd w:val="clear" w:color="auto" w:fill="auto"/>
            <w:noWrap/>
            <w:vAlign w:val="center"/>
            <w:hideMark/>
          </w:tcPr>
          <w:p w14:paraId="5E518986"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7915B89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2.0</w:t>
            </w:r>
          </w:p>
        </w:tc>
        <w:tc>
          <w:tcPr>
            <w:tcW w:w="527" w:type="dxa"/>
            <w:gridSpan w:val="2"/>
            <w:tcBorders>
              <w:top w:val="nil"/>
              <w:left w:val="nil"/>
              <w:bottom w:val="nil"/>
              <w:right w:val="nil"/>
            </w:tcBorders>
            <w:shd w:val="clear" w:color="auto" w:fill="auto"/>
            <w:noWrap/>
            <w:vAlign w:val="center"/>
            <w:hideMark/>
          </w:tcPr>
          <w:p w14:paraId="51583E3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3.1</w:t>
            </w:r>
          </w:p>
        </w:tc>
        <w:tc>
          <w:tcPr>
            <w:tcW w:w="527" w:type="dxa"/>
            <w:gridSpan w:val="3"/>
            <w:tcBorders>
              <w:top w:val="nil"/>
              <w:left w:val="nil"/>
              <w:bottom w:val="nil"/>
              <w:right w:val="nil"/>
            </w:tcBorders>
            <w:shd w:val="clear" w:color="auto" w:fill="auto"/>
            <w:noWrap/>
            <w:vAlign w:val="center"/>
            <w:hideMark/>
          </w:tcPr>
          <w:p w14:paraId="4156D20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2.2</w:t>
            </w:r>
          </w:p>
        </w:tc>
        <w:tc>
          <w:tcPr>
            <w:tcW w:w="510" w:type="dxa"/>
            <w:tcBorders>
              <w:top w:val="nil"/>
              <w:left w:val="nil"/>
              <w:bottom w:val="nil"/>
              <w:right w:val="single" w:sz="8" w:space="0" w:color="auto"/>
            </w:tcBorders>
            <w:shd w:val="clear" w:color="auto" w:fill="auto"/>
            <w:noWrap/>
            <w:vAlign w:val="center"/>
            <w:hideMark/>
          </w:tcPr>
          <w:p w14:paraId="3AC3B2B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1.6</w:t>
            </w:r>
          </w:p>
        </w:tc>
        <w:tc>
          <w:tcPr>
            <w:tcW w:w="544" w:type="dxa"/>
            <w:gridSpan w:val="2"/>
            <w:tcBorders>
              <w:top w:val="nil"/>
              <w:left w:val="single" w:sz="8" w:space="0" w:color="auto"/>
              <w:bottom w:val="nil"/>
              <w:right w:val="nil"/>
            </w:tcBorders>
            <w:shd w:val="clear" w:color="auto" w:fill="auto"/>
            <w:noWrap/>
            <w:vAlign w:val="center"/>
          </w:tcPr>
          <w:p w14:paraId="00AC6A2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2.7</w:t>
            </w:r>
          </w:p>
        </w:tc>
        <w:tc>
          <w:tcPr>
            <w:tcW w:w="527" w:type="dxa"/>
            <w:gridSpan w:val="2"/>
            <w:tcBorders>
              <w:top w:val="nil"/>
              <w:left w:val="nil"/>
              <w:bottom w:val="nil"/>
              <w:right w:val="nil"/>
            </w:tcBorders>
            <w:shd w:val="clear" w:color="auto" w:fill="auto"/>
            <w:vAlign w:val="center"/>
          </w:tcPr>
          <w:p w14:paraId="7171392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2.8</w:t>
            </w:r>
          </w:p>
        </w:tc>
        <w:tc>
          <w:tcPr>
            <w:tcW w:w="527" w:type="dxa"/>
            <w:gridSpan w:val="2"/>
            <w:tcBorders>
              <w:top w:val="nil"/>
              <w:left w:val="nil"/>
              <w:bottom w:val="nil"/>
              <w:right w:val="nil"/>
            </w:tcBorders>
            <w:shd w:val="clear" w:color="auto" w:fill="auto"/>
            <w:vAlign w:val="center"/>
          </w:tcPr>
          <w:p w14:paraId="1FAB597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2.1</w:t>
            </w:r>
          </w:p>
        </w:tc>
        <w:tc>
          <w:tcPr>
            <w:tcW w:w="528" w:type="dxa"/>
            <w:tcBorders>
              <w:top w:val="nil"/>
              <w:left w:val="nil"/>
              <w:bottom w:val="nil"/>
              <w:right w:val="nil"/>
            </w:tcBorders>
            <w:shd w:val="clear" w:color="auto" w:fill="auto"/>
            <w:vAlign w:val="center"/>
          </w:tcPr>
          <w:p w14:paraId="0B94728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1.7</w:t>
            </w:r>
          </w:p>
        </w:tc>
      </w:tr>
      <w:tr w:rsidR="000F6636" w:rsidRPr="008E295D" w14:paraId="112CCEE3" w14:textId="77777777" w:rsidTr="00484DB0">
        <w:trPr>
          <w:trHeight w:val="178"/>
          <w:jc w:val="center"/>
        </w:trPr>
        <w:tc>
          <w:tcPr>
            <w:tcW w:w="426" w:type="dxa"/>
            <w:tcBorders>
              <w:top w:val="nil"/>
              <w:left w:val="nil"/>
              <w:bottom w:val="nil"/>
              <w:right w:val="nil"/>
            </w:tcBorders>
            <w:shd w:val="clear" w:color="auto" w:fill="auto"/>
            <w:noWrap/>
            <w:vAlign w:val="center"/>
            <w:hideMark/>
          </w:tcPr>
          <w:p w14:paraId="08E8BBD9"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3</w:t>
            </w:r>
          </w:p>
        </w:tc>
        <w:tc>
          <w:tcPr>
            <w:tcW w:w="3685" w:type="dxa"/>
            <w:gridSpan w:val="2"/>
            <w:tcBorders>
              <w:top w:val="nil"/>
              <w:left w:val="nil"/>
              <w:bottom w:val="nil"/>
              <w:right w:val="nil"/>
            </w:tcBorders>
            <w:shd w:val="clear" w:color="auto" w:fill="auto"/>
            <w:vAlign w:val="center"/>
            <w:hideMark/>
          </w:tcPr>
          <w:p w14:paraId="637B2AD4" w14:textId="77777777" w:rsidR="000F6636" w:rsidRPr="008E295D" w:rsidRDefault="000F6636" w:rsidP="00484DB0">
            <w:pPr>
              <w:rPr>
                <w:color w:val="000000"/>
                <w:sz w:val="16"/>
                <w:szCs w:val="18"/>
              </w:rPr>
            </w:pPr>
            <w:r w:rsidRPr="008E295D">
              <w:rPr>
                <w:color w:val="000000"/>
                <w:sz w:val="16"/>
                <w:szCs w:val="18"/>
              </w:rPr>
              <w:t>Konečná spotreba domácností a NISD</w:t>
            </w:r>
          </w:p>
        </w:tc>
        <w:tc>
          <w:tcPr>
            <w:tcW w:w="712" w:type="dxa"/>
            <w:gridSpan w:val="2"/>
            <w:tcBorders>
              <w:top w:val="nil"/>
              <w:left w:val="nil"/>
              <w:bottom w:val="nil"/>
              <w:right w:val="single" w:sz="4" w:space="0" w:color="auto"/>
            </w:tcBorders>
            <w:shd w:val="clear" w:color="auto" w:fill="auto"/>
            <w:noWrap/>
            <w:vAlign w:val="center"/>
            <w:hideMark/>
          </w:tcPr>
          <w:p w14:paraId="0726ED4C"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7B6A2DC2" w14:textId="77777777" w:rsidR="000F6636" w:rsidRPr="00F26CB9" w:rsidRDefault="000F6636" w:rsidP="00484DB0">
            <w:pPr>
              <w:pStyle w:val="Bezriadkovania"/>
              <w:jc w:val="center"/>
              <w:rPr>
                <w:sz w:val="16"/>
                <w:szCs w:val="16"/>
              </w:rPr>
            </w:pPr>
            <w:r w:rsidRPr="002456CC">
              <w:rPr>
                <w:rFonts w:cs="Calibri"/>
                <w:color w:val="000000"/>
                <w:sz w:val="16"/>
                <w:szCs w:val="16"/>
              </w:rPr>
              <w:t>2.3</w:t>
            </w:r>
          </w:p>
        </w:tc>
        <w:tc>
          <w:tcPr>
            <w:tcW w:w="527" w:type="dxa"/>
            <w:gridSpan w:val="2"/>
            <w:tcBorders>
              <w:top w:val="nil"/>
              <w:left w:val="nil"/>
              <w:bottom w:val="nil"/>
              <w:right w:val="nil"/>
            </w:tcBorders>
            <w:shd w:val="clear" w:color="auto" w:fill="auto"/>
            <w:noWrap/>
            <w:vAlign w:val="center"/>
            <w:hideMark/>
          </w:tcPr>
          <w:p w14:paraId="336A71AD" w14:textId="77777777" w:rsidR="000F6636" w:rsidRPr="00F26CB9" w:rsidRDefault="000F6636" w:rsidP="00484DB0">
            <w:pPr>
              <w:pStyle w:val="Bezriadkovania"/>
              <w:jc w:val="center"/>
              <w:rPr>
                <w:sz w:val="16"/>
                <w:szCs w:val="16"/>
              </w:rPr>
            </w:pPr>
            <w:r w:rsidRPr="002456CC">
              <w:rPr>
                <w:rFonts w:cs="Calibri"/>
                <w:color w:val="000000"/>
                <w:sz w:val="16"/>
                <w:szCs w:val="16"/>
              </w:rPr>
              <w:t>2.2</w:t>
            </w:r>
          </w:p>
        </w:tc>
        <w:tc>
          <w:tcPr>
            <w:tcW w:w="527" w:type="dxa"/>
            <w:gridSpan w:val="3"/>
            <w:tcBorders>
              <w:top w:val="nil"/>
              <w:left w:val="nil"/>
              <w:bottom w:val="nil"/>
              <w:right w:val="nil"/>
            </w:tcBorders>
            <w:shd w:val="clear" w:color="auto" w:fill="auto"/>
            <w:noWrap/>
            <w:vAlign w:val="center"/>
            <w:hideMark/>
          </w:tcPr>
          <w:p w14:paraId="1597B99D" w14:textId="77777777" w:rsidR="000F6636" w:rsidRPr="00F26CB9" w:rsidRDefault="000F6636" w:rsidP="00484DB0">
            <w:pPr>
              <w:pStyle w:val="Bezriadkovania"/>
              <w:jc w:val="center"/>
              <w:rPr>
                <w:sz w:val="16"/>
                <w:szCs w:val="16"/>
              </w:rPr>
            </w:pPr>
            <w:r w:rsidRPr="002456CC">
              <w:rPr>
                <w:rFonts w:cs="Calibri"/>
                <w:color w:val="000000"/>
                <w:sz w:val="16"/>
                <w:szCs w:val="16"/>
              </w:rPr>
              <w:t>1.9</w:t>
            </w:r>
          </w:p>
        </w:tc>
        <w:tc>
          <w:tcPr>
            <w:tcW w:w="510" w:type="dxa"/>
            <w:tcBorders>
              <w:top w:val="nil"/>
              <w:left w:val="nil"/>
              <w:bottom w:val="nil"/>
              <w:right w:val="single" w:sz="8" w:space="0" w:color="auto"/>
            </w:tcBorders>
            <w:shd w:val="clear" w:color="auto" w:fill="auto"/>
            <w:noWrap/>
            <w:vAlign w:val="center"/>
            <w:hideMark/>
          </w:tcPr>
          <w:p w14:paraId="78B8859D" w14:textId="77777777" w:rsidR="000F6636" w:rsidRPr="00F26CB9" w:rsidRDefault="000F6636" w:rsidP="00484DB0">
            <w:pPr>
              <w:pStyle w:val="Bezriadkovania"/>
              <w:jc w:val="center"/>
              <w:rPr>
                <w:sz w:val="16"/>
                <w:szCs w:val="16"/>
              </w:rPr>
            </w:pPr>
            <w:r w:rsidRPr="002456CC">
              <w:rPr>
                <w:rFonts w:cs="Calibri"/>
                <w:color w:val="000000"/>
                <w:sz w:val="16"/>
                <w:szCs w:val="16"/>
              </w:rPr>
              <w:t>1.7</w:t>
            </w:r>
          </w:p>
        </w:tc>
        <w:tc>
          <w:tcPr>
            <w:tcW w:w="544" w:type="dxa"/>
            <w:gridSpan w:val="2"/>
            <w:tcBorders>
              <w:top w:val="nil"/>
              <w:left w:val="single" w:sz="8" w:space="0" w:color="auto"/>
              <w:bottom w:val="nil"/>
              <w:right w:val="nil"/>
            </w:tcBorders>
            <w:shd w:val="clear" w:color="auto" w:fill="auto"/>
            <w:noWrap/>
            <w:vAlign w:val="center"/>
          </w:tcPr>
          <w:p w14:paraId="59EAC01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3.3</w:t>
            </w:r>
          </w:p>
        </w:tc>
        <w:tc>
          <w:tcPr>
            <w:tcW w:w="527" w:type="dxa"/>
            <w:gridSpan w:val="2"/>
            <w:tcBorders>
              <w:top w:val="nil"/>
              <w:left w:val="nil"/>
              <w:bottom w:val="nil"/>
              <w:right w:val="nil"/>
            </w:tcBorders>
            <w:shd w:val="clear" w:color="auto" w:fill="auto"/>
            <w:vAlign w:val="center"/>
          </w:tcPr>
          <w:p w14:paraId="1DD8D78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1.7</w:t>
            </w:r>
          </w:p>
        </w:tc>
        <w:tc>
          <w:tcPr>
            <w:tcW w:w="527" w:type="dxa"/>
            <w:gridSpan w:val="2"/>
            <w:tcBorders>
              <w:top w:val="nil"/>
              <w:left w:val="nil"/>
              <w:bottom w:val="nil"/>
              <w:right w:val="nil"/>
            </w:tcBorders>
            <w:shd w:val="clear" w:color="auto" w:fill="auto"/>
            <w:vAlign w:val="center"/>
          </w:tcPr>
          <w:p w14:paraId="22D20CD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1.0</w:t>
            </w:r>
          </w:p>
        </w:tc>
        <w:tc>
          <w:tcPr>
            <w:tcW w:w="528" w:type="dxa"/>
            <w:tcBorders>
              <w:top w:val="nil"/>
              <w:left w:val="nil"/>
              <w:bottom w:val="nil"/>
              <w:right w:val="nil"/>
            </w:tcBorders>
            <w:shd w:val="clear" w:color="auto" w:fill="auto"/>
            <w:vAlign w:val="center"/>
          </w:tcPr>
          <w:p w14:paraId="6F43A56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1.1</w:t>
            </w:r>
          </w:p>
        </w:tc>
      </w:tr>
      <w:tr w:rsidR="000F6636" w:rsidRPr="008E295D" w14:paraId="5561145A" w14:textId="77777777" w:rsidTr="00484DB0">
        <w:trPr>
          <w:trHeight w:val="254"/>
          <w:jc w:val="center"/>
        </w:trPr>
        <w:tc>
          <w:tcPr>
            <w:tcW w:w="426" w:type="dxa"/>
            <w:tcBorders>
              <w:top w:val="nil"/>
              <w:left w:val="nil"/>
              <w:bottom w:val="nil"/>
              <w:right w:val="nil"/>
            </w:tcBorders>
            <w:shd w:val="clear" w:color="auto" w:fill="auto"/>
            <w:noWrap/>
            <w:vAlign w:val="center"/>
            <w:hideMark/>
          </w:tcPr>
          <w:p w14:paraId="7F09A11E"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4</w:t>
            </w:r>
          </w:p>
        </w:tc>
        <w:tc>
          <w:tcPr>
            <w:tcW w:w="3685" w:type="dxa"/>
            <w:gridSpan w:val="2"/>
            <w:tcBorders>
              <w:top w:val="nil"/>
              <w:left w:val="nil"/>
              <w:bottom w:val="nil"/>
              <w:right w:val="nil"/>
            </w:tcBorders>
            <w:shd w:val="clear" w:color="auto" w:fill="auto"/>
            <w:vAlign w:val="center"/>
            <w:hideMark/>
          </w:tcPr>
          <w:p w14:paraId="2F77071E" w14:textId="77777777" w:rsidR="000F6636" w:rsidRPr="008E295D" w:rsidRDefault="000F6636" w:rsidP="00484DB0">
            <w:pPr>
              <w:rPr>
                <w:color w:val="000000"/>
                <w:sz w:val="16"/>
                <w:szCs w:val="18"/>
              </w:rPr>
            </w:pPr>
            <w:r w:rsidRPr="008E295D">
              <w:rPr>
                <w:color w:val="000000"/>
                <w:sz w:val="16"/>
                <w:szCs w:val="18"/>
              </w:rPr>
              <w:t xml:space="preserve">Konečná spotreba verejnej správy </w:t>
            </w:r>
          </w:p>
        </w:tc>
        <w:tc>
          <w:tcPr>
            <w:tcW w:w="712" w:type="dxa"/>
            <w:gridSpan w:val="2"/>
            <w:tcBorders>
              <w:top w:val="nil"/>
              <w:left w:val="nil"/>
              <w:bottom w:val="nil"/>
              <w:right w:val="single" w:sz="4" w:space="0" w:color="auto"/>
            </w:tcBorders>
            <w:shd w:val="clear" w:color="auto" w:fill="auto"/>
            <w:noWrap/>
            <w:vAlign w:val="center"/>
            <w:hideMark/>
          </w:tcPr>
          <w:p w14:paraId="0458D043"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5E3A3CF5" w14:textId="77777777" w:rsidR="000F6636" w:rsidRPr="00F26CB9" w:rsidRDefault="000F6636" w:rsidP="00484DB0">
            <w:pPr>
              <w:pStyle w:val="Bezriadkovania"/>
              <w:jc w:val="center"/>
              <w:rPr>
                <w:sz w:val="16"/>
                <w:szCs w:val="16"/>
              </w:rPr>
            </w:pPr>
            <w:r w:rsidRPr="002456CC">
              <w:rPr>
                <w:rFonts w:cs="Calibri"/>
                <w:color w:val="000000"/>
                <w:sz w:val="16"/>
                <w:szCs w:val="16"/>
              </w:rPr>
              <w:t>1.9</w:t>
            </w:r>
          </w:p>
        </w:tc>
        <w:tc>
          <w:tcPr>
            <w:tcW w:w="527" w:type="dxa"/>
            <w:gridSpan w:val="2"/>
            <w:tcBorders>
              <w:top w:val="nil"/>
              <w:left w:val="nil"/>
              <w:bottom w:val="nil"/>
              <w:right w:val="nil"/>
            </w:tcBorders>
            <w:shd w:val="clear" w:color="auto" w:fill="auto"/>
            <w:noWrap/>
            <w:vAlign w:val="center"/>
            <w:hideMark/>
          </w:tcPr>
          <w:p w14:paraId="7B4159B1" w14:textId="77777777" w:rsidR="000F6636" w:rsidRPr="00F26CB9" w:rsidRDefault="000F6636" w:rsidP="00484DB0">
            <w:pPr>
              <w:pStyle w:val="Bezriadkovania"/>
              <w:jc w:val="center"/>
              <w:rPr>
                <w:sz w:val="16"/>
                <w:szCs w:val="16"/>
              </w:rPr>
            </w:pPr>
            <w:r w:rsidRPr="002456CC">
              <w:rPr>
                <w:rFonts w:cs="Calibri"/>
                <w:color w:val="000000"/>
                <w:sz w:val="16"/>
                <w:szCs w:val="16"/>
              </w:rPr>
              <w:t>1.2</w:t>
            </w:r>
          </w:p>
        </w:tc>
        <w:tc>
          <w:tcPr>
            <w:tcW w:w="527" w:type="dxa"/>
            <w:gridSpan w:val="3"/>
            <w:tcBorders>
              <w:top w:val="nil"/>
              <w:left w:val="nil"/>
              <w:bottom w:val="nil"/>
              <w:right w:val="nil"/>
            </w:tcBorders>
            <w:shd w:val="clear" w:color="auto" w:fill="auto"/>
            <w:noWrap/>
            <w:vAlign w:val="center"/>
            <w:hideMark/>
          </w:tcPr>
          <w:p w14:paraId="151AE193" w14:textId="77777777" w:rsidR="000F6636" w:rsidRPr="00F26CB9" w:rsidRDefault="000F6636" w:rsidP="00484DB0">
            <w:pPr>
              <w:pStyle w:val="Bezriadkovania"/>
              <w:jc w:val="center"/>
              <w:rPr>
                <w:sz w:val="16"/>
                <w:szCs w:val="16"/>
              </w:rPr>
            </w:pPr>
            <w:r w:rsidRPr="002456CC">
              <w:rPr>
                <w:rFonts w:cs="Calibri"/>
                <w:color w:val="000000"/>
                <w:sz w:val="16"/>
                <w:szCs w:val="16"/>
              </w:rPr>
              <w:t>0.8</w:t>
            </w:r>
          </w:p>
        </w:tc>
        <w:tc>
          <w:tcPr>
            <w:tcW w:w="510" w:type="dxa"/>
            <w:tcBorders>
              <w:top w:val="nil"/>
              <w:left w:val="nil"/>
              <w:bottom w:val="nil"/>
              <w:right w:val="single" w:sz="8" w:space="0" w:color="auto"/>
            </w:tcBorders>
            <w:shd w:val="clear" w:color="auto" w:fill="auto"/>
            <w:noWrap/>
            <w:vAlign w:val="center"/>
            <w:hideMark/>
          </w:tcPr>
          <w:p w14:paraId="434C8B0F" w14:textId="77777777" w:rsidR="000F6636" w:rsidRPr="00F26CB9" w:rsidRDefault="000F6636" w:rsidP="00484DB0">
            <w:pPr>
              <w:pStyle w:val="Bezriadkovania"/>
              <w:jc w:val="center"/>
              <w:rPr>
                <w:sz w:val="16"/>
                <w:szCs w:val="16"/>
              </w:rPr>
            </w:pPr>
            <w:r w:rsidRPr="002456CC">
              <w:rPr>
                <w:rFonts w:cs="Calibri"/>
                <w:color w:val="000000"/>
                <w:sz w:val="16"/>
                <w:szCs w:val="16"/>
              </w:rPr>
              <w:t>-0.5</w:t>
            </w:r>
          </w:p>
        </w:tc>
        <w:tc>
          <w:tcPr>
            <w:tcW w:w="544" w:type="dxa"/>
            <w:gridSpan w:val="2"/>
            <w:tcBorders>
              <w:top w:val="nil"/>
              <w:left w:val="single" w:sz="8" w:space="0" w:color="auto"/>
              <w:bottom w:val="nil"/>
              <w:right w:val="nil"/>
            </w:tcBorders>
            <w:shd w:val="clear" w:color="auto" w:fill="auto"/>
            <w:noWrap/>
            <w:vAlign w:val="center"/>
          </w:tcPr>
          <w:p w14:paraId="6A7FA34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1.3</w:t>
            </w:r>
          </w:p>
        </w:tc>
        <w:tc>
          <w:tcPr>
            <w:tcW w:w="527" w:type="dxa"/>
            <w:gridSpan w:val="2"/>
            <w:tcBorders>
              <w:top w:val="nil"/>
              <w:left w:val="nil"/>
              <w:bottom w:val="nil"/>
              <w:right w:val="nil"/>
            </w:tcBorders>
            <w:shd w:val="clear" w:color="auto" w:fill="auto"/>
            <w:vAlign w:val="center"/>
          </w:tcPr>
          <w:p w14:paraId="3DA8AD8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-0.4</w:t>
            </w:r>
          </w:p>
        </w:tc>
        <w:tc>
          <w:tcPr>
            <w:tcW w:w="527" w:type="dxa"/>
            <w:gridSpan w:val="2"/>
            <w:tcBorders>
              <w:top w:val="nil"/>
              <w:left w:val="nil"/>
              <w:bottom w:val="nil"/>
              <w:right w:val="nil"/>
            </w:tcBorders>
            <w:shd w:val="clear" w:color="auto" w:fill="auto"/>
            <w:vAlign w:val="center"/>
          </w:tcPr>
          <w:p w14:paraId="0B168EE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-0.9</w:t>
            </w:r>
          </w:p>
        </w:tc>
        <w:tc>
          <w:tcPr>
            <w:tcW w:w="528" w:type="dxa"/>
            <w:tcBorders>
              <w:top w:val="nil"/>
              <w:left w:val="nil"/>
              <w:bottom w:val="nil"/>
              <w:right w:val="nil"/>
            </w:tcBorders>
            <w:shd w:val="clear" w:color="auto" w:fill="auto"/>
            <w:vAlign w:val="center"/>
          </w:tcPr>
          <w:p w14:paraId="7B7512D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0.4</w:t>
            </w:r>
          </w:p>
        </w:tc>
      </w:tr>
      <w:tr w:rsidR="000F6636" w:rsidRPr="008E295D" w14:paraId="143B5A25"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0856B4EA"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5</w:t>
            </w:r>
          </w:p>
        </w:tc>
        <w:tc>
          <w:tcPr>
            <w:tcW w:w="3685" w:type="dxa"/>
            <w:gridSpan w:val="2"/>
            <w:tcBorders>
              <w:top w:val="nil"/>
              <w:left w:val="nil"/>
              <w:bottom w:val="nil"/>
              <w:right w:val="nil"/>
            </w:tcBorders>
            <w:shd w:val="clear" w:color="auto" w:fill="auto"/>
            <w:vAlign w:val="center"/>
            <w:hideMark/>
          </w:tcPr>
          <w:p w14:paraId="01671DEC" w14:textId="77777777" w:rsidR="000F6636" w:rsidRPr="008E295D" w:rsidRDefault="000F6636" w:rsidP="00484DB0">
            <w:pPr>
              <w:rPr>
                <w:color w:val="000000"/>
                <w:sz w:val="16"/>
                <w:szCs w:val="18"/>
              </w:rPr>
            </w:pPr>
            <w:r w:rsidRPr="008E295D">
              <w:rPr>
                <w:color w:val="000000"/>
                <w:sz w:val="16"/>
                <w:szCs w:val="18"/>
              </w:rPr>
              <w:t xml:space="preserve">Tvorba hrubého fixného kapitálu </w:t>
            </w:r>
          </w:p>
        </w:tc>
        <w:tc>
          <w:tcPr>
            <w:tcW w:w="712" w:type="dxa"/>
            <w:gridSpan w:val="2"/>
            <w:tcBorders>
              <w:top w:val="nil"/>
              <w:left w:val="nil"/>
              <w:bottom w:val="nil"/>
              <w:right w:val="single" w:sz="4" w:space="0" w:color="auto"/>
            </w:tcBorders>
            <w:shd w:val="clear" w:color="auto" w:fill="auto"/>
            <w:noWrap/>
            <w:vAlign w:val="center"/>
            <w:hideMark/>
          </w:tcPr>
          <w:p w14:paraId="6BF3A0F4"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7C728FA6" w14:textId="77777777" w:rsidR="000F6636" w:rsidRPr="00F26CB9" w:rsidRDefault="000F6636" w:rsidP="00484DB0">
            <w:pPr>
              <w:pStyle w:val="Bezriadkovania"/>
              <w:jc w:val="center"/>
              <w:rPr>
                <w:sz w:val="16"/>
                <w:szCs w:val="16"/>
              </w:rPr>
            </w:pPr>
            <w:r w:rsidRPr="002456CC">
              <w:rPr>
                <w:rFonts w:cs="Calibri"/>
                <w:color w:val="000000"/>
                <w:sz w:val="16"/>
                <w:szCs w:val="16"/>
              </w:rPr>
              <w:t>-1.6</w:t>
            </w:r>
          </w:p>
        </w:tc>
        <w:tc>
          <w:tcPr>
            <w:tcW w:w="527" w:type="dxa"/>
            <w:gridSpan w:val="2"/>
            <w:tcBorders>
              <w:top w:val="nil"/>
              <w:left w:val="nil"/>
              <w:bottom w:val="nil"/>
              <w:right w:val="nil"/>
            </w:tcBorders>
            <w:shd w:val="clear" w:color="auto" w:fill="auto"/>
            <w:noWrap/>
            <w:vAlign w:val="center"/>
            <w:hideMark/>
          </w:tcPr>
          <w:p w14:paraId="51FDC4F8" w14:textId="77777777" w:rsidR="000F6636" w:rsidRPr="00F26CB9" w:rsidRDefault="000F6636" w:rsidP="00484DB0">
            <w:pPr>
              <w:pStyle w:val="Bezriadkovania"/>
              <w:jc w:val="center"/>
              <w:rPr>
                <w:sz w:val="16"/>
                <w:szCs w:val="16"/>
              </w:rPr>
            </w:pPr>
            <w:r w:rsidRPr="002456CC">
              <w:rPr>
                <w:rFonts w:cs="Calibri"/>
                <w:color w:val="000000"/>
                <w:sz w:val="16"/>
                <w:szCs w:val="16"/>
              </w:rPr>
              <w:t>10.8</w:t>
            </w:r>
          </w:p>
        </w:tc>
        <w:tc>
          <w:tcPr>
            <w:tcW w:w="527" w:type="dxa"/>
            <w:gridSpan w:val="3"/>
            <w:tcBorders>
              <w:top w:val="nil"/>
              <w:left w:val="nil"/>
              <w:bottom w:val="nil"/>
              <w:right w:val="nil"/>
            </w:tcBorders>
            <w:shd w:val="clear" w:color="auto" w:fill="auto"/>
            <w:noWrap/>
            <w:vAlign w:val="center"/>
            <w:hideMark/>
          </w:tcPr>
          <w:p w14:paraId="0F7A4D11" w14:textId="77777777" w:rsidR="000F6636" w:rsidRPr="00F26CB9" w:rsidRDefault="000F6636" w:rsidP="00484DB0">
            <w:pPr>
              <w:pStyle w:val="Bezriadkovania"/>
              <w:jc w:val="center"/>
              <w:rPr>
                <w:sz w:val="16"/>
                <w:szCs w:val="16"/>
              </w:rPr>
            </w:pPr>
            <w:r w:rsidRPr="002456CC">
              <w:rPr>
                <w:rFonts w:cs="Calibri"/>
                <w:color w:val="000000"/>
                <w:sz w:val="16"/>
                <w:szCs w:val="16"/>
              </w:rPr>
              <w:t>-1.4</w:t>
            </w:r>
          </w:p>
        </w:tc>
        <w:tc>
          <w:tcPr>
            <w:tcW w:w="510" w:type="dxa"/>
            <w:tcBorders>
              <w:top w:val="nil"/>
              <w:left w:val="nil"/>
              <w:bottom w:val="nil"/>
              <w:right w:val="single" w:sz="8" w:space="0" w:color="auto"/>
            </w:tcBorders>
            <w:shd w:val="clear" w:color="auto" w:fill="auto"/>
            <w:noWrap/>
            <w:vAlign w:val="center"/>
            <w:hideMark/>
          </w:tcPr>
          <w:p w14:paraId="61EB3906" w14:textId="77777777" w:rsidR="000F6636" w:rsidRPr="00F26CB9" w:rsidRDefault="000F6636" w:rsidP="00484DB0">
            <w:pPr>
              <w:pStyle w:val="Bezriadkovania"/>
              <w:jc w:val="center"/>
              <w:rPr>
                <w:sz w:val="16"/>
                <w:szCs w:val="16"/>
              </w:rPr>
            </w:pPr>
            <w:r w:rsidRPr="002456CC">
              <w:rPr>
                <w:rFonts w:cs="Calibri"/>
                <w:color w:val="000000"/>
                <w:sz w:val="16"/>
                <w:szCs w:val="16"/>
              </w:rPr>
              <w:t>-3.8</w:t>
            </w:r>
          </w:p>
        </w:tc>
        <w:tc>
          <w:tcPr>
            <w:tcW w:w="544" w:type="dxa"/>
            <w:gridSpan w:val="2"/>
            <w:tcBorders>
              <w:top w:val="nil"/>
              <w:left w:val="single" w:sz="8" w:space="0" w:color="auto"/>
              <w:bottom w:val="nil"/>
              <w:right w:val="nil"/>
            </w:tcBorders>
            <w:shd w:val="clear" w:color="auto" w:fill="auto"/>
            <w:noWrap/>
            <w:vAlign w:val="center"/>
          </w:tcPr>
          <w:p w14:paraId="17F78FB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5.1</w:t>
            </w:r>
          </w:p>
        </w:tc>
        <w:tc>
          <w:tcPr>
            <w:tcW w:w="527" w:type="dxa"/>
            <w:gridSpan w:val="2"/>
            <w:tcBorders>
              <w:top w:val="nil"/>
              <w:left w:val="nil"/>
              <w:bottom w:val="nil"/>
              <w:right w:val="nil"/>
            </w:tcBorders>
            <w:shd w:val="clear" w:color="auto" w:fill="auto"/>
            <w:vAlign w:val="center"/>
          </w:tcPr>
          <w:p w14:paraId="0F50647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4.3</w:t>
            </w:r>
          </w:p>
        </w:tc>
        <w:tc>
          <w:tcPr>
            <w:tcW w:w="527" w:type="dxa"/>
            <w:gridSpan w:val="2"/>
            <w:tcBorders>
              <w:top w:val="nil"/>
              <w:left w:val="nil"/>
              <w:bottom w:val="nil"/>
              <w:right w:val="nil"/>
            </w:tcBorders>
            <w:shd w:val="clear" w:color="auto" w:fill="auto"/>
            <w:vAlign w:val="center"/>
          </w:tcPr>
          <w:p w14:paraId="1A2A5FE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0.9</w:t>
            </w:r>
          </w:p>
        </w:tc>
        <w:tc>
          <w:tcPr>
            <w:tcW w:w="528" w:type="dxa"/>
            <w:tcBorders>
              <w:top w:val="nil"/>
              <w:left w:val="nil"/>
              <w:bottom w:val="nil"/>
              <w:right w:val="nil"/>
            </w:tcBorders>
            <w:shd w:val="clear" w:color="auto" w:fill="auto"/>
            <w:vAlign w:val="center"/>
          </w:tcPr>
          <w:p w14:paraId="66ACF4E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-2.7</w:t>
            </w:r>
          </w:p>
        </w:tc>
      </w:tr>
      <w:tr w:rsidR="000F6636" w:rsidRPr="008E295D" w14:paraId="3F6389FF"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43FE0154"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6</w:t>
            </w:r>
          </w:p>
        </w:tc>
        <w:tc>
          <w:tcPr>
            <w:tcW w:w="3685" w:type="dxa"/>
            <w:gridSpan w:val="2"/>
            <w:tcBorders>
              <w:top w:val="nil"/>
              <w:left w:val="nil"/>
              <w:bottom w:val="nil"/>
              <w:right w:val="nil"/>
            </w:tcBorders>
            <w:shd w:val="clear" w:color="auto" w:fill="auto"/>
            <w:vAlign w:val="center"/>
            <w:hideMark/>
          </w:tcPr>
          <w:p w14:paraId="0285BCBA" w14:textId="77777777" w:rsidR="000F6636" w:rsidRPr="008E295D" w:rsidRDefault="000F6636" w:rsidP="00484DB0">
            <w:pPr>
              <w:rPr>
                <w:color w:val="000000"/>
                <w:sz w:val="16"/>
                <w:szCs w:val="18"/>
              </w:rPr>
            </w:pPr>
            <w:r w:rsidRPr="008E295D">
              <w:rPr>
                <w:color w:val="000000"/>
                <w:sz w:val="16"/>
                <w:szCs w:val="18"/>
              </w:rPr>
              <w:t xml:space="preserve">Export tovarov a služieb </w:t>
            </w:r>
          </w:p>
        </w:tc>
        <w:tc>
          <w:tcPr>
            <w:tcW w:w="712" w:type="dxa"/>
            <w:gridSpan w:val="2"/>
            <w:tcBorders>
              <w:top w:val="nil"/>
              <w:left w:val="nil"/>
              <w:bottom w:val="nil"/>
              <w:right w:val="single" w:sz="4" w:space="0" w:color="auto"/>
            </w:tcBorders>
            <w:shd w:val="clear" w:color="auto" w:fill="auto"/>
            <w:noWrap/>
            <w:vAlign w:val="center"/>
            <w:hideMark/>
          </w:tcPr>
          <w:p w14:paraId="5FA5CA70"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76542498" w14:textId="77777777" w:rsidR="000F6636" w:rsidRPr="00F26CB9" w:rsidRDefault="000F6636" w:rsidP="00484DB0">
            <w:pPr>
              <w:pStyle w:val="Bezriadkovania"/>
              <w:jc w:val="center"/>
              <w:rPr>
                <w:sz w:val="16"/>
                <w:szCs w:val="16"/>
              </w:rPr>
            </w:pPr>
            <w:r w:rsidRPr="002456CC">
              <w:rPr>
                <w:rFonts w:cs="Calibri"/>
                <w:color w:val="000000"/>
                <w:sz w:val="16"/>
                <w:szCs w:val="16"/>
              </w:rPr>
              <w:t>2.8</w:t>
            </w:r>
          </w:p>
        </w:tc>
        <w:tc>
          <w:tcPr>
            <w:tcW w:w="527" w:type="dxa"/>
            <w:gridSpan w:val="2"/>
            <w:tcBorders>
              <w:top w:val="nil"/>
              <w:left w:val="nil"/>
              <w:bottom w:val="nil"/>
              <w:right w:val="nil"/>
            </w:tcBorders>
            <w:shd w:val="clear" w:color="auto" w:fill="auto"/>
            <w:noWrap/>
            <w:vAlign w:val="center"/>
            <w:hideMark/>
          </w:tcPr>
          <w:p w14:paraId="150CE05F" w14:textId="77777777" w:rsidR="000F6636" w:rsidRPr="00F26CB9" w:rsidRDefault="000F6636" w:rsidP="00484DB0">
            <w:pPr>
              <w:pStyle w:val="Bezriadkovania"/>
              <w:jc w:val="center"/>
              <w:rPr>
                <w:sz w:val="16"/>
                <w:szCs w:val="16"/>
              </w:rPr>
            </w:pPr>
            <w:r w:rsidRPr="002456CC">
              <w:rPr>
                <w:rFonts w:cs="Calibri"/>
                <w:color w:val="000000"/>
                <w:sz w:val="16"/>
                <w:szCs w:val="16"/>
              </w:rPr>
              <w:t>3.1</w:t>
            </w:r>
          </w:p>
        </w:tc>
        <w:tc>
          <w:tcPr>
            <w:tcW w:w="527" w:type="dxa"/>
            <w:gridSpan w:val="3"/>
            <w:tcBorders>
              <w:top w:val="nil"/>
              <w:left w:val="nil"/>
              <w:bottom w:val="nil"/>
              <w:right w:val="nil"/>
            </w:tcBorders>
            <w:shd w:val="clear" w:color="auto" w:fill="auto"/>
            <w:noWrap/>
            <w:vAlign w:val="center"/>
            <w:hideMark/>
          </w:tcPr>
          <w:p w14:paraId="2A084773" w14:textId="77777777" w:rsidR="000F6636" w:rsidRPr="00F26CB9" w:rsidRDefault="000F6636" w:rsidP="00484DB0">
            <w:pPr>
              <w:pStyle w:val="Bezriadkovania"/>
              <w:jc w:val="center"/>
              <w:rPr>
                <w:sz w:val="16"/>
                <w:szCs w:val="16"/>
              </w:rPr>
            </w:pPr>
            <w:r w:rsidRPr="002456CC">
              <w:rPr>
                <w:rFonts w:cs="Calibri"/>
                <w:color w:val="000000"/>
                <w:sz w:val="16"/>
                <w:szCs w:val="16"/>
              </w:rPr>
              <w:t>4.5</w:t>
            </w:r>
          </w:p>
        </w:tc>
        <w:tc>
          <w:tcPr>
            <w:tcW w:w="510" w:type="dxa"/>
            <w:tcBorders>
              <w:top w:val="nil"/>
              <w:left w:val="nil"/>
              <w:bottom w:val="nil"/>
              <w:right w:val="single" w:sz="8" w:space="0" w:color="auto"/>
            </w:tcBorders>
            <w:shd w:val="clear" w:color="auto" w:fill="auto"/>
            <w:noWrap/>
            <w:vAlign w:val="center"/>
            <w:hideMark/>
          </w:tcPr>
          <w:p w14:paraId="1AA9BD54" w14:textId="77777777" w:rsidR="000F6636" w:rsidRPr="00F26CB9" w:rsidRDefault="000F6636" w:rsidP="00484DB0">
            <w:pPr>
              <w:pStyle w:val="Bezriadkovania"/>
              <w:jc w:val="center"/>
              <w:rPr>
                <w:sz w:val="16"/>
                <w:szCs w:val="16"/>
              </w:rPr>
            </w:pPr>
            <w:r w:rsidRPr="002456CC">
              <w:rPr>
                <w:rFonts w:cs="Calibri"/>
                <w:color w:val="000000"/>
                <w:sz w:val="16"/>
                <w:szCs w:val="16"/>
              </w:rPr>
              <w:t>4.5</w:t>
            </w:r>
          </w:p>
        </w:tc>
        <w:tc>
          <w:tcPr>
            <w:tcW w:w="544" w:type="dxa"/>
            <w:gridSpan w:val="2"/>
            <w:tcBorders>
              <w:top w:val="nil"/>
              <w:left w:val="single" w:sz="8" w:space="0" w:color="auto"/>
              <w:bottom w:val="nil"/>
              <w:right w:val="nil"/>
            </w:tcBorders>
            <w:shd w:val="clear" w:color="auto" w:fill="auto"/>
            <w:noWrap/>
            <w:vAlign w:val="center"/>
          </w:tcPr>
          <w:p w14:paraId="7CD0FBF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4.0</w:t>
            </w:r>
          </w:p>
        </w:tc>
        <w:tc>
          <w:tcPr>
            <w:tcW w:w="527" w:type="dxa"/>
            <w:gridSpan w:val="2"/>
            <w:tcBorders>
              <w:top w:val="nil"/>
              <w:left w:val="nil"/>
              <w:bottom w:val="nil"/>
              <w:right w:val="nil"/>
            </w:tcBorders>
            <w:shd w:val="clear" w:color="auto" w:fill="auto"/>
            <w:vAlign w:val="center"/>
          </w:tcPr>
          <w:p w14:paraId="785FBC6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3.9</w:t>
            </w:r>
          </w:p>
        </w:tc>
        <w:tc>
          <w:tcPr>
            <w:tcW w:w="527" w:type="dxa"/>
            <w:gridSpan w:val="2"/>
            <w:tcBorders>
              <w:top w:val="nil"/>
              <w:left w:val="nil"/>
              <w:bottom w:val="nil"/>
              <w:right w:val="nil"/>
            </w:tcBorders>
            <w:shd w:val="clear" w:color="auto" w:fill="auto"/>
            <w:vAlign w:val="center"/>
          </w:tcPr>
          <w:p w14:paraId="0BCC7F5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4.6</w:t>
            </w:r>
          </w:p>
        </w:tc>
        <w:tc>
          <w:tcPr>
            <w:tcW w:w="528" w:type="dxa"/>
            <w:tcBorders>
              <w:top w:val="nil"/>
              <w:left w:val="nil"/>
              <w:bottom w:val="nil"/>
              <w:right w:val="nil"/>
            </w:tcBorders>
            <w:shd w:val="clear" w:color="auto" w:fill="auto"/>
            <w:vAlign w:val="center"/>
          </w:tcPr>
          <w:p w14:paraId="3F3DC2B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4.4</w:t>
            </w:r>
          </w:p>
        </w:tc>
      </w:tr>
      <w:tr w:rsidR="000F6636" w:rsidRPr="008E295D" w14:paraId="64C97DD8"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68B1D938"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7</w:t>
            </w:r>
          </w:p>
        </w:tc>
        <w:tc>
          <w:tcPr>
            <w:tcW w:w="3685" w:type="dxa"/>
            <w:gridSpan w:val="2"/>
            <w:tcBorders>
              <w:top w:val="nil"/>
              <w:left w:val="nil"/>
              <w:bottom w:val="nil"/>
              <w:right w:val="nil"/>
            </w:tcBorders>
            <w:shd w:val="clear" w:color="auto" w:fill="auto"/>
            <w:vAlign w:val="center"/>
            <w:hideMark/>
          </w:tcPr>
          <w:p w14:paraId="09E73488" w14:textId="77777777" w:rsidR="000F6636" w:rsidRPr="008E295D" w:rsidRDefault="000F6636" w:rsidP="00484DB0">
            <w:pPr>
              <w:rPr>
                <w:color w:val="000000"/>
                <w:sz w:val="16"/>
                <w:szCs w:val="18"/>
              </w:rPr>
            </w:pPr>
            <w:r w:rsidRPr="008E295D">
              <w:rPr>
                <w:color w:val="000000"/>
                <w:sz w:val="16"/>
                <w:szCs w:val="18"/>
              </w:rPr>
              <w:t xml:space="preserve">Import tovarov a služieb </w:t>
            </w:r>
          </w:p>
        </w:tc>
        <w:tc>
          <w:tcPr>
            <w:tcW w:w="712" w:type="dxa"/>
            <w:gridSpan w:val="2"/>
            <w:tcBorders>
              <w:top w:val="nil"/>
              <w:left w:val="nil"/>
              <w:bottom w:val="nil"/>
              <w:right w:val="single" w:sz="4" w:space="0" w:color="auto"/>
            </w:tcBorders>
            <w:shd w:val="clear" w:color="auto" w:fill="auto"/>
            <w:noWrap/>
            <w:vAlign w:val="center"/>
            <w:hideMark/>
          </w:tcPr>
          <w:p w14:paraId="05D6EA33"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20E36120" w14:textId="77777777" w:rsidR="000F6636" w:rsidRPr="00F26CB9" w:rsidRDefault="000F6636" w:rsidP="00484DB0">
            <w:pPr>
              <w:pStyle w:val="Bezriadkovania"/>
              <w:jc w:val="center"/>
              <w:rPr>
                <w:sz w:val="16"/>
                <w:szCs w:val="16"/>
              </w:rPr>
            </w:pPr>
            <w:r w:rsidRPr="002456CC">
              <w:rPr>
                <w:rFonts w:cs="Calibri"/>
                <w:color w:val="000000"/>
                <w:sz w:val="16"/>
                <w:szCs w:val="16"/>
              </w:rPr>
              <w:t>6.3</w:t>
            </w:r>
          </w:p>
        </w:tc>
        <w:tc>
          <w:tcPr>
            <w:tcW w:w="527" w:type="dxa"/>
            <w:gridSpan w:val="2"/>
            <w:tcBorders>
              <w:top w:val="nil"/>
              <w:left w:val="nil"/>
              <w:bottom w:val="nil"/>
              <w:right w:val="nil"/>
            </w:tcBorders>
            <w:shd w:val="clear" w:color="auto" w:fill="auto"/>
            <w:noWrap/>
            <w:vAlign w:val="center"/>
            <w:hideMark/>
          </w:tcPr>
          <w:p w14:paraId="4E11BDC0" w14:textId="77777777" w:rsidR="000F6636" w:rsidRPr="00F26CB9" w:rsidRDefault="000F6636" w:rsidP="00484DB0">
            <w:pPr>
              <w:pStyle w:val="Bezriadkovania"/>
              <w:jc w:val="center"/>
              <w:rPr>
                <w:sz w:val="16"/>
                <w:szCs w:val="16"/>
              </w:rPr>
            </w:pPr>
            <w:r w:rsidRPr="002456CC">
              <w:rPr>
                <w:rFonts w:cs="Calibri"/>
                <w:color w:val="000000"/>
                <w:sz w:val="16"/>
                <w:szCs w:val="16"/>
              </w:rPr>
              <w:t>4.7</w:t>
            </w:r>
          </w:p>
        </w:tc>
        <w:tc>
          <w:tcPr>
            <w:tcW w:w="527" w:type="dxa"/>
            <w:gridSpan w:val="3"/>
            <w:tcBorders>
              <w:top w:val="nil"/>
              <w:left w:val="nil"/>
              <w:bottom w:val="nil"/>
              <w:right w:val="nil"/>
            </w:tcBorders>
            <w:shd w:val="clear" w:color="auto" w:fill="auto"/>
            <w:noWrap/>
            <w:vAlign w:val="center"/>
            <w:hideMark/>
          </w:tcPr>
          <w:p w14:paraId="19A94046" w14:textId="77777777" w:rsidR="000F6636" w:rsidRPr="00F26CB9" w:rsidRDefault="000F6636" w:rsidP="00484DB0">
            <w:pPr>
              <w:pStyle w:val="Bezriadkovania"/>
              <w:jc w:val="center"/>
              <w:rPr>
                <w:sz w:val="16"/>
                <w:szCs w:val="16"/>
              </w:rPr>
            </w:pPr>
            <w:r w:rsidRPr="002456CC">
              <w:rPr>
                <w:rFonts w:cs="Calibri"/>
                <w:color w:val="000000"/>
                <w:sz w:val="16"/>
                <w:szCs w:val="16"/>
              </w:rPr>
              <w:t>3.1</w:t>
            </w:r>
          </w:p>
        </w:tc>
        <w:tc>
          <w:tcPr>
            <w:tcW w:w="510" w:type="dxa"/>
            <w:tcBorders>
              <w:top w:val="nil"/>
              <w:left w:val="nil"/>
              <w:bottom w:val="nil"/>
              <w:right w:val="single" w:sz="8" w:space="0" w:color="auto"/>
            </w:tcBorders>
            <w:shd w:val="clear" w:color="auto" w:fill="auto"/>
            <w:noWrap/>
            <w:vAlign w:val="center"/>
            <w:hideMark/>
          </w:tcPr>
          <w:p w14:paraId="0D1388E3" w14:textId="77777777" w:rsidR="000F6636" w:rsidRPr="00F26CB9" w:rsidRDefault="000F6636" w:rsidP="00484DB0">
            <w:pPr>
              <w:pStyle w:val="Bezriadkovania"/>
              <w:jc w:val="center"/>
              <w:rPr>
                <w:sz w:val="16"/>
                <w:szCs w:val="16"/>
              </w:rPr>
            </w:pPr>
            <w:r w:rsidRPr="002456CC">
              <w:rPr>
                <w:rFonts w:cs="Calibri"/>
                <w:color w:val="000000"/>
                <w:sz w:val="16"/>
                <w:szCs w:val="16"/>
              </w:rPr>
              <w:t>2.9</w:t>
            </w:r>
          </w:p>
        </w:tc>
        <w:tc>
          <w:tcPr>
            <w:tcW w:w="544" w:type="dxa"/>
            <w:gridSpan w:val="2"/>
            <w:tcBorders>
              <w:top w:val="nil"/>
              <w:left w:val="single" w:sz="8" w:space="0" w:color="auto"/>
              <w:bottom w:val="nil"/>
              <w:right w:val="nil"/>
            </w:tcBorders>
            <w:shd w:val="clear" w:color="auto" w:fill="auto"/>
            <w:noWrap/>
            <w:vAlign w:val="center"/>
          </w:tcPr>
          <w:p w14:paraId="41771C9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7.4</w:t>
            </w:r>
          </w:p>
        </w:tc>
        <w:tc>
          <w:tcPr>
            <w:tcW w:w="527" w:type="dxa"/>
            <w:gridSpan w:val="2"/>
            <w:tcBorders>
              <w:top w:val="nil"/>
              <w:left w:val="nil"/>
              <w:bottom w:val="nil"/>
              <w:right w:val="nil"/>
            </w:tcBorders>
            <w:shd w:val="clear" w:color="auto" w:fill="auto"/>
            <w:vAlign w:val="center"/>
          </w:tcPr>
          <w:p w14:paraId="118FD80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3.5</w:t>
            </w:r>
          </w:p>
        </w:tc>
        <w:tc>
          <w:tcPr>
            <w:tcW w:w="527" w:type="dxa"/>
            <w:gridSpan w:val="2"/>
            <w:tcBorders>
              <w:top w:val="nil"/>
              <w:left w:val="nil"/>
              <w:bottom w:val="nil"/>
              <w:right w:val="nil"/>
            </w:tcBorders>
            <w:shd w:val="clear" w:color="auto" w:fill="auto"/>
            <w:vAlign w:val="center"/>
          </w:tcPr>
          <w:p w14:paraId="565FF10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3.2</w:t>
            </w:r>
          </w:p>
        </w:tc>
        <w:tc>
          <w:tcPr>
            <w:tcW w:w="528" w:type="dxa"/>
            <w:tcBorders>
              <w:top w:val="nil"/>
              <w:left w:val="nil"/>
              <w:bottom w:val="nil"/>
              <w:right w:val="nil"/>
            </w:tcBorders>
            <w:shd w:val="clear" w:color="auto" w:fill="auto"/>
            <w:vAlign w:val="center"/>
          </w:tcPr>
          <w:p w14:paraId="39AE0A2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3.0</w:t>
            </w:r>
          </w:p>
        </w:tc>
      </w:tr>
      <w:tr w:rsidR="000F6636" w:rsidRPr="008E295D" w14:paraId="5BF6121E" w14:textId="77777777" w:rsidTr="00484DB0">
        <w:trPr>
          <w:trHeight w:val="227"/>
          <w:jc w:val="center"/>
        </w:trPr>
        <w:tc>
          <w:tcPr>
            <w:tcW w:w="426" w:type="dxa"/>
            <w:tcBorders>
              <w:top w:val="nil"/>
              <w:left w:val="nil"/>
              <w:bottom w:val="nil"/>
              <w:right w:val="nil"/>
            </w:tcBorders>
            <w:shd w:val="clear" w:color="auto" w:fill="auto"/>
            <w:noWrap/>
            <w:vAlign w:val="center"/>
          </w:tcPr>
          <w:p w14:paraId="20EDC055"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8</w:t>
            </w:r>
          </w:p>
        </w:tc>
        <w:tc>
          <w:tcPr>
            <w:tcW w:w="3685" w:type="dxa"/>
            <w:gridSpan w:val="2"/>
            <w:tcBorders>
              <w:top w:val="nil"/>
              <w:left w:val="nil"/>
              <w:bottom w:val="nil"/>
              <w:right w:val="nil"/>
            </w:tcBorders>
            <w:shd w:val="clear" w:color="auto" w:fill="auto"/>
            <w:noWrap/>
            <w:vAlign w:val="center"/>
          </w:tcPr>
          <w:p w14:paraId="5BF82FD4" w14:textId="77777777" w:rsidR="000F6636" w:rsidRPr="008E295D" w:rsidRDefault="000F6636" w:rsidP="00484DB0">
            <w:pPr>
              <w:rPr>
                <w:color w:val="000000"/>
                <w:sz w:val="16"/>
                <w:szCs w:val="18"/>
              </w:rPr>
            </w:pPr>
            <w:r w:rsidRPr="008E295D">
              <w:rPr>
                <w:color w:val="000000"/>
                <w:sz w:val="16"/>
                <w:szCs w:val="18"/>
              </w:rPr>
              <w:t>Produkčná medzera (podiel na potenciálnom produkte)</w:t>
            </w:r>
          </w:p>
        </w:tc>
        <w:tc>
          <w:tcPr>
            <w:tcW w:w="712" w:type="dxa"/>
            <w:gridSpan w:val="2"/>
            <w:tcBorders>
              <w:top w:val="nil"/>
              <w:left w:val="nil"/>
              <w:bottom w:val="nil"/>
              <w:right w:val="single" w:sz="4" w:space="0" w:color="auto"/>
            </w:tcBorders>
            <w:shd w:val="clear" w:color="auto" w:fill="auto"/>
            <w:noWrap/>
            <w:vAlign w:val="center"/>
          </w:tcPr>
          <w:p w14:paraId="5B4FC5A2"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tcPr>
          <w:p w14:paraId="1E5DCE17" w14:textId="77777777" w:rsidR="000F6636" w:rsidRPr="00F26CB9" w:rsidRDefault="000F6636" w:rsidP="00484DB0">
            <w:pPr>
              <w:pStyle w:val="Bezriadkovania"/>
              <w:jc w:val="center"/>
              <w:rPr>
                <w:sz w:val="16"/>
                <w:szCs w:val="16"/>
              </w:rPr>
            </w:pPr>
            <w:r w:rsidRPr="002456CC">
              <w:rPr>
                <w:rFonts w:cs="Calibri"/>
                <w:color w:val="000000"/>
                <w:sz w:val="16"/>
                <w:szCs w:val="16"/>
              </w:rPr>
              <w:t>-0.3</w:t>
            </w:r>
          </w:p>
        </w:tc>
        <w:tc>
          <w:tcPr>
            <w:tcW w:w="527" w:type="dxa"/>
            <w:gridSpan w:val="2"/>
            <w:tcBorders>
              <w:top w:val="nil"/>
              <w:left w:val="nil"/>
              <w:bottom w:val="nil"/>
              <w:right w:val="nil"/>
            </w:tcBorders>
            <w:shd w:val="clear" w:color="auto" w:fill="auto"/>
            <w:noWrap/>
            <w:vAlign w:val="center"/>
          </w:tcPr>
          <w:p w14:paraId="0FB813F6" w14:textId="77777777" w:rsidR="000F6636" w:rsidRPr="00F26CB9" w:rsidRDefault="000F6636" w:rsidP="00484DB0">
            <w:pPr>
              <w:pStyle w:val="Bezriadkovania"/>
              <w:jc w:val="center"/>
              <w:rPr>
                <w:sz w:val="16"/>
                <w:szCs w:val="16"/>
              </w:rPr>
            </w:pPr>
            <w:r w:rsidRPr="002456CC">
              <w:rPr>
                <w:rFonts w:cs="Calibri"/>
                <w:color w:val="000000"/>
                <w:sz w:val="16"/>
                <w:szCs w:val="16"/>
              </w:rPr>
              <w:t>0.7</w:t>
            </w:r>
          </w:p>
        </w:tc>
        <w:tc>
          <w:tcPr>
            <w:tcW w:w="527" w:type="dxa"/>
            <w:gridSpan w:val="3"/>
            <w:tcBorders>
              <w:top w:val="nil"/>
              <w:left w:val="nil"/>
              <w:bottom w:val="nil"/>
              <w:right w:val="nil"/>
            </w:tcBorders>
            <w:shd w:val="clear" w:color="auto" w:fill="auto"/>
            <w:noWrap/>
            <w:vAlign w:val="center"/>
          </w:tcPr>
          <w:p w14:paraId="23E28269" w14:textId="77777777" w:rsidR="000F6636" w:rsidRPr="00F26CB9" w:rsidRDefault="000F6636" w:rsidP="00484DB0">
            <w:pPr>
              <w:pStyle w:val="Bezriadkovania"/>
              <w:jc w:val="center"/>
              <w:rPr>
                <w:sz w:val="16"/>
                <w:szCs w:val="16"/>
              </w:rPr>
            </w:pPr>
            <w:r w:rsidRPr="002456CC">
              <w:rPr>
                <w:rFonts w:cs="Calibri"/>
                <w:color w:val="000000"/>
                <w:sz w:val="16"/>
                <w:szCs w:val="16"/>
              </w:rPr>
              <w:t>1.0</w:t>
            </w:r>
          </w:p>
        </w:tc>
        <w:tc>
          <w:tcPr>
            <w:tcW w:w="510" w:type="dxa"/>
            <w:tcBorders>
              <w:top w:val="nil"/>
              <w:left w:val="nil"/>
              <w:bottom w:val="nil"/>
              <w:right w:val="single" w:sz="8" w:space="0" w:color="auto"/>
            </w:tcBorders>
            <w:shd w:val="clear" w:color="auto" w:fill="auto"/>
            <w:noWrap/>
            <w:vAlign w:val="center"/>
          </w:tcPr>
          <w:p w14:paraId="43B1B8E8" w14:textId="77777777" w:rsidR="000F6636" w:rsidRPr="00F26CB9" w:rsidRDefault="000F6636" w:rsidP="00484DB0">
            <w:pPr>
              <w:pStyle w:val="Bezriadkovania"/>
              <w:jc w:val="center"/>
              <w:rPr>
                <w:sz w:val="16"/>
                <w:szCs w:val="16"/>
              </w:rPr>
            </w:pPr>
            <w:r w:rsidRPr="002456CC">
              <w:rPr>
                <w:rFonts w:cs="Calibri"/>
                <w:color w:val="000000"/>
                <w:sz w:val="16"/>
                <w:szCs w:val="16"/>
              </w:rPr>
              <w:t>0.8</w:t>
            </w:r>
          </w:p>
        </w:tc>
        <w:tc>
          <w:tcPr>
            <w:tcW w:w="544" w:type="dxa"/>
            <w:gridSpan w:val="2"/>
            <w:tcBorders>
              <w:top w:val="nil"/>
              <w:left w:val="single" w:sz="8" w:space="0" w:color="auto"/>
              <w:bottom w:val="nil"/>
              <w:right w:val="nil"/>
            </w:tcBorders>
            <w:shd w:val="clear" w:color="auto" w:fill="auto"/>
            <w:noWrap/>
            <w:vAlign w:val="center"/>
          </w:tcPr>
          <w:p w14:paraId="140F700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0.5</w:t>
            </w:r>
          </w:p>
        </w:tc>
        <w:tc>
          <w:tcPr>
            <w:tcW w:w="527" w:type="dxa"/>
            <w:gridSpan w:val="2"/>
            <w:tcBorders>
              <w:top w:val="nil"/>
              <w:left w:val="nil"/>
              <w:bottom w:val="nil"/>
              <w:right w:val="nil"/>
            </w:tcBorders>
            <w:shd w:val="clear" w:color="auto" w:fill="auto"/>
            <w:vAlign w:val="center"/>
          </w:tcPr>
          <w:p w14:paraId="2F4A7F6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1.1</w:t>
            </w:r>
          </w:p>
        </w:tc>
        <w:tc>
          <w:tcPr>
            <w:tcW w:w="527" w:type="dxa"/>
            <w:gridSpan w:val="2"/>
            <w:tcBorders>
              <w:top w:val="nil"/>
              <w:left w:val="nil"/>
              <w:bottom w:val="nil"/>
              <w:right w:val="nil"/>
            </w:tcBorders>
            <w:shd w:val="clear" w:color="auto" w:fill="auto"/>
            <w:vAlign w:val="center"/>
          </w:tcPr>
          <w:p w14:paraId="5806AD1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1.0</w:t>
            </w:r>
          </w:p>
        </w:tc>
        <w:tc>
          <w:tcPr>
            <w:tcW w:w="528" w:type="dxa"/>
            <w:tcBorders>
              <w:top w:val="nil"/>
              <w:left w:val="nil"/>
              <w:bottom w:val="nil"/>
              <w:right w:val="nil"/>
            </w:tcBorders>
            <w:shd w:val="clear" w:color="auto" w:fill="auto"/>
            <w:vAlign w:val="center"/>
          </w:tcPr>
          <w:p w14:paraId="132A61C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0.6</w:t>
            </w:r>
          </w:p>
        </w:tc>
      </w:tr>
      <w:tr w:rsidR="000F6636" w:rsidRPr="008E295D" w14:paraId="17C53B0A"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0A21E849"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9</w:t>
            </w:r>
          </w:p>
        </w:tc>
        <w:tc>
          <w:tcPr>
            <w:tcW w:w="3685" w:type="dxa"/>
            <w:gridSpan w:val="2"/>
            <w:tcBorders>
              <w:top w:val="nil"/>
              <w:left w:val="nil"/>
              <w:bottom w:val="nil"/>
              <w:right w:val="nil"/>
            </w:tcBorders>
            <w:shd w:val="clear" w:color="auto" w:fill="auto"/>
            <w:noWrap/>
            <w:vAlign w:val="center"/>
            <w:hideMark/>
          </w:tcPr>
          <w:p w14:paraId="51D8F4C3" w14:textId="77777777" w:rsidR="000F6636" w:rsidRPr="008E295D" w:rsidRDefault="000F6636" w:rsidP="00484DB0">
            <w:pPr>
              <w:rPr>
                <w:color w:val="000000"/>
                <w:sz w:val="16"/>
                <w:szCs w:val="18"/>
              </w:rPr>
            </w:pPr>
            <w:r w:rsidRPr="008E295D">
              <w:rPr>
                <w:color w:val="000000"/>
                <w:sz w:val="16"/>
                <w:szCs w:val="18"/>
              </w:rPr>
              <w:t>Priemerná mesačná mzda za hospodárstvo (nominálny rast)</w:t>
            </w:r>
          </w:p>
        </w:tc>
        <w:tc>
          <w:tcPr>
            <w:tcW w:w="712" w:type="dxa"/>
            <w:gridSpan w:val="2"/>
            <w:tcBorders>
              <w:top w:val="nil"/>
              <w:left w:val="nil"/>
              <w:bottom w:val="nil"/>
              <w:right w:val="single" w:sz="4" w:space="0" w:color="auto"/>
            </w:tcBorders>
            <w:shd w:val="clear" w:color="auto" w:fill="auto"/>
            <w:noWrap/>
            <w:vAlign w:val="center"/>
            <w:hideMark/>
          </w:tcPr>
          <w:p w14:paraId="0B32B82E"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33D0804C" w14:textId="77777777" w:rsidR="000F6636" w:rsidRPr="00F26CB9" w:rsidRDefault="000F6636" w:rsidP="00484DB0">
            <w:pPr>
              <w:pStyle w:val="Bezriadkovania"/>
              <w:jc w:val="center"/>
              <w:rPr>
                <w:sz w:val="16"/>
                <w:szCs w:val="16"/>
              </w:rPr>
            </w:pPr>
            <w:r w:rsidRPr="002456CC">
              <w:rPr>
                <w:rFonts w:cs="Calibri"/>
                <w:color w:val="000000"/>
                <w:sz w:val="16"/>
                <w:szCs w:val="16"/>
              </w:rPr>
              <w:t>6.3</w:t>
            </w:r>
          </w:p>
        </w:tc>
        <w:tc>
          <w:tcPr>
            <w:tcW w:w="527" w:type="dxa"/>
            <w:gridSpan w:val="2"/>
            <w:tcBorders>
              <w:top w:val="nil"/>
              <w:left w:val="nil"/>
              <w:bottom w:val="nil"/>
              <w:right w:val="nil"/>
            </w:tcBorders>
            <w:shd w:val="clear" w:color="auto" w:fill="auto"/>
            <w:noWrap/>
            <w:vAlign w:val="center"/>
            <w:hideMark/>
          </w:tcPr>
          <w:p w14:paraId="60D6B74D" w14:textId="77777777" w:rsidR="000F6636" w:rsidRPr="00F26CB9" w:rsidRDefault="000F6636" w:rsidP="00484DB0">
            <w:pPr>
              <w:pStyle w:val="Bezriadkovania"/>
              <w:jc w:val="center"/>
              <w:rPr>
                <w:sz w:val="16"/>
                <w:szCs w:val="16"/>
              </w:rPr>
            </w:pPr>
            <w:r w:rsidRPr="002456CC">
              <w:rPr>
                <w:rFonts w:cs="Calibri"/>
                <w:color w:val="000000"/>
                <w:sz w:val="16"/>
                <w:szCs w:val="16"/>
              </w:rPr>
              <w:t>5.5</w:t>
            </w:r>
          </w:p>
        </w:tc>
        <w:tc>
          <w:tcPr>
            <w:tcW w:w="527" w:type="dxa"/>
            <w:gridSpan w:val="3"/>
            <w:tcBorders>
              <w:top w:val="nil"/>
              <w:left w:val="nil"/>
              <w:bottom w:val="nil"/>
              <w:right w:val="nil"/>
            </w:tcBorders>
            <w:shd w:val="clear" w:color="auto" w:fill="auto"/>
            <w:noWrap/>
            <w:vAlign w:val="center"/>
            <w:hideMark/>
          </w:tcPr>
          <w:p w14:paraId="2843010E" w14:textId="77777777" w:rsidR="000F6636" w:rsidRPr="00F26CB9" w:rsidRDefault="000F6636" w:rsidP="00484DB0">
            <w:pPr>
              <w:pStyle w:val="Bezriadkovania"/>
              <w:jc w:val="center"/>
              <w:rPr>
                <w:sz w:val="16"/>
                <w:szCs w:val="16"/>
              </w:rPr>
            </w:pPr>
            <w:r w:rsidRPr="002456CC">
              <w:rPr>
                <w:rFonts w:cs="Calibri"/>
                <w:color w:val="000000"/>
                <w:sz w:val="16"/>
                <w:szCs w:val="16"/>
              </w:rPr>
              <w:t>4.4</w:t>
            </w:r>
          </w:p>
        </w:tc>
        <w:tc>
          <w:tcPr>
            <w:tcW w:w="510" w:type="dxa"/>
            <w:tcBorders>
              <w:top w:val="nil"/>
              <w:left w:val="nil"/>
              <w:bottom w:val="nil"/>
              <w:right w:val="single" w:sz="8" w:space="0" w:color="auto"/>
            </w:tcBorders>
            <w:shd w:val="clear" w:color="auto" w:fill="auto"/>
            <w:noWrap/>
            <w:vAlign w:val="center"/>
            <w:hideMark/>
          </w:tcPr>
          <w:p w14:paraId="2D8C4822" w14:textId="77777777" w:rsidR="000F6636" w:rsidRPr="00F26CB9" w:rsidRDefault="000F6636" w:rsidP="00484DB0">
            <w:pPr>
              <w:pStyle w:val="Bezriadkovania"/>
              <w:jc w:val="center"/>
              <w:rPr>
                <w:sz w:val="16"/>
                <w:szCs w:val="16"/>
              </w:rPr>
            </w:pPr>
            <w:r w:rsidRPr="002456CC">
              <w:rPr>
                <w:rFonts w:cs="Calibri"/>
                <w:color w:val="000000"/>
                <w:sz w:val="16"/>
                <w:szCs w:val="16"/>
              </w:rPr>
              <w:t>4.0</w:t>
            </w:r>
          </w:p>
        </w:tc>
        <w:tc>
          <w:tcPr>
            <w:tcW w:w="544" w:type="dxa"/>
            <w:gridSpan w:val="2"/>
            <w:tcBorders>
              <w:top w:val="nil"/>
              <w:left w:val="single" w:sz="8" w:space="0" w:color="auto"/>
              <w:bottom w:val="nil"/>
              <w:right w:val="nil"/>
            </w:tcBorders>
            <w:shd w:val="clear" w:color="auto" w:fill="auto"/>
            <w:noWrap/>
            <w:vAlign w:val="center"/>
          </w:tcPr>
          <w:p w14:paraId="79B81637"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7.1</w:t>
            </w:r>
          </w:p>
        </w:tc>
        <w:tc>
          <w:tcPr>
            <w:tcW w:w="527" w:type="dxa"/>
            <w:gridSpan w:val="2"/>
            <w:tcBorders>
              <w:top w:val="nil"/>
              <w:left w:val="nil"/>
              <w:bottom w:val="nil"/>
              <w:right w:val="nil"/>
            </w:tcBorders>
            <w:shd w:val="clear" w:color="auto" w:fill="auto"/>
            <w:vAlign w:val="center"/>
          </w:tcPr>
          <w:p w14:paraId="2639425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5.3</w:t>
            </w:r>
          </w:p>
        </w:tc>
        <w:tc>
          <w:tcPr>
            <w:tcW w:w="527" w:type="dxa"/>
            <w:gridSpan w:val="2"/>
            <w:tcBorders>
              <w:top w:val="nil"/>
              <w:left w:val="nil"/>
              <w:bottom w:val="nil"/>
              <w:right w:val="nil"/>
            </w:tcBorders>
            <w:shd w:val="clear" w:color="auto" w:fill="auto"/>
            <w:vAlign w:val="center"/>
          </w:tcPr>
          <w:p w14:paraId="7DB25E3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4.5</w:t>
            </w:r>
          </w:p>
        </w:tc>
        <w:tc>
          <w:tcPr>
            <w:tcW w:w="528" w:type="dxa"/>
            <w:tcBorders>
              <w:top w:val="nil"/>
              <w:left w:val="nil"/>
              <w:bottom w:val="nil"/>
              <w:right w:val="nil"/>
            </w:tcBorders>
            <w:shd w:val="clear" w:color="auto" w:fill="auto"/>
            <w:vAlign w:val="center"/>
          </w:tcPr>
          <w:p w14:paraId="3ED54BA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4.2</w:t>
            </w:r>
          </w:p>
        </w:tc>
      </w:tr>
      <w:tr w:rsidR="000F6636" w:rsidRPr="008E295D" w14:paraId="17755607"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0476A689"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10</w:t>
            </w:r>
          </w:p>
        </w:tc>
        <w:tc>
          <w:tcPr>
            <w:tcW w:w="3685" w:type="dxa"/>
            <w:gridSpan w:val="2"/>
            <w:tcBorders>
              <w:top w:val="nil"/>
              <w:left w:val="nil"/>
              <w:bottom w:val="nil"/>
              <w:right w:val="nil"/>
            </w:tcBorders>
            <w:shd w:val="clear" w:color="auto" w:fill="auto"/>
            <w:noWrap/>
            <w:vAlign w:val="center"/>
            <w:hideMark/>
          </w:tcPr>
          <w:p w14:paraId="56DF7636" w14:textId="77777777" w:rsidR="000F6636" w:rsidRPr="008E295D" w:rsidRDefault="000F6636" w:rsidP="00484DB0">
            <w:pPr>
              <w:rPr>
                <w:color w:val="000000"/>
                <w:sz w:val="16"/>
                <w:szCs w:val="18"/>
              </w:rPr>
            </w:pPr>
            <w:r w:rsidRPr="008E295D">
              <w:rPr>
                <w:color w:val="000000"/>
                <w:sz w:val="16"/>
                <w:szCs w:val="18"/>
              </w:rPr>
              <w:t>Priemerný rast zamestnanosti, podľa VZPS</w:t>
            </w:r>
          </w:p>
        </w:tc>
        <w:tc>
          <w:tcPr>
            <w:tcW w:w="712" w:type="dxa"/>
            <w:gridSpan w:val="2"/>
            <w:tcBorders>
              <w:top w:val="nil"/>
              <w:left w:val="nil"/>
              <w:bottom w:val="nil"/>
              <w:right w:val="single" w:sz="4" w:space="0" w:color="auto"/>
            </w:tcBorders>
            <w:shd w:val="clear" w:color="auto" w:fill="auto"/>
            <w:noWrap/>
            <w:vAlign w:val="center"/>
            <w:hideMark/>
          </w:tcPr>
          <w:p w14:paraId="55C6E868"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4ACEC21C" w14:textId="77777777" w:rsidR="000F6636" w:rsidRPr="00F26CB9" w:rsidRDefault="000F6636" w:rsidP="00484DB0">
            <w:pPr>
              <w:pStyle w:val="Bezriadkovania"/>
              <w:jc w:val="center"/>
              <w:rPr>
                <w:sz w:val="16"/>
                <w:szCs w:val="16"/>
              </w:rPr>
            </w:pPr>
            <w:r w:rsidRPr="002456CC">
              <w:rPr>
                <w:rFonts w:cs="Calibri"/>
                <w:color w:val="000000"/>
                <w:sz w:val="16"/>
                <w:szCs w:val="16"/>
              </w:rPr>
              <w:t>0.2</w:t>
            </w:r>
          </w:p>
        </w:tc>
        <w:tc>
          <w:tcPr>
            <w:tcW w:w="527" w:type="dxa"/>
            <w:gridSpan w:val="2"/>
            <w:tcBorders>
              <w:top w:val="nil"/>
              <w:left w:val="nil"/>
              <w:bottom w:val="nil"/>
              <w:right w:val="nil"/>
            </w:tcBorders>
            <w:shd w:val="clear" w:color="auto" w:fill="auto"/>
            <w:noWrap/>
            <w:vAlign w:val="center"/>
            <w:hideMark/>
          </w:tcPr>
          <w:p w14:paraId="78F98E53" w14:textId="77777777" w:rsidR="000F6636" w:rsidRPr="00F26CB9" w:rsidRDefault="000F6636" w:rsidP="00484DB0">
            <w:pPr>
              <w:pStyle w:val="Bezriadkovania"/>
              <w:jc w:val="center"/>
              <w:rPr>
                <w:sz w:val="16"/>
                <w:szCs w:val="16"/>
              </w:rPr>
            </w:pPr>
            <w:r w:rsidRPr="002456CC">
              <w:rPr>
                <w:rFonts w:cs="Calibri"/>
                <w:color w:val="000000"/>
                <w:sz w:val="16"/>
                <w:szCs w:val="16"/>
              </w:rPr>
              <w:t>0.2</w:t>
            </w:r>
          </w:p>
        </w:tc>
        <w:tc>
          <w:tcPr>
            <w:tcW w:w="527" w:type="dxa"/>
            <w:gridSpan w:val="3"/>
            <w:tcBorders>
              <w:top w:val="nil"/>
              <w:left w:val="nil"/>
              <w:bottom w:val="nil"/>
              <w:right w:val="nil"/>
            </w:tcBorders>
            <w:shd w:val="clear" w:color="auto" w:fill="auto"/>
            <w:noWrap/>
            <w:vAlign w:val="center"/>
            <w:hideMark/>
          </w:tcPr>
          <w:p w14:paraId="18D60469" w14:textId="77777777" w:rsidR="000F6636" w:rsidRPr="00F26CB9" w:rsidRDefault="000F6636" w:rsidP="00484DB0">
            <w:pPr>
              <w:pStyle w:val="Bezriadkovania"/>
              <w:jc w:val="center"/>
              <w:rPr>
                <w:sz w:val="16"/>
                <w:szCs w:val="16"/>
              </w:rPr>
            </w:pPr>
            <w:r w:rsidRPr="002456CC">
              <w:rPr>
                <w:rFonts w:cs="Calibri"/>
                <w:color w:val="000000"/>
                <w:sz w:val="16"/>
                <w:szCs w:val="16"/>
              </w:rPr>
              <w:t>0.0</w:t>
            </w:r>
          </w:p>
        </w:tc>
        <w:tc>
          <w:tcPr>
            <w:tcW w:w="510" w:type="dxa"/>
            <w:tcBorders>
              <w:top w:val="nil"/>
              <w:left w:val="nil"/>
              <w:bottom w:val="nil"/>
              <w:right w:val="single" w:sz="8" w:space="0" w:color="auto"/>
            </w:tcBorders>
            <w:shd w:val="clear" w:color="auto" w:fill="auto"/>
            <w:noWrap/>
            <w:vAlign w:val="center"/>
            <w:hideMark/>
          </w:tcPr>
          <w:p w14:paraId="6573E62A" w14:textId="77777777" w:rsidR="000F6636" w:rsidRPr="00F26CB9" w:rsidRDefault="000F6636" w:rsidP="00484DB0">
            <w:pPr>
              <w:pStyle w:val="Bezriadkovania"/>
              <w:jc w:val="center"/>
              <w:rPr>
                <w:sz w:val="16"/>
                <w:szCs w:val="16"/>
              </w:rPr>
            </w:pPr>
            <w:r w:rsidRPr="002456CC">
              <w:rPr>
                <w:rFonts w:cs="Calibri"/>
                <w:color w:val="000000"/>
                <w:sz w:val="16"/>
                <w:szCs w:val="16"/>
              </w:rPr>
              <w:t>-0.3</w:t>
            </w:r>
          </w:p>
        </w:tc>
        <w:tc>
          <w:tcPr>
            <w:tcW w:w="544" w:type="dxa"/>
            <w:gridSpan w:val="2"/>
            <w:tcBorders>
              <w:top w:val="nil"/>
              <w:left w:val="single" w:sz="8" w:space="0" w:color="auto"/>
              <w:bottom w:val="nil"/>
              <w:right w:val="nil"/>
            </w:tcBorders>
            <w:shd w:val="clear" w:color="auto" w:fill="auto"/>
            <w:noWrap/>
            <w:vAlign w:val="center"/>
          </w:tcPr>
          <w:p w14:paraId="2A51D80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0.0</w:t>
            </w:r>
          </w:p>
        </w:tc>
        <w:tc>
          <w:tcPr>
            <w:tcW w:w="527" w:type="dxa"/>
            <w:gridSpan w:val="2"/>
            <w:tcBorders>
              <w:top w:val="nil"/>
              <w:left w:val="nil"/>
              <w:bottom w:val="nil"/>
              <w:right w:val="nil"/>
            </w:tcBorders>
            <w:shd w:val="clear" w:color="auto" w:fill="auto"/>
            <w:vAlign w:val="center"/>
          </w:tcPr>
          <w:p w14:paraId="20D9B800"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0.0</w:t>
            </w:r>
          </w:p>
        </w:tc>
        <w:tc>
          <w:tcPr>
            <w:tcW w:w="527" w:type="dxa"/>
            <w:gridSpan w:val="2"/>
            <w:tcBorders>
              <w:top w:val="nil"/>
              <w:left w:val="nil"/>
              <w:bottom w:val="nil"/>
              <w:right w:val="nil"/>
            </w:tcBorders>
            <w:shd w:val="clear" w:color="auto" w:fill="auto"/>
            <w:vAlign w:val="center"/>
          </w:tcPr>
          <w:p w14:paraId="5B748C9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-0.4</w:t>
            </w:r>
          </w:p>
        </w:tc>
        <w:tc>
          <w:tcPr>
            <w:tcW w:w="528" w:type="dxa"/>
            <w:tcBorders>
              <w:top w:val="nil"/>
              <w:left w:val="nil"/>
              <w:bottom w:val="nil"/>
              <w:right w:val="nil"/>
            </w:tcBorders>
            <w:shd w:val="clear" w:color="auto" w:fill="auto"/>
            <w:vAlign w:val="center"/>
          </w:tcPr>
          <w:p w14:paraId="2142B70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-0.5</w:t>
            </w:r>
          </w:p>
        </w:tc>
      </w:tr>
      <w:tr w:rsidR="000F6636" w:rsidRPr="008E295D" w14:paraId="2C9B6CBF"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0B71F807"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11</w:t>
            </w:r>
          </w:p>
        </w:tc>
        <w:tc>
          <w:tcPr>
            <w:tcW w:w="3685" w:type="dxa"/>
            <w:gridSpan w:val="2"/>
            <w:tcBorders>
              <w:top w:val="nil"/>
              <w:left w:val="nil"/>
              <w:bottom w:val="nil"/>
              <w:right w:val="nil"/>
            </w:tcBorders>
            <w:shd w:val="clear" w:color="auto" w:fill="auto"/>
            <w:vAlign w:val="center"/>
            <w:hideMark/>
          </w:tcPr>
          <w:p w14:paraId="2E44E1D6" w14:textId="77777777" w:rsidR="000F6636" w:rsidRPr="008E295D" w:rsidRDefault="000F6636" w:rsidP="00484DB0">
            <w:pPr>
              <w:rPr>
                <w:color w:val="000000"/>
                <w:sz w:val="16"/>
                <w:szCs w:val="18"/>
              </w:rPr>
            </w:pPr>
            <w:r w:rsidRPr="008E295D">
              <w:rPr>
                <w:color w:val="000000"/>
                <w:sz w:val="16"/>
                <w:szCs w:val="18"/>
              </w:rPr>
              <w:t>Priemerný rast zamestnanosti, podľa ESA 2010</w:t>
            </w:r>
          </w:p>
        </w:tc>
        <w:tc>
          <w:tcPr>
            <w:tcW w:w="712" w:type="dxa"/>
            <w:gridSpan w:val="2"/>
            <w:tcBorders>
              <w:top w:val="nil"/>
              <w:left w:val="nil"/>
              <w:bottom w:val="nil"/>
              <w:right w:val="single" w:sz="4" w:space="0" w:color="auto"/>
            </w:tcBorders>
            <w:shd w:val="clear" w:color="auto" w:fill="auto"/>
            <w:noWrap/>
            <w:vAlign w:val="center"/>
            <w:hideMark/>
          </w:tcPr>
          <w:p w14:paraId="2398988C"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3021097A" w14:textId="77777777" w:rsidR="000F6636" w:rsidRPr="00F26CB9" w:rsidRDefault="000F6636" w:rsidP="00484DB0">
            <w:pPr>
              <w:pStyle w:val="Bezriadkovania"/>
              <w:jc w:val="center"/>
              <w:rPr>
                <w:sz w:val="16"/>
                <w:szCs w:val="16"/>
              </w:rPr>
            </w:pPr>
            <w:r w:rsidRPr="002456CC">
              <w:rPr>
                <w:rFonts w:cs="Calibri"/>
                <w:color w:val="000000"/>
                <w:sz w:val="16"/>
                <w:szCs w:val="16"/>
              </w:rPr>
              <w:t>0.2</w:t>
            </w:r>
          </w:p>
        </w:tc>
        <w:tc>
          <w:tcPr>
            <w:tcW w:w="527" w:type="dxa"/>
            <w:gridSpan w:val="2"/>
            <w:tcBorders>
              <w:top w:val="nil"/>
              <w:left w:val="nil"/>
              <w:bottom w:val="nil"/>
              <w:right w:val="nil"/>
            </w:tcBorders>
            <w:shd w:val="clear" w:color="auto" w:fill="auto"/>
            <w:noWrap/>
            <w:vAlign w:val="center"/>
            <w:hideMark/>
          </w:tcPr>
          <w:p w14:paraId="7E756642" w14:textId="77777777" w:rsidR="000F6636" w:rsidRPr="00F26CB9" w:rsidRDefault="000F6636" w:rsidP="00484DB0">
            <w:pPr>
              <w:pStyle w:val="Bezriadkovania"/>
              <w:jc w:val="center"/>
              <w:rPr>
                <w:sz w:val="16"/>
                <w:szCs w:val="16"/>
              </w:rPr>
            </w:pPr>
            <w:r w:rsidRPr="002456CC">
              <w:rPr>
                <w:rFonts w:cs="Calibri"/>
                <w:color w:val="000000"/>
                <w:sz w:val="16"/>
                <w:szCs w:val="16"/>
              </w:rPr>
              <w:t>0.7</w:t>
            </w:r>
          </w:p>
        </w:tc>
        <w:tc>
          <w:tcPr>
            <w:tcW w:w="527" w:type="dxa"/>
            <w:gridSpan w:val="3"/>
            <w:tcBorders>
              <w:top w:val="nil"/>
              <w:left w:val="nil"/>
              <w:bottom w:val="nil"/>
              <w:right w:val="nil"/>
            </w:tcBorders>
            <w:shd w:val="clear" w:color="auto" w:fill="auto"/>
            <w:noWrap/>
            <w:vAlign w:val="center"/>
            <w:hideMark/>
          </w:tcPr>
          <w:p w14:paraId="78E0E31D" w14:textId="77777777" w:rsidR="000F6636" w:rsidRPr="00F26CB9" w:rsidRDefault="000F6636" w:rsidP="00484DB0">
            <w:pPr>
              <w:pStyle w:val="Bezriadkovania"/>
              <w:jc w:val="center"/>
              <w:rPr>
                <w:sz w:val="16"/>
                <w:szCs w:val="16"/>
              </w:rPr>
            </w:pPr>
            <w:r w:rsidRPr="002456CC">
              <w:rPr>
                <w:rFonts w:cs="Calibri"/>
                <w:color w:val="000000"/>
                <w:sz w:val="16"/>
                <w:szCs w:val="16"/>
              </w:rPr>
              <w:t>0.5</w:t>
            </w:r>
          </w:p>
        </w:tc>
        <w:tc>
          <w:tcPr>
            <w:tcW w:w="510" w:type="dxa"/>
            <w:tcBorders>
              <w:top w:val="nil"/>
              <w:left w:val="nil"/>
              <w:bottom w:val="nil"/>
              <w:right w:val="single" w:sz="8" w:space="0" w:color="auto"/>
            </w:tcBorders>
            <w:shd w:val="clear" w:color="auto" w:fill="auto"/>
            <w:noWrap/>
            <w:vAlign w:val="center"/>
            <w:hideMark/>
          </w:tcPr>
          <w:p w14:paraId="6675DA86" w14:textId="77777777" w:rsidR="000F6636" w:rsidRPr="00F26CB9" w:rsidRDefault="000F6636" w:rsidP="00484DB0">
            <w:pPr>
              <w:pStyle w:val="Bezriadkovania"/>
              <w:jc w:val="center"/>
              <w:rPr>
                <w:sz w:val="16"/>
                <w:szCs w:val="16"/>
              </w:rPr>
            </w:pPr>
            <w:r w:rsidRPr="002456CC">
              <w:rPr>
                <w:rFonts w:cs="Calibri"/>
                <w:color w:val="000000"/>
                <w:sz w:val="16"/>
                <w:szCs w:val="16"/>
              </w:rPr>
              <w:t>0.1</w:t>
            </w:r>
          </w:p>
        </w:tc>
        <w:tc>
          <w:tcPr>
            <w:tcW w:w="544" w:type="dxa"/>
            <w:gridSpan w:val="2"/>
            <w:tcBorders>
              <w:top w:val="nil"/>
              <w:left w:val="single" w:sz="8" w:space="0" w:color="auto"/>
              <w:bottom w:val="nil"/>
              <w:right w:val="nil"/>
            </w:tcBorders>
            <w:shd w:val="clear" w:color="auto" w:fill="auto"/>
            <w:noWrap/>
            <w:vAlign w:val="center"/>
          </w:tcPr>
          <w:p w14:paraId="524D44C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0.4</w:t>
            </w:r>
          </w:p>
        </w:tc>
        <w:tc>
          <w:tcPr>
            <w:tcW w:w="527" w:type="dxa"/>
            <w:gridSpan w:val="2"/>
            <w:tcBorders>
              <w:top w:val="nil"/>
              <w:left w:val="nil"/>
              <w:bottom w:val="nil"/>
              <w:right w:val="nil"/>
            </w:tcBorders>
            <w:shd w:val="clear" w:color="auto" w:fill="auto"/>
            <w:vAlign w:val="center"/>
          </w:tcPr>
          <w:p w14:paraId="7954A16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0.5</w:t>
            </w:r>
          </w:p>
        </w:tc>
        <w:tc>
          <w:tcPr>
            <w:tcW w:w="527" w:type="dxa"/>
            <w:gridSpan w:val="2"/>
            <w:tcBorders>
              <w:top w:val="nil"/>
              <w:left w:val="nil"/>
              <w:bottom w:val="nil"/>
              <w:right w:val="nil"/>
            </w:tcBorders>
            <w:shd w:val="clear" w:color="auto" w:fill="auto"/>
            <w:vAlign w:val="center"/>
          </w:tcPr>
          <w:p w14:paraId="3EC0796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0.1</w:t>
            </w:r>
          </w:p>
        </w:tc>
        <w:tc>
          <w:tcPr>
            <w:tcW w:w="528" w:type="dxa"/>
            <w:tcBorders>
              <w:top w:val="nil"/>
              <w:left w:val="nil"/>
              <w:bottom w:val="nil"/>
              <w:right w:val="nil"/>
            </w:tcBorders>
            <w:shd w:val="clear" w:color="auto" w:fill="auto"/>
            <w:vAlign w:val="center"/>
          </w:tcPr>
          <w:p w14:paraId="78FD686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-0.3</w:t>
            </w:r>
          </w:p>
        </w:tc>
      </w:tr>
      <w:tr w:rsidR="000F6636" w:rsidRPr="008E295D" w14:paraId="7C1FB6BB"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61A7A4BD"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12</w:t>
            </w:r>
          </w:p>
        </w:tc>
        <w:tc>
          <w:tcPr>
            <w:tcW w:w="3685" w:type="dxa"/>
            <w:gridSpan w:val="2"/>
            <w:tcBorders>
              <w:top w:val="nil"/>
              <w:left w:val="nil"/>
              <w:bottom w:val="nil"/>
              <w:right w:val="nil"/>
            </w:tcBorders>
            <w:shd w:val="clear" w:color="auto" w:fill="auto"/>
            <w:vAlign w:val="center"/>
            <w:hideMark/>
          </w:tcPr>
          <w:p w14:paraId="7767E031" w14:textId="77777777" w:rsidR="000F6636" w:rsidRPr="008E295D" w:rsidRDefault="000F6636" w:rsidP="00484DB0">
            <w:pPr>
              <w:rPr>
                <w:color w:val="000000"/>
                <w:sz w:val="16"/>
                <w:szCs w:val="18"/>
              </w:rPr>
            </w:pPr>
            <w:r w:rsidRPr="008E295D">
              <w:rPr>
                <w:color w:val="000000"/>
                <w:sz w:val="16"/>
                <w:szCs w:val="18"/>
              </w:rPr>
              <w:t>Priemerná miera nezamestnanosti, podľa VZPS</w:t>
            </w:r>
          </w:p>
        </w:tc>
        <w:tc>
          <w:tcPr>
            <w:tcW w:w="712" w:type="dxa"/>
            <w:gridSpan w:val="2"/>
            <w:tcBorders>
              <w:top w:val="nil"/>
              <w:left w:val="nil"/>
              <w:bottom w:val="nil"/>
              <w:right w:val="single" w:sz="4" w:space="0" w:color="auto"/>
            </w:tcBorders>
            <w:shd w:val="clear" w:color="auto" w:fill="auto"/>
            <w:noWrap/>
            <w:vAlign w:val="center"/>
            <w:hideMark/>
          </w:tcPr>
          <w:p w14:paraId="6710A977"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05422934" w14:textId="77777777" w:rsidR="000F6636" w:rsidRPr="00F26CB9" w:rsidRDefault="000F6636" w:rsidP="00484DB0">
            <w:pPr>
              <w:pStyle w:val="Bezriadkovania"/>
              <w:jc w:val="center"/>
              <w:rPr>
                <w:sz w:val="16"/>
                <w:szCs w:val="16"/>
              </w:rPr>
            </w:pPr>
            <w:r w:rsidRPr="002456CC">
              <w:rPr>
                <w:rFonts w:cs="Calibri"/>
                <w:color w:val="000000"/>
                <w:sz w:val="16"/>
                <w:szCs w:val="16"/>
              </w:rPr>
              <w:t>5.5</w:t>
            </w:r>
          </w:p>
        </w:tc>
        <w:tc>
          <w:tcPr>
            <w:tcW w:w="527" w:type="dxa"/>
            <w:gridSpan w:val="2"/>
            <w:tcBorders>
              <w:top w:val="nil"/>
              <w:left w:val="nil"/>
              <w:bottom w:val="nil"/>
              <w:right w:val="nil"/>
            </w:tcBorders>
            <w:shd w:val="clear" w:color="auto" w:fill="auto"/>
            <w:noWrap/>
            <w:vAlign w:val="center"/>
            <w:hideMark/>
          </w:tcPr>
          <w:p w14:paraId="563363BD" w14:textId="77777777" w:rsidR="000F6636" w:rsidRPr="00F26CB9" w:rsidRDefault="000F6636" w:rsidP="00484DB0">
            <w:pPr>
              <w:pStyle w:val="Bezriadkovania"/>
              <w:jc w:val="center"/>
              <w:rPr>
                <w:sz w:val="16"/>
                <w:szCs w:val="16"/>
              </w:rPr>
            </w:pPr>
            <w:r w:rsidRPr="002456CC">
              <w:rPr>
                <w:rFonts w:cs="Calibri"/>
                <w:color w:val="000000"/>
                <w:sz w:val="16"/>
                <w:szCs w:val="16"/>
              </w:rPr>
              <w:t>5.2</w:t>
            </w:r>
          </w:p>
        </w:tc>
        <w:tc>
          <w:tcPr>
            <w:tcW w:w="527" w:type="dxa"/>
            <w:gridSpan w:val="3"/>
            <w:tcBorders>
              <w:top w:val="nil"/>
              <w:left w:val="nil"/>
              <w:bottom w:val="nil"/>
              <w:right w:val="nil"/>
            </w:tcBorders>
            <w:shd w:val="clear" w:color="auto" w:fill="auto"/>
            <w:noWrap/>
            <w:vAlign w:val="center"/>
            <w:hideMark/>
          </w:tcPr>
          <w:p w14:paraId="0C863E2D" w14:textId="77777777" w:rsidR="000F6636" w:rsidRPr="00F26CB9" w:rsidRDefault="000F6636" w:rsidP="00484DB0">
            <w:pPr>
              <w:pStyle w:val="Bezriadkovania"/>
              <w:jc w:val="center"/>
              <w:rPr>
                <w:sz w:val="16"/>
                <w:szCs w:val="16"/>
              </w:rPr>
            </w:pPr>
            <w:r w:rsidRPr="002456CC">
              <w:rPr>
                <w:rFonts w:cs="Calibri"/>
                <w:color w:val="000000"/>
                <w:sz w:val="16"/>
                <w:szCs w:val="16"/>
              </w:rPr>
              <w:t>5.1</w:t>
            </w:r>
          </w:p>
        </w:tc>
        <w:tc>
          <w:tcPr>
            <w:tcW w:w="510" w:type="dxa"/>
            <w:tcBorders>
              <w:top w:val="nil"/>
              <w:left w:val="nil"/>
              <w:bottom w:val="nil"/>
              <w:right w:val="single" w:sz="8" w:space="0" w:color="auto"/>
            </w:tcBorders>
            <w:shd w:val="clear" w:color="auto" w:fill="auto"/>
            <w:noWrap/>
            <w:vAlign w:val="center"/>
            <w:hideMark/>
          </w:tcPr>
          <w:p w14:paraId="150C0923" w14:textId="77777777" w:rsidR="000F6636" w:rsidRPr="00F26CB9" w:rsidRDefault="000F6636" w:rsidP="00484DB0">
            <w:pPr>
              <w:pStyle w:val="Bezriadkovania"/>
              <w:jc w:val="center"/>
              <w:rPr>
                <w:sz w:val="16"/>
                <w:szCs w:val="16"/>
              </w:rPr>
            </w:pPr>
            <w:r w:rsidRPr="002456CC">
              <w:rPr>
                <w:rFonts w:cs="Calibri"/>
                <w:color w:val="000000"/>
                <w:sz w:val="16"/>
                <w:szCs w:val="16"/>
              </w:rPr>
              <w:t>5.0</w:t>
            </w:r>
          </w:p>
        </w:tc>
        <w:tc>
          <w:tcPr>
            <w:tcW w:w="544" w:type="dxa"/>
            <w:gridSpan w:val="2"/>
            <w:tcBorders>
              <w:top w:val="nil"/>
              <w:left w:val="single" w:sz="8" w:space="0" w:color="auto"/>
              <w:bottom w:val="nil"/>
              <w:right w:val="nil"/>
            </w:tcBorders>
            <w:shd w:val="clear" w:color="auto" w:fill="auto"/>
            <w:noWrap/>
            <w:vAlign w:val="center"/>
          </w:tcPr>
          <w:p w14:paraId="09C72D7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5.4</w:t>
            </w:r>
          </w:p>
        </w:tc>
        <w:tc>
          <w:tcPr>
            <w:tcW w:w="527" w:type="dxa"/>
            <w:gridSpan w:val="2"/>
            <w:tcBorders>
              <w:top w:val="nil"/>
              <w:left w:val="nil"/>
              <w:bottom w:val="nil"/>
              <w:right w:val="nil"/>
            </w:tcBorders>
            <w:shd w:val="clear" w:color="auto" w:fill="auto"/>
            <w:vAlign w:val="center"/>
          </w:tcPr>
          <w:p w14:paraId="3927754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5.1</w:t>
            </w:r>
          </w:p>
        </w:tc>
        <w:tc>
          <w:tcPr>
            <w:tcW w:w="527" w:type="dxa"/>
            <w:gridSpan w:val="2"/>
            <w:tcBorders>
              <w:top w:val="nil"/>
              <w:left w:val="nil"/>
              <w:bottom w:val="nil"/>
              <w:right w:val="nil"/>
            </w:tcBorders>
            <w:shd w:val="clear" w:color="auto" w:fill="auto"/>
            <w:vAlign w:val="center"/>
          </w:tcPr>
          <w:p w14:paraId="39CB4990"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5.0</w:t>
            </w:r>
          </w:p>
        </w:tc>
        <w:tc>
          <w:tcPr>
            <w:tcW w:w="528" w:type="dxa"/>
            <w:tcBorders>
              <w:top w:val="nil"/>
              <w:left w:val="nil"/>
              <w:bottom w:val="nil"/>
              <w:right w:val="nil"/>
            </w:tcBorders>
            <w:shd w:val="clear" w:color="auto" w:fill="auto"/>
            <w:vAlign w:val="center"/>
          </w:tcPr>
          <w:p w14:paraId="46D1DD33"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5.3</w:t>
            </w:r>
          </w:p>
        </w:tc>
      </w:tr>
      <w:tr w:rsidR="000F6636" w:rsidRPr="008E295D" w14:paraId="2E090816" w14:textId="77777777" w:rsidTr="00484DB0">
        <w:trPr>
          <w:trHeight w:val="227"/>
          <w:jc w:val="center"/>
        </w:trPr>
        <w:tc>
          <w:tcPr>
            <w:tcW w:w="426" w:type="dxa"/>
            <w:tcBorders>
              <w:top w:val="nil"/>
              <w:left w:val="nil"/>
              <w:bottom w:val="nil"/>
              <w:right w:val="nil"/>
            </w:tcBorders>
            <w:shd w:val="clear" w:color="auto" w:fill="auto"/>
            <w:noWrap/>
            <w:vAlign w:val="center"/>
            <w:hideMark/>
          </w:tcPr>
          <w:p w14:paraId="67B20F87"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13</w:t>
            </w:r>
          </w:p>
        </w:tc>
        <w:tc>
          <w:tcPr>
            <w:tcW w:w="3685" w:type="dxa"/>
            <w:gridSpan w:val="2"/>
            <w:tcBorders>
              <w:top w:val="nil"/>
              <w:left w:val="nil"/>
              <w:bottom w:val="nil"/>
              <w:right w:val="nil"/>
            </w:tcBorders>
            <w:shd w:val="clear" w:color="auto" w:fill="auto"/>
            <w:vAlign w:val="center"/>
            <w:hideMark/>
          </w:tcPr>
          <w:p w14:paraId="350AA7F4" w14:textId="77777777" w:rsidR="000F6636" w:rsidRPr="008E295D" w:rsidRDefault="000F6636" w:rsidP="00484DB0">
            <w:pPr>
              <w:rPr>
                <w:color w:val="000000"/>
                <w:sz w:val="16"/>
                <w:szCs w:val="18"/>
              </w:rPr>
            </w:pPr>
            <w:r w:rsidRPr="008E295D">
              <w:rPr>
                <w:color w:val="000000"/>
                <w:sz w:val="16"/>
                <w:szCs w:val="18"/>
              </w:rPr>
              <w:t>Priemerná evidovaná miera nezamestnanosti</w:t>
            </w:r>
          </w:p>
        </w:tc>
        <w:tc>
          <w:tcPr>
            <w:tcW w:w="712" w:type="dxa"/>
            <w:gridSpan w:val="2"/>
            <w:tcBorders>
              <w:top w:val="nil"/>
              <w:left w:val="nil"/>
              <w:bottom w:val="nil"/>
              <w:right w:val="single" w:sz="4" w:space="0" w:color="auto"/>
            </w:tcBorders>
            <w:shd w:val="clear" w:color="auto" w:fill="auto"/>
            <w:noWrap/>
            <w:vAlign w:val="center"/>
            <w:hideMark/>
          </w:tcPr>
          <w:p w14:paraId="74DA036B"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6AC22085" w14:textId="77777777" w:rsidR="000F6636" w:rsidRPr="00F26CB9" w:rsidRDefault="000F6636" w:rsidP="00484DB0">
            <w:pPr>
              <w:pStyle w:val="Bezriadkovania"/>
              <w:jc w:val="center"/>
              <w:rPr>
                <w:sz w:val="16"/>
                <w:szCs w:val="16"/>
              </w:rPr>
            </w:pPr>
            <w:r w:rsidRPr="002456CC">
              <w:rPr>
                <w:rFonts w:cs="Calibri"/>
                <w:color w:val="000000"/>
                <w:sz w:val="16"/>
                <w:szCs w:val="16"/>
              </w:rPr>
              <w:t>5.9</w:t>
            </w:r>
          </w:p>
        </w:tc>
        <w:tc>
          <w:tcPr>
            <w:tcW w:w="527" w:type="dxa"/>
            <w:gridSpan w:val="2"/>
            <w:tcBorders>
              <w:top w:val="nil"/>
              <w:left w:val="nil"/>
              <w:bottom w:val="nil"/>
              <w:right w:val="nil"/>
            </w:tcBorders>
            <w:shd w:val="clear" w:color="auto" w:fill="auto"/>
            <w:noWrap/>
            <w:vAlign w:val="center"/>
            <w:hideMark/>
          </w:tcPr>
          <w:p w14:paraId="346689E0" w14:textId="77777777" w:rsidR="000F6636" w:rsidRPr="00F26CB9" w:rsidRDefault="000F6636" w:rsidP="00484DB0">
            <w:pPr>
              <w:pStyle w:val="Bezriadkovania"/>
              <w:jc w:val="center"/>
              <w:rPr>
                <w:sz w:val="16"/>
                <w:szCs w:val="16"/>
              </w:rPr>
            </w:pPr>
            <w:r w:rsidRPr="002456CC">
              <w:rPr>
                <w:rFonts w:cs="Calibri"/>
                <w:color w:val="000000"/>
                <w:sz w:val="16"/>
                <w:szCs w:val="16"/>
              </w:rPr>
              <w:t>5.6</w:t>
            </w:r>
          </w:p>
        </w:tc>
        <w:tc>
          <w:tcPr>
            <w:tcW w:w="527" w:type="dxa"/>
            <w:gridSpan w:val="3"/>
            <w:tcBorders>
              <w:top w:val="nil"/>
              <w:left w:val="nil"/>
              <w:bottom w:val="nil"/>
              <w:right w:val="nil"/>
            </w:tcBorders>
            <w:shd w:val="clear" w:color="auto" w:fill="auto"/>
            <w:noWrap/>
            <w:vAlign w:val="center"/>
            <w:hideMark/>
          </w:tcPr>
          <w:p w14:paraId="5CC41E01" w14:textId="77777777" w:rsidR="000F6636" w:rsidRPr="00F26CB9" w:rsidRDefault="000F6636" w:rsidP="00484DB0">
            <w:pPr>
              <w:pStyle w:val="Bezriadkovania"/>
              <w:jc w:val="center"/>
              <w:rPr>
                <w:sz w:val="16"/>
                <w:szCs w:val="16"/>
              </w:rPr>
            </w:pPr>
            <w:r w:rsidRPr="002456CC">
              <w:rPr>
                <w:rFonts w:cs="Calibri"/>
                <w:color w:val="000000"/>
                <w:sz w:val="16"/>
                <w:szCs w:val="16"/>
              </w:rPr>
              <w:t>5.4</w:t>
            </w:r>
          </w:p>
        </w:tc>
        <w:tc>
          <w:tcPr>
            <w:tcW w:w="510" w:type="dxa"/>
            <w:tcBorders>
              <w:top w:val="nil"/>
              <w:left w:val="nil"/>
              <w:bottom w:val="nil"/>
              <w:right w:val="single" w:sz="8" w:space="0" w:color="auto"/>
            </w:tcBorders>
            <w:shd w:val="clear" w:color="auto" w:fill="auto"/>
            <w:noWrap/>
            <w:vAlign w:val="center"/>
            <w:hideMark/>
          </w:tcPr>
          <w:p w14:paraId="6ABFFF14" w14:textId="77777777" w:rsidR="000F6636" w:rsidRPr="00F26CB9" w:rsidRDefault="000F6636" w:rsidP="00484DB0">
            <w:pPr>
              <w:pStyle w:val="Bezriadkovania"/>
              <w:jc w:val="center"/>
              <w:rPr>
                <w:sz w:val="16"/>
                <w:szCs w:val="16"/>
              </w:rPr>
            </w:pPr>
            <w:r w:rsidRPr="002456CC">
              <w:rPr>
                <w:rFonts w:cs="Calibri"/>
                <w:color w:val="000000"/>
                <w:sz w:val="16"/>
                <w:szCs w:val="16"/>
              </w:rPr>
              <w:t>5.3</w:t>
            </w:r>
          </w:p>
        </w:tc>
        <w:tc>
          <w:tcPr>
            <w:tcW w:w="544" w:type="dxa"/>
            <w:gridSpan w:val="2"/>
            <w:tcBorders>
              <w:top w:val="nil"/>
              <w:left w:val="single" w:sz="8" w:space="0" w:color="auto"/>
              <w:bottom w:val="nil"/>
              <w:right w:val="nil"/>
            </w:tcBorders>
            <w:shd w:val="clear" w:color="auto" w:fill="auto"/>
            <w:noWrap/>
            <w:vAlign w:val="center"/>
          </w:tcPr>
          <w:p w14:paraId="62A97FA0"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5.7</w:t>
            </w:r>
          </w:p>
        </w:tc>
        <w:tc>
          <w:tcPr>
            <w:tcW w:w="527" w:type="dxa"/>
            <w:gridSpan w:val="2"/>
            <w:tcBorders>
              <w:top w:val="nil"/>
              <w:left w:val="nil"/>
              <w:bottom w:val="nil"/>
              <w:right w:val="nil"/>
            </w:tcBorders>
            <w:shd w:val="clear" w:color="auto" w:fill="auto"/>
            <w:vAlign w:val="center"/>
          </w:tcPr>
          <w:p w14:paraId="1B92036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5.4</w:t>
            </w:r>
          </w:p>
        </w:tc>
        <w:tc>
          <w:tcPr>
            <w:tcW w:w="527" w:type="dxa"/>
            <w:gridSpan w:val="2"/>
            <w:tcBorders>
              <w:top w:val="nil"/>
              <w:left w:val="nil"/>
              <w:bottom w:val="nil"/>
              <w:right w:val="nil"/>
            </w:tcBorders>
            <w:shd w:val="clear" w:color="auto" w:fill="auto"/>
            <w:vAlign w:val="center"/>
          </w:tcPr>
          <w:p w14:paraId="4B995DE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5.3</w:t>
            </w:r>
          </w:p>
        </w:tc>
        <w:tc>
          <w:tcPr>
            <w:tcW w:w="528" w:type="dxa"/>
            <w:tcBorders>
              <w:top w:val="nil"/>
              <w:left w:val="nil"/>
              <w:bottom w:val="nil"/>
              <w:right w:val="nil"/>
            </w:tcBorders>
            <w:shd w:val="clear" w:color="auto" w:fill="auto"/>
            <w:vAlign w:val="center"/>
          </w:tcPr>
          <w:p w14:paraId="55B579A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5.6</w:t>
            </w:r>
          </w:p>
        </w:tc>
      </w:tr>
      <w:tr w:rsidR="000F6636" w:rsidRPr="008E295D" w14:paraId="6A1A59C8" w14:textId="77777777" w:rsidTr="00484DB0">
        <w:trPr>
          <w:trHeight w:val="227"/>
          <w:jc w:val="center"/>
        </w:trPr>
        <w:tc>
          <w:tcPr>
            <w:tcW w:w="426" w:type="dxa"/>
            <w:tcBorders>
              <w:top w:val="nil"/>
              <w:left w:val="nil"/>
              <w:right w:val="nil"/>
            </w:tcBorders>
            <w:shd w:val="clear" w:color="auto" w:fill="auto"/>
            <w:noWrap/>
            <w:vAlign w:val="center"/>
            <w:hideMark/>
          </w:tcPr>
          <w:p w14:paraId="2B87F69B"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14</w:t>
            </w:r>
          </w:p>
        </w:tc>
        <w:tc>
          <w:tcPr>
            <w:tcW w:w="3685" w:type="dxa"/>
            <w:gridSpan w:val="2"/>
            <w:tcBorders>
              <w:top w:val="nil"/>
              <w:left w:val="nil"/>
              <w:right w:val="nil"/>
            </w:tcBorders>
            <w:shd w:val="clear" w:color="auto" w:fill="auto"/>
            <w:vAlign w:val="center"/>
            <w:hideMark/>
          </w:tcPr>
          <w:p w14:paraId="1A0C5E25" w14:textId="77777777" w:rsidR="000F6636" w:rsidRPr="008E295D" w:rsidRDefault="000F6636" w:rsidP="00484DB0">
            <w:pPr>
              <w:rPr>
                <w:color w:val="000000"/>
                <w:sz w:val="16"/>
                <w:szCs w:val="18"/>
              </w:rPr>
            </w:pPr>
            <w:r w:rsidRPr="008E295D">
              <w:rPr>
                <w:color w:val="000000"/>
                <w:sz w:val="16"/>
                <w:szCs w:val="18"/>
              </w:rPr>
              <w:t>Harmonizovaný index spotrebiteľských cien (HICP)</w:t>
            </w:r>
          </w:p>
        </w:tc>
        <w:tc>
          <w:tcPr>
            <w:tcW w:w="712" w:type="dxa"/>
            <w:gridSpan w:val="2"/>
            <w:tcBorders>
              <w:top w:val="nil"/>
              <w:left w:val="nil"/>
              <w:right w:val="single" w:sz="4" w:space="0" w:color="auto"/>
            </w:tcBorders>
            <w:shd w:val="clear" w:color="auto" w:fill="auto"/>
            <w:noWrap/>
            <w:vAlign w:val="center"/>
            <w:hideMark/>
          </w:tcPr>
          <w:p w14:paraId="67847001"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nil"/>
              <w:right w:val="nil"/>
            </w:tcBorders>
            <w:shd w:val="clear" w:color="auto" w:fill="auto"/>
            <w:noWrap/>
            <w:vAlign w:val="center"/>
            <w:hideMark/>
          </w:tcPr>
          <w:p w14:paraId="5EC9C9E7" w14:textId="77777777" w:rsidR="000F6636" w:rsidRPr="00F26CB9" w:rsidRDefault="000F6636" w:rsidP="00484DB0">
            <w:pPr>
              <w:pStyle w:val="Bezriadkovania"/>
              <w:jc w:val="center"/>
              <w:rPr>
                <w:sz w:val="16"/>
                <w:szCs w:val="16"/>
              </w:rPr>
            </w:pPr>
            <w:r w:rsidRPr="002456CC">
              <w:rPr>
                <w:rFonts w:cs="Calibri"/>
                <w:color w:val="000000"/>
                <w:sz w:val="16"/>
                <w:szCs w:val="16"/>
              </w:rPr>
              <w:t>3.2</w:t>
            </w:r>
          </w:p>
        </w:tc>
        <w:tc>
          <w:tcPr>
            <w:tcW w:w="527" w:type="dxa"/>
            <w:gridSpan w:val="2"/>
            <w:tcBorders>
              <w:top w:val="nil"/>
              <w:left w:val="nil"/>
              <w:bottom w:val="nil"/>
              <w:right w:val="nil"/>
            </w:tcBorders>
            <w:shd w:val="clear" w:color="auto" w:fill="auto"/>
            <w:noWrap/>
            <w:vAlign w:val="center"/>
            <w:hideMark/>
          </w:tcPr>
          <w:p w14:paraId="7E538033" w14:textId="77777777" w:rsidR="000F6636" w:rsidRPr="00F26CB9" w:rsidRDefault="000F6636" w:rsidP="00484DB0">
            <w:pPr>
              <w:pStyle w:val="Bezriadkovania"/>
              <w:jc w:val="center"/>
              <w:rPr>
                <w:sz w:val="16"/>
                <w:szCs w:val="16"/>
              </w:rPr>
            </w:pPr>
            <w:r w:rsidRPr="002456CC">
              <w:rPr>
                <w:rFonts w:cs="Calibri"/>
                <w:color w:val="000000"/>
                <w:sz w:val="16"/>
                <w:szCs w:val="16"/>
              </w:rPr>
              <w:t>4.4</w:t>
            </w:r>
          </w:p>
        </w:tc>
        <w:tc>
          <w:tcPr>
            <w:tcW w:w="527" w:type="dxa"/>
            <w:gridSpan w:val="3"/>
            <w:tcBorders>
              <w:top w:val="nil"/>
              <w:left w:val="nil"/>
              <w:bottom w:val="nil"/>
              <w:right w:val="nil"/>
            </w:tcBorders>
            <w:shd w:val="clear" w:color="auto" w:fill="auto"/>
            <w:noWrap/>
            <w:vAlign w:val="center"/>
            <w:hideMark/>
          </w:tcPr>
          <w:p w14:paraId="646A2A33" w14:textId="77777777" w:rsidR="000F6636" w:rsidRPr="00F26CB9" w:rsidRDefault="000F6636" w:rsidP="00484DB0">
            <w:pPr>
              <w:pStyle w:val="Bezriadkovania"/>
              <w:jc w:val="center"/>
              <w:rPr>
                <w:sz w:val="16"/>
                <w:szCs w:val="16"/>
              </w:rPr>
            </w:pPr>
            <w:r w:rsidRPr="002456CC">
              <w:rPr>
                <w:rFonts w:cs="Calibri"/>
                <w:color w:val="000000"/>
                <w:sz w:val="16"/>
                <w:szCs w:val="16"/>
              </w:rPr>
              <w:t>2.4</w:t>
            </w:r>
          </w:p>
        </w:tc>
        <w:tc>
          <w:tcPr>
            <w:tcW w:w="510" w:type="dxa"/>
            <w:tcBorders>
              <w:top w:val="nil"/>
              <w:left w:val="nil"/>
              <w:bottom w:val="nil"/>
              <w:right w:val="single" w:sz="8" w:space="0" w:color="auto"/>
            </w:tcBorders>
            <w:shd w:val="clear" w:color="auto" w:fill="auto"/>
            <w:noWrap/>
            <w:vAlign w:val="center"/>
            <w:hideMark/>
          </w:tcPr>
          <w:p w14:paraId="57E1C22A" w14:textId="77777777" w:rsidR="000F6636" w:rsidRPr="00F26CB9" w:rsidRDefault="000F6636" w:rsidP="00484DB0">
            <w:pPr>
              <w:pStyle w:val="Bezriadkovania"/>
              <w:jc w:val="center"/>
              <w:rPr>
                <w:sz w:val="16"/>
                <w:szCs w:val="16"/>
              </w:rPr>
            </w:pPr>
            <w:r w:rsidRPr="002456CC">
              <w:rPr>
                <w:rFonts w:cs="Calibri"/>
                <w:color w:val="000000"/>
                <w:sz w:val="16"/>
                <w:szCs w:val="16"/>
              </w:rPr>
              <w:t>2.4</w:t>
            </w:r>
          </w:p>
        </w:tc>
        <w:tc>
          <w:tcPr>
            <w:tcW w:w="544" w:type="dxa"/>
            <w:gridSpan w:val="2"/>
            <w:tcBorders>
              <w:top w:val="nil"/>
              <w:left w:val="single" w:sz="8" w:space="0" w:color="auto"/>
              <w:bottom w:val="nil"/>
              <w:right w:val="nil"/>
            </w:tcBorders>
            <w:shd w:val="clear" w:color="auto" w:fill="auto"/>
            <w:noWrap/>
            <w:vAlign w:val="center"/>
          </w:tcPr>
          <w:p w14:paraId="0AE2A4B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3.2</w:t>
            </w:r>
          </w:p>
        </w:tc>
        <w:tc>
          <w:tcPr>
            <w:tcW w:w="527" w:type="dxa"/>
            <w:gridSpan w:val="2"/>
            <w:tcBorders>
              <w:top w:val="nil"/>
              <w:left w:val="nil"/>
              <w:bottom w:val="nil"/>
              <w:right w:val="nil"/>
            </w:tcBorders>
            <w:shd w:val="clear" w:color="auto" w:fill="auto"/>
            <w:vAlign w:val="center"/>
          </w:tcPr>
          <w:p w14:paraId="33D5EA0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3.4</w:t>
            </w:r>
          </w:p>
        </w:tc>
        <w:tc>
          <w:tcPr>
            <w:tcW w:w="527" w:type="dxa"/>
            <w:gridSpan w:val="2"/>
            <w:tcBorders>
              <w:top w:val="nil"/>
              <w:left w:val="nil"/>
              <w:bottom w:val="nil"/>
              <w:right w:val="nil"/>
            </w:tcBorders>
            <w:shd w:val="clear" w:color="auto" w:fill="auto"/>
            <w:vAlign w:val="center"/>
          </w:tcPr>
          <w:p w14:paraId="3080F24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3.5</w:t>
            </w:r>
          </w:p>
        </w:tc>
        <w:tc>
          <w:tcPr>
            <w:tcW w:w="528" w:type="dxa"/>
            <w:tcBorders>
              <w:top w:val="nil"/>
              <w:left w:val="nil"/>
              <w:bottom w:val="nil"/>
              <w:right w:val="nil"/>
            </w:tcBorders>
            <w:shd w:val="clear" w:color="auto" w:fill="auto"/>
            <w:vAlign w:val="center"/>
          </w:tcPr>
          <w:p w14:paraId="5DDC5E4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2.5</w:t>
            </w:r>
          </w:p>
        </w:tc>
      </w:tr>
      <w:tr w:rsidR="000F6636" w:rsidRPr="008E295D" w14:paraId="03BFC6D8" w14:textId="77777777" w:rsidTr="00484DB0">
        <w:trPr>
          <w:trHeight w:val="227"/>
          <w:jc w:val="center"/>
        </w:trPr>
        <w:tc>
          <w:tcPr>
            <w:tcW w:w="426" w:type="dxa"/>
            <w:tcBorders>
              <w:top w:val="nil"/>
              <w:left w:val="nil"/>
              <w:bottom w:val="single" w:sz="4" w:space="0" w:color="auto"/>
              <w:right w:val="nil"/>
            </w:tcBorders>
            <w:shd w:val="clear" w:color="auto" w:fill="auto"/>
            <w:noWrap/>
            <w:vAlign w:val="center"/>
            <w:hideMark/>
          </w:tcPr>
          <w:p w14:paraId="0FF33523"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15</w:t>
            </w:r>
          </w:p>
        </w:tc>
        <w:tc>
          <w:tcPr>
            <w:tcW w:w="3685" w:type="dxa"/>
            <w:gridSpan w:val="2"/>
            <w:tcBorders>
              <w:top w:val="nil"/>
              <w:left w:val="nil"/>
              <w:bottom w:val="single" w:sz="4" w:space="0" w:color="auto"/>
              <w:right w:val="nil"/>
            </w:tcBorders>
            <w:shd w:val="clear" w:color="auto" w:fill="auto"/>
            <w:vAlign w:val="center"/>
            <w:hideMark/>
          </w:tcPr>
          <w:p w14:paraId="004A2D47" w14:textId="77777777" w:rsidR="000F6636" w:rsidRPr="008E295D" w:rsidRDefault="000F6636" w:rsidP="00484DB0">
            <w:pPr>
              <w:rPr>
                <w:color w:val="000000"/>
                <w:sz w:val="16"/>
                <w:szCs w:val="18"/>
              </w:rPr>
            </w:pPr>
            <w:r w:rsidRPr="008E295D">
              <w:rPr>
                <w:color w:val="000000"/>
                <w:sz w:val="16"/>
                <w:szCs w:val="18"/>
              </w:rPr>
              <w:t>Bilancia bežného účtu (podiel na HDP)</w:t>
            </w:r>
          </w:p>
        </w:tc>
        <w:tc>
          <w:tcPr>
            <w:tcW w:w="712" w:type="dxa"/>
            <w:gridSpan w:val="2"/>
            <w:tcBorders>
              <w:top w:val="nil"/>
              <w:left w:val="nil"/>
              <w:bottom w:val="single" w:sz="4" w:space="0" w:color="auto"/>
              <w:right w:val="single" w:sz="4" w:space="0" w:color="auto"/>
            </w:tcBorders>
            <w:shd w:val="clear" w:color="auto" w:fill="auto"/>
            <w:noWrap/>
            <w:vAlign w:val="center"/>
            <w:hideMark/>
          </w:tcPr>
          <w:p w14:paraId="38B79AB1" w14:textId="77777777" w:rsidR="000F6636" w:rsidRPr="008E295D" w:rsidRDefault="000F6636" w:rsidP="00484DB0">
            <w:pPr>
              <w:jc w:val="center"/>
              <w:rPr>
                <w:rFonts w:cs="Times New Roman"/>
                <w:color w:val="000000"/>
                <w:sz w:val="16"/>
                <w:szCs w:val="18"/>
              </w:rPr>
            </w:pPr>
            <w:r w:rsidRPr="008E295D">
              <w:rPr>
                <w:rFonts w:cs="Times New Roman"/>
                <w:color w:val="000000"/>
                <w:sz w:val="16"/>
                <w:szCs w:val="18"/>
              </w:rPr>
              <w:t>%</w:t>
            </w:r>
          </w:p>
        </w:tc>
        <w:tc>
          <w:tcPr>
            <w:tcW w:w="577" w:type="dxa"/>
            <w:gridSpan w:val="2"/>
            <w:tcBorders>
              <w:top w:val="nil"/>
              <w:left w:val="single" w:sz="8" w:space="0" w:color="auto"/>
              <w:bottom w:val="single" w:sz="8" w:space="0" w:color="auto"/>
              <w:right w:val="nil"/>
            </w:tcBorders>
            <w:shd w:val="clear" w:color="auto" w:fill="auto"/>
            <w:noWrap/>
            <w:vAlign w:val="center"/>
            <w:hideMark/>
          </w:tcPr>
          <w:p w14:paraId="76B63DFC" w14:textId="77777777" w:rsidR="000F6636" w:rsidRPr="00F26CB9" w:rsidRDefault="000F6636" w:rsidP="00484DB0">
            <w:pPr>
              <w:pStyle w:val="Bezriadkovania"/>
              <w:jc w:val="center"/>
              <w:rPr>
                <w:sz w:val="16"/>
                <w:szCs w:val="16"/>
              </w:rPr>
            </w:pPr>
            <w:r w:rsidRPr="002456CC">
              <w:rPr>
                <w:rFonts w:cs="Calibri"/>
                <w:color w:val="000000"/>
                <w:sz w:val="16"/>
                <w:szCs w:val="16"/>
              </w:rPr>
              <w:t>-3.2</w:t>
            </w:r>
          </w:p>
        </w:tc>
        <w:tc>
          <w:tcPr>
            <w:tcW w:w="527" w:type="dxa"/>
            <w:gridSpan w:val="2"/>
            <w:tcBorders>
              <w:top w:val="nil"/>
              <w:left w:val="nil"/>
              <w:bottom w:val="single" w:sz="8" w:space="0" w:color="auto"/>
              <w:right w:val="nil"/>
            </w:tcBorders>
            <w:shd w:val="clear" w:color="auto" w:fill="auto"/>
            <w:noWrap/>
            <w:vAlign w:val="center"/>
            <w:hideMark/>
          </w:tcPr>
          <w:p w14:paraId="4874D1ED" w14:textId="77777777" w:rsidR="000F6636" w:rsidRPr="00F26CB9" w:rsidRDefault="000F6636" w:rsidP="00484DB0">
            <w:pPr>
              <w:pStyle w:val="Bezriadkovania"/>
              <w:jc w:val="center"/>
              <w:rPr>
                <w:sz w:val="16"/>
                <w:szCs w:val="16"/>
              </w:rPr>
            </w:pPr>
            <w:r w:rsidRPr="002456CC">
              <w:rPr>
                <w:rFonts w:cs="Calibri"/>
                <w:color w:val="000000"/>
                <w:sz w:val="16"/>
                <w:szCs w:val="16"/>
              </w:rPr>
              <w:t>-3.9</w:t>
            </w:r>
          </w:p>
        </w:tc>
        <w:tc>
          <w:tcPr>
            <w:tcW w:w="527" w:type="dxa"/>
            <w:gridSpan w:val="3"/>
            <w:tcBorders>
              <w:top w:val="nil"/>
              <w:left w:val="nil"/>
              <w:bottom w:val="single" w:sz="8" w:space="0" w:color="auto"/>
              <w:right w:val="nil"/>
            </w:tcBorders>
            <w:shd w:val="clear" w:color="auto" w:fill="auto"/>
            <w:noWrap/>
            <w:vAlign w:val="center"/>
            <w:hideMark/>
          </w:tcPr>
          <w:p w14:paraId="44A641CC" w14:textId="77777777" w:rsidR="000F6636" w:rsidRPr="00F26CB9" w:rsidRDefault="000F6636" w:rsidP="00484DB0">
            <w:pPr>
              <w:pStyle w:val="Bezriadkovania"/>
              <w:jc w:val="center"/>
              <w:rPr>
                <w:sz w:val="16"/>
                <w:szCs w:val="16"/>
              </w:rPr>
            </w:pPr>
            <w:r w:rsidRPr="002456CC">
              <w:rPr>
                <w:rFonts w:cs="Calibri"/>
                <w:color w:val="000000"/>
                <w:sz w:val="16"/>
                <w:szCs w:val="16"/>
              </w:rPr>
              <w:t>-3.2</w:t>
            </w:r>
          </w:p>
        </w:tc>
        <w:tc>
          <w:tcPr>
            <w:tcW w:w="510" w:type="dxa"/>
            <w:tcBorders>
              <w:top w:val="nil"/>
              <w:left w:val="nil"/>
              <w:bottom w:val="single" w:sz="8" w:space="0" w:color="auto"/>
              <w:right w:val="single" w:sz="8" w:space="0" w:color="auto"/>
            </w:tcBorders>
            <w:shd w:val="clear" w:color="auto" w:fill="auto"/>
            <w:noWrap/>
            <w:vAlign w:val="center"/>
            <w:hideMark/>
          </w:tcPr>
          <w:p w14:paraId="3936FAA3" w14:textId="77777777" w:rsidR="000F6636" w:rsidRPr="00F26CB9" w:rsidRDefault="000F6636" w:rsidP="00484DB0">
            <w:pPr>
              <w:pStyle w:val="Bezriadkovania"/>
              <w:jc w:val="center"/>
              <w:rPr>
                <w:sz w:val="16"/>
                <w:szCs w:val="16"/>
              </w:rPr>
            </w:pPr>
            <w:r w:rsidRPr="002456CC">
              <w:rPr>
                <w:rFonts w:cs="Calibri"/>
                <w:color w:val="000000"/>
                <w:sz w:val="16"/>
                <w:szCs w:val="16"/>
              </w:rPr>
              <w:t>-2.5</w:t>
            </w:r>
          </w:p>
        </w:tc>
        <w:tc>
          <w:tcPr>
            <w:tcW w:w="544" w:type="dxa"/>
            <w:gridSpan w:val="2"/>
            <w:tcBorders>
              <w:top w:val="nil"/>
              <w:left w:val="nil"/>
              <w:bottom w:val="single" w:sz="8" w:space="0" w:color="auto"/>
              <w:right w:val="nil"/>
            </w:tcBorders>
            <w:shd w:val="clear" w:color="auto" w:fill="auto"/>
            <w:noWrap/>
            <w:vAlign w:val="center"/>
          </w:tcPr>
          <w:p w14:paraId="0D3A1CA7"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-3.9</w:t>
            </w:r>
          </w:p>
        </w:tc>
        <w:tc>
          <w:tcPr>
            <w:tcW w:w="527" w:type="dxa"/>
            <w:gridSpan w:val="2"/>
            <w:tcBorders>
              <w:top w:val="nil"/>
              <w:left w:val="nil"/>
              <w:bottom w:val="single" w:sz="8" w:space="0" w:color="auto"/>
              <w:right w:val="nil"/>
            </w:tcBorders>
            <w:shd w:val="clear" w:color="auto" w:fill="auto"/>
            <w:vAlign w:val="center"/>
          </w:tcPr>
          <w:p w14:paraId="0969F98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-3.7</w:t>
            </w:r>
          </w:p>
        </w:tc>
        <w:tc>
          <w:tcPr>
            <w:tcW w:w="527" w:type="dxa"/>
            <w:gridSpan w:val="2"/>
            <w:tcBorders>
              <w:top w:val="nil"/>
              <w:left w:val="nil"/>
              <w:bottom w:val="single" w:sz="8" w:space="0" w:color="auto"/>
              <w:right w:val="nil"/>
            </w:tcBorders>
            <w:shd w:val="clear" w:color="auto" w:fill="auto"/>
            <w:vAlign w:val="center"/>
          </w:tcPr>
          <w:p w14:paraId="4197699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-2.9</w:t>
            </w:r>
          </w:p>
        </w:tc>
        <w:tc>
          <w:tcPr>
            <w:tcW w:w="528" w:type="dxa"/>
            <w:tcBorders>
              <w:top w:val="nil"/>
              <w:left w:val="nil"/>
              <w:bottom w:val="single" w:sz="8" w:space="0" w:color="auto"/>
              <w:right w:val="nil"/>
            </w:tcBorders>
            <w:shd w:val="clear" w:color="auto" w:fill="auto"/>
            <w:vAlign w:val="center"/>
          </w:tcPr>
          <w:p w14:paraId="68BBB29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-2.2</w:t>
            </w:r>
          </w:p>
        </w:tc>
      </w:tr>
      <w:tr w:rsidR="000F6636" w:rsidRPr="008E295D" w14:paraId="2066A526" w14:textId="77777777" w:rsidTr="00484DB0">
        <w:trPr>
          <w:trHeight w:val="229"/>
          <w:jc w:val="center"/>
        </w:trPr>
        <w:tc>
          <w:tcPr>
            <w:tcW w:w="4823" w:type="dxa"/>
            <w:gridSpan w:val="5"/>
            <w:tcBorders>
              <w:top w:val="single" w:sz="4" w:space="0" w:color="auto"/>
              <w:left w:val="nil"/>
              <w:bottom w:val="nil"/>
              <w:right w:val="nil"/>
            </w:tcBorders>
            <w:shd w:val="clear" w:color="auto" w:fill="auto"/>
            <w:noWrap/>
            <w:vAlign w:val="center"/>
            <w:hideMark/>
          </w:tcPr>
          <w:p w14:paraId="6F3BFA79" w14:textId="77777777" w:rsidR="000F6636" w:rsidRPr="008E295D" w:rsidRDefault="000F6636" w:rsidP="00484DB0">
            <w:pPr>
              <w:jc w:val="center"/>
              <w:rPr>
                <w:rFonts w:cs="Times New Roman"/>
                <w:color w:val="000000"/>
                <w:sz w:val="18"/>
                <w:szCs w:val="18"/>
              </w:rPr>
            </w:pPr>
          </w:p>
        </w:tc>
        <w:tc>
          <w:tcPr>
            <w:tcW w:w="577" w:type="dxa"/>
            <w:gridSpan w:val="2"/>
            <w:tcBorders>
              <w:top w:val="single" w:sz="4" w:space="0" w:color="auto"/>
              <w:left w:val="nil"/>
              <w:bottom w:val="nil"/>
              <w:right w:val="nil"/>
            </w:tcBorders>
            <w:shd w:val="clear" w:color="auto" w:fill="auto"/>
            <w:noWrap/>
            <w:vAlign w:val="center"/>
            <w:hideMark/>
          </w:tcPr>
          <w:p w14:paraId="6B04E206" w14:textId="77777777" w:rsidR="000F6636" w:rsidRPr="008E295D" w:rsidRDefault="000F6636" w:rsidP="00484DB0">
            <w:pPr>
              <w:rPr>
                <w:rFonts w:cs="Times New Roman"/>
                <w:sz w:val="20"/>
                <w:szCs w:val="20"/>
              </w:rPr>
            </w:pPr>
          </w:p>
        </w:tc>
        <w:tc>
          <w:tcPr>
            <w:tcW w:w="494" w:type="dxa"/>
            <w:tcBorders>
              <w:top w:val="single" w:sz="4" w:space="0" w:color="auto"/>
              <w:left w:val="nil"/>
              <w:bottom w:val="nil"/>
              <w:right w:val="nil"/>
            </w:tcBorders>
            <w:shd w:val="clear" w:color="auto" w:fill="auto"/>
            <w:noWrap/>
            <w:vAlign w:val="bottom"/>
            <w:hideMark/>
          </w:tcPr>
          <w:p w14:paraId="355FF9F0" w14:textId="77777777" w:rsidR="000F6636" w:rsidRPr="008E295D" w:rsidRDefault="000F6636" w:rsidP="00484DB0">
            <w:pPr>
              <w:jc w:val="center"/>
              <w:rPr>
                <w:rFonts w:cs="Times New Roman"/>
                <w:sz w:val="20"/>
                <w:szCs w:val="20"/>
              </w:rPr>
            </w:pPr>
          </w:p>
        </w:tc>
        <w:tc>
          <w:tcPr>
            <w:tcW w:w="539" w:type="dxa"/>
            <w:gridSpan w:val="3"/>
            <w:tcBorders>
              <w:top w:val="single" w:sz="4" w:space="0" w:color="auto"/>
              <w:left w:val="nil"/>
              <w:bottom w:val="nil"/>
              <w:right w:val="nil"/>
            </w:tcBorders>
            <w:shd w:val="clear" w:color="auto" w:fill="auto"/>
            <w:noWrap/>
            <w:vAlign w:val="bottom"/>
            <w:hideMark/>
          </w:tcPr>
          <w:p w14:paraId="3E044C79" w14:textId="77777777" w:rsidR="000F6636" w:rsidRPr="008E295D" w:rsidRDefault="000F6636" w:rsidP="00484DB0">
            <w:pPr>
              <w:rPr>
                <w:rFonts w:cs="Times New Roman"/>
                <w:sz w:val="20"/>
                <w:szCs w:val="20"/>
              </w:rPr>
            </w:pPr>
          </w:p>
        </w:tc>
        <w:tc>
          <w:tcPr>
            <w:tcW w:w="531" w:type="dxa"/>
            <w:gridSpan w:val="2"/>
            <w:tcBorders>
              <w:top w:val="single" w:sz="4" w:space="0" w:color="auto"/>
              <w:left w:val="nil"/>
              <w:bottom w:val="nil"/>
              <w:right w:val="nil"/>
            </w:tcBorders>
            <w:shd w:val="clear" w:color="auto" w:fill="auto"/>
            <w:noWrap/>
            <w:vAlign w:val="bottom"/>
            <w:hideMark/>
          </w:tcPr>
          <w:p w14:paraId="45F68118" w14:textId="77777777" w:rsidR="000F6636" w:rsidRPr="008E295D" w:rsidRDefault="000F6636" w:rsidP="00484DB0">
            <w:pPr>
              <w:rPr>
                <w:rFonts w:cs="Times New Roman"/>
                <w:sz w:val="20"/>
                <w:szCs w:val="20"/>
              </w:rPr>
            </w:pPr>
          </w:p>
        </w:tc>
        <w:tc>
          <w:tcPr>
            <w:tcW w:w="589" w:type="dxa"/>
            <w:gridSpan w:val="3"/>
            <w:tcBorders>
              <w:top w:val="single" w:sz="4" w:space="0" w:color="auto"/>
              <w:left w:val="nil"/>
              <w:bottom w:val="nil"/>
              <w:right w:val="nil"/>
            </w:tcBorders>
            <w:shd w:val="clear" w:color="auto" w:fill="auto"/>
            <w:noWrap/>
            <w:vAlign w:val="bottom"/>
            <w:hideMark/>
          </w:tcPr>
          <w:p w14:paraId="1CC345F8" w14:textId="77777777" w:rsidR="000F6636" w:rsidRPr="008E295D" w:rsidRDefault="000F6636" w:rsidP="00484DB0">
            <w:pPr>
              <w:rPr>
                <w:rFonts w:cs="Times New Roman"/>
                <w:sz w:val="20"/>
                <w:szCs w:val="20"/>
              </w:rPr>
            </w:pPr>
          </w:p>
        </w:tc>
        <w:tc>
          <w:tcPr>
            <w:tcW w:w="1537" w:type="dxa"/>
            <w:gridSpan w:val="4"/>
            <w:tcBorders>
              <w:top w:val="single" w:sz="4" w:space="0" w:color="auto"/>
              <w:left w:val="nil"/>
              <w:bottom w:val="nil"/>
              <w:right w:val="nil"/>
            </w:tcBorders>
            <w:shd w:val="clear" w:color="auto" w:fill="auto"/>
            <w:noWrap/>
            <w:vAlign w:val="bottom"/>
            <w:hideMark/>
          </w:tcPr>
          <w:p w14:paraId="0A60032E" w14:textId="77777777" w:rsidR="000F6636" w:rsidRPr="008E295D" w:rsidRDefault="000F6636" w:rsidP="00484DB0">
            <w:pPr>
              <w:jc w:val="right"/>
              <w:rPr>
                <w:rFonts w:cs="Times New Roman"/>
                <w:i/>
                <w:iCs/>
                <w:color w:val="000000"/>
                <w:sz w:val="16"/>
                <w:szCs w:val="16"/>
              </w:rPr>
            </w:pPr>
            <w:r w:rsidRPr="008E295D">
              <w:rPr>
                <w:rFonts w:cs="Times New Roman"/>
                <w:i/>
                <w:iCs/>
                <w:color w:val="000000"/>
                <w:sz w:val="16"/>
                <w:szCs w:val="16"/>
              </w:rPr>
              <w:t>Zdroj: MF SR</w:t>
            </w:r>
          </w:p>
        </w:tc>
      </w:tr>
      <w:tr w:rsidR="000F6636" w:rsidRPr="008E295D" w14:paraId="01BF1C37" w14:textId="77777777" w:rsidTr="00484DB0">
        <w:trPr>
          <w:trHeight w:val="267"/>
          <w:jc w:val="center"/>
        </w:trPr>
        <w:tc>
          <w:tcPr>
            <w:tcW w:w="9090" w:type="dxa"/>
            <w:gridSpan w:val="20"/>
            <w:tcBorders>
              <w:top w:val="nil"/>
              <w:left w:val="nil"/>
              <w:bottom w:val="single" w:sz="8" w:space="0" w:color="auto"/>
              <w:right w:val="nil"/>
            </w:tcBorders>
            <w:shd w:val="clear" w:color="auto" w:fill="auto"/>
            <w:vAlign w:val="center"/>
            <w:hideMark/>
          </w:tcPr>
          <w:p w14:paraId="1CDA6771" w14:textId="74FEFC46" w:rsidR="000F6636" w:rsidRPr="008E295D" w:rsidRDefault="000F6636" w:rsidP="00484DB0">
            <w:pPr>
              <w:pStyle w:val="Tabuka"/>
            </w:pPr>
            <w:bookmarkStart w:id="181" w:name="_Toc432509131"/>
            <w:bookmarkStart w:id="182" w:name="_Toc432573383"/>
            <w:bookmarkStart w:id="183" w:name="_Toc432573832"/>
            <w:bookmarkStart w:id="184" w:name="_Toc495395974"/>
            <w:bookmarkStart w:id="185" w:name="_Toc53500232"/>
            <w:bookmarkStart w:id="186" w:name="_Toc85887943"/>
            <w:bookmarkStart w:id="187" w:name="_Toc117765232"/>
            <w:bookmarkStart w:id="188" w:name="_Toc153185517"/>
            <w:bookmarkStart w:id="189" w:name="_Toc164684557"/>
            <w:r w:rsidRPr="008E295D">
              <w:t xml:space="preserve">TABUĽKA </w:t>
            </w:r>
            <w:fldSimple w:instr=" SEQ TABUĽKA \* ARABIC ">
              <w:r w:rsidR="007435E9">
                <w:rPr>
                  <w:noProof/>
                </w:rPr>
                <w:t>8</w:t>
              </w:r>
            </w:fldSimple>
            <w:r w:rsidRPr="008E295D">
              <w:t xml:space="preserve"> – Porovnanie rozpočtových cieľov s </w:t>
            </w:r>
            <w:bookmarkEnd w:id="181"/>
            <w:bookmarkEnd w:id="182"/>
            <w:bookmarkEnd w:id="183"/>
            <w:bookmarkEnd w:id="184"/>
            <w:bookmarkEnd w:id="185"/>
            <w:bookmarkEnd w:id="186"/>
            <w:bookmarkEnd w:id="187"/>
            <w:bookmarkEnd w:id="188"/>
            <w:r w:rsidRPr="008E295D">
              <w:t>Návrhom rozpočtu</w:t>
            </w:r>
            <w:bookmarkEnd w:id="189"/>
          </w:p>
        </w:tc>
      </w:tr>
      <w:tr w:rsidR="000F6636" w:rsidRPr="008E295D" w14:paraId="414D5AFB" w14:textId="77777777" w:rsidTr="00484DB0">
        <w:trPr>
          <w:trHeight w:val="256"/>
          <w:jc w:val="center"/>
        </w:trPr>
        <w:tc>
          <w:tcPr>
            <w:tcW w:w="3502" w:type="dxa"/>
            <w:gridSpan w:val="2"/>
            <w:tcBorders>
              <w:top w:val="nil"/>
              <w:left w:val="nil"/>
              <w:bottom w:val="nil"/>
              <w:right w:val="nil"/>
            </w:tcBorders>
            <w:shd w:val="clear" w:color="auto" w:fill="auto"/>
            <w:noWrap/>
            <w:vAlign w:val="center"/>
            <w:hideMark/>
          </w:tcPr>
          <w:p w14:paraId="1BAA2C5F" w14:textId="77777777" w:rsidR="000F6636" w:rsidRPr="008E295D" w:rsidRDefault="000F6636" w:rsidP="00484DB0">
            <w:pPr>
              <w:rPr>
                <w:rFonts w:cs="Times New Roman"/>
                <w:color w:val="2C9ADC"/>
                <w:sz w:val="18"/>
                <w:szCs w:val="18"/>
              </w:rPr>
            </w:pPr>
          </w:p>
        </w:tc>
        <w:tc>
          <w:tcPr>
            <w:tcW w:w="673" w:type="dxa"/>
            <w:gridSpan w:val="2"/>
            <w:tcBorders>
              <w:top w:val="nil"/>
              <w:left w:val="nil"/>
              <w:bottom w:val="nil"/>
              <w:right w:val="nil"/>
            </w:tcBorders>
            <w:shd w:val="clear" w:color="auto" w:fill="auto"/>
            <w:noWrap/>
            <w:vAlign w:val="center"/>
            <w:hideMark/>
          </w:tcPr>
          <w:p w14:paraId="6A74E971" w14:textId="77777777" w:rsidR="000F6636" w:rsidRPr="008E295D" w:rsidRDefault="000F6636" w:rsidP="00484DB0">
            <w:pPr>
              <w:jc w:val="center"/>
              <w:rPr>
                <w:rFonts w:cs="Times New Roman"/>
                <w:b/>
                <w:bCs/>
                <w:color w:val="000000"/>
                <w:sz w:val="18"/>
                <w:szCs w:val="18"/>
              </w:rPr>
            </w:pPr>
            <w:r w:rsidRPr="008E295D">
              <w:rPr>
                <w:rFonts w:cs="Times New Roman"/>
                <w:b/>
                <w:bCs/>
                <w:color w:val="000000"/>
                <w:sz w:val="18"/>
                <w:szCs w:val="18"/>
              </w:rPr>
              <w:t>ESA kód</w:t>
            </w:r>
          </w:p>
        </w:tc>
        <w:tc>
          <w:tcPr>
            <w:tcW w:w="1200" w:type="dxa"/>
            <w:gridSpan w:val="2"/>
            <w:tcBorders>
              <w:top w:val="nil"/>
              <w:left w:val="nil"/>
              <w:bottom w:val="nil"/>
              <w:right w:val="nil"/>
            </w:tcBorders>
            <w:shd w:val="clear" w:color="auto" w:fill="auto"/>
            <w:noWrap/>
            <w:vAlign w:val="center"/>
            <w:hideMark/>
          </w:tcPr>
          <w:p w14:paraId="222C75FC"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2022 S</w:t>
            </w:r>
          </w:p>
        </w:tc>
        <w:tc>
          <w:tcPr>
            <w:tcW w:w="928" w:type="dxa"/>
            <w:gridSpan w:val="4"/>
            <w:tcBorders>
              <w:top w:val="nil"/>
              <w:left w:val="nil"/>
              <w:bottom w:val="nil"/>
              <w:right w:val="nil"/>
            </w:tcBorders>
            <w:shd w:val="clear" w:color="auto" w:fill="auto"/>
            <w:noWrap/>
            <w:vAlign w:val="center"/>
            <w:hideMark/>
          </w:tcPr>
          <w:p w14:paraId="1EB70789"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2023 S</w:t>
            </w:r>
          </w:p>
        </w:tc>
        <w:tc>
          <w:tcPr>
            <w:tcW w:w="928" w:type="dxa"/>
            <w:gridSpan w:val="4"/>
            <w:tcBorders>
              <w:top w:val="nil"/>
              <w:left w:val="nil"/>
              <w:bottom w:val="nil"/>
              <w:right w:val="nil"/>
            </w:tcBorders>
            <w:shd w:val="clear" w:color="auto" w:fill="auto"/>
            <w:noWrap/>
            <w:vAlign w:val="center"/>
            <w:hideMark/>
          </w:tcPr>
          <w:p w14:paraId="6EA8D514"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2024 OS</w:t>
            </w:r>
          </w:p>
        </w:tc>
        <w:tc>
          <w:tcPr>
            <w:tcW w:w="928" w:type="dxa"/>
            <w:gridSpan w:val="4"/>
            <w:tcBorders>
              <w:top w:val="nil"/>
              <w:left w:val="nil"/>
              <w:bottom w:val="nil"/>
              <w:right w:val="nil"/>
            </w:tcBorders>
            <w:shd w:val="clear" w:color="auto" w:fill="auto"/>
            <w:noWrap/>
            <w:vAlign w:val="center"/>
            <w:hideMark/>
          </w:tcPr>
          <w:p w14:paraId="5E0356F3"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2025 NRVS</w:t>
            </w:r>
          </w:p>
        </w:tc>
        <w:tc>
          <w:tcPr>
            <w:tcW w:w="931" w:type="dxa"/>
            <w:gridSpan w:val="2"/>
            <w:tcBorders>
              <w:top w:val="nil"/>
              <w:left w:val="nil"/>
              <w:bottom w:val="nil"/>
              <w:right w:val="nil"/>
            </w:tcBorders>
            <w:shd w:val="clear" w:color="auto" w:fill="auto"/>
            <w:noWrap/>
            <w:vAlign w:val="center"/>
            <w:hideMark/>
          </w:tcPr>
          <w:p w14:paraId="412B9DB1"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2026 NRVS</w:t>
            </w:r>
          </w:p>
        </w:tc>
      </w:tr>
      <w:tr w:rsidR="000F6636" w:rsidRPr="008E295D" w14:paraId="78CEDEA6" w14:textId="77777777" w:rsidTr="00484DB0">
        <w:trPr>
          <w:trHeight w:val="267"/>
          <w:jc w:val="center"/>
        </w:trPr>
        <w:tc>
          <w:tcPr>
            <w:tcW w:w="3502" w:type="dxa"/>
            <w:gridSpan w:val="2"/>
            <w:tcBorders>
              <w:top w:val="nil"/>
              <w:left w:val="nil"/>
              <w:bottom w:val="nil"/>
              <w:right w:val="nil"/>
            </w:tcBorders>
            <w:shd w:val="clear" w:color="auto" w:fill="auto"/>
            <w:noWrap/>
            <w:vAlign w:val="center"/>
            <w:hideMark/>
          </w:tcPr>
          <w:p w14:paraId="4FA81431" w14:textId="77777777" w:rsidR="000F6636" w:rsidRPr="008E295D" w:rsidRDefault="000F6636" w:rsidP="00484DB0">
            <w:pPr>
              <w:jc w:val="center"/>
              <w:rPr>
                <w:rFonts w:cs="Times New Roman"/>
                <w:b/>
                <w:bCs/>
                <w:color w:val="000000"/>
                <w:sz w:val="18"/>
                <w:szCs w:val="18"/>
              </w:rPr>
            </w:pPr>
          </w:p>
        </w:tc>
        <w:tc>
          <w:tcPr>
            <w:tcW w:w="673" w:type="dxa"/>
            <w:gridSpan w:val="2"/>
            <w:tcBorders>
              <w:top w:val="nil"/>
              <w:left w:val="nil"/>
              <w:bottom w:val="nil"/>
              <w:right w:val="nil"/>
            </w:tcBorders>
            <w:shd w:val="clear" w:color="auto" w:fill="auto"/>
            <w:noWrap/>
            <w:vAlign w:val="center"/>
            <w:hideMark/>
          </w:tcPr>
          <w:p w14:paraId="7E1B80CD" w14:textId="77777777" w:rsidR="000F6636" w:rsidRPr="008E295D" w:rsidRDefault="000F6636" w:rsidP="00484DB0">
            <w:pPr>
              <w:rPr>
                <w:rFonts w:cs="Times New Roman"/>
                <w:sz w:val="20"/>
                <w:szCs w:val="20"/>
              </w:rPr>
            </w:pPr>
          </w:p>
        </w:tc>
        <w:tc>
          <w:tcPr>
            <w:tcW w:w="1200" w:type="dxa"/>
            <w:gridSpan w:val="2"/>
            <w:tcBorders>
              <w:top w:val="nil"/>
              <w:left w:val="nil"/>
              <w:bottom w:val="nil"/>
              <w:right w:val="nil"/>
            </w:tcBorders>
            <w:shd w:val="clear" w:color="auto" w:fill="auto"/>
            <w:noWrap/>
            <w:vAlign w:val="center"/>
            <w:hideMark/>
          </w:tcPr>
          <w:p w14:paraId="002932FC" w14:textId="77777777" w:rsidR="000F6636" w:rsidRPr="008E295D" w:rsidRDefault="000F6636" w:rsidP="00484DB0">
            <w:pPr>
              <w:jc w:val="center"/>
              <w:rPr>
                <w:rFonts w:cs="Times New Roman"/>
                <w:color w:val="000000"/>
                <w:sz w:val="18"/>
                <w:szCs w:val="18"/>
              </w:rPr>
            </w:pPr>
            <w:r w:rsidRPr="008E295D">
              <w:rPr>
                <w:color w:val="000000"/>
                <w:sz w:val="18"/>
                <w:szCs w:val="18"/>
              </w:rPr>
              <w:t>% HDP</w:t>
            </w:r>
          </w:p>
        </w:tc>
        <w:tc>
          <w:tcPr>
            <w:tcW w:w="928" w:type="dxa"/>
            <w:gridSpan w:val="4"/>
            <w:tcBorders>
              <w:top w:val="nil"/>
              <w:left w:val="nil"/>
              <w:bottom w:val="nil"/>
              <w:right w:val="nil"/>
            </w:tcBorders>
            <w:shd w:val="clear" w:color="auto" w:fill="auto"/>
            <w:noWrap/>
            <w:vAlign w:val="center"/>
            <w:hideMark/>
          </w:tcPr>
          <w:p w14:paraId="4795A06C" w14:textId="77777777" w:rsidR="000F6636" w:rsidRPr="008E295D" w:rsidRDefault="000F6636" w:rsidP="00484DB0">
            <w:pPr>
              <w:jc w:val="center"/>
              <w:rPr>
                <w:rFonts w:cs="Times New Roman"/>
                <w:color w:val="000000"/>
                <w:sz w:val="18"/>
                <w:szCs w:val="18"/>
              </w:rPr>
            </w:pPr>
            <w:r w:rsidRPr="008E295D">
              <w:rPr>
                <w:color w:val="000000"/>
                <w:sz w:val="18"/>
                <w:szCs w:val="18"/>
              </w:rPr>
              <w:t>% HDP</w:t>
            </w:r>
          </w:p>
        </w:tc>
        <w:tc>
          <w:tcPr>
            <w:tcW w:w="928" w:type="dxa"/>
            <w:gridSpan w:val="4"/>
            <w:tcBorders>
              <w:top w:val="nil"/>
              <w:left w:val="nil"/>
              <w:bottom w:val="nil"/>
              <w:right w:val="nil"/>
            </w:tcBorders>
            <w:shd w:val="clear" w:color="auto" w:fill="auto"/>
            <w:noWrap/>
            <w:vAlign w:val="center"/>
            <w:hideMark/>
          </w:tcPr>
          <w:p w14:paraId="523835E3" w14:textId="77777777" w:rsidR="000F6636" w:rsidRPr="008E295D" w:rsidRDefault="000F6636" w:rsidP="00484DB0">
            <w:pPr>
              <w:jc w:val="center"/>
              <w:rPr>
                <w:rFonts w:cs="Times New Roman"/>
                <w:color w:val="000000"/>
                <w:sz w:val="18"/>
                <w:szCs w:val="18"/>
              </w:rPr>
            </w:pPr>
            <w:r w:rsidRPr="008E295D">
              <w:rPr>
                <w:color w:val="000000"/>
                <w:sz w:val="18"/>
                <w:szCs w:val="18"/>
              </w:rPr>
              <w:t>% HDP</w:t>
            </w:r>
          </w:p>
        </w:tc>
        <w:tc>
          <w:tcPr>
            <w:tcW w:w="928" w:type="dxa"/>
            <w:gridSpan w:val="4"/>
            <w:tcBorders>
              <w:top w:val="nil"/>
              <w:left w:val="nil"/>
              <w:bottom w:val="nil"/>
              <w:right w:val="nil"/>
            </w:tcBorders>
            <w:shd w:val="clear" w:color="auto" w:fill="auto"/>
            <w:noWrap/>
            <w:vAlign w:val="center"/>
            <w:hideMark/>
          </w:tcPr>
          <w:p w14:paraId="517827D8" w14:textId="77777777" w:rsidR="000F6636" w:rsidRPr="008E295D" w:rsidRDefault="000F6636" w:rsidP="00484DB0">
            <w:pPr>
              <w:jc w:val="center"/>
              <w:rPr>
                <w:rFonts w:cs="Times New Roman"/>
                <w:color w:val="000000"/>
                <w:sz w:val="18"/>
                <w:szCs w:val="18"/>
              </w:rPr>
            </w:pPr>
            <w:r w:rsidRPr="008E295D">
              <w:rPr>
                <w:color w:val="000000"/>
                <w:sz w:val="18"/>
                <w:szCs w:val="18"/>
              </w:rPr>
              <w:t>% HDP</w:t>
            </w:r>
          </w:p>
        </w:tc>
        <w:tc>
          <w:tcPr>
            <w:tcW w:w="931" w:type="dxa"/>
            <w:gridSpan w:val="2"/>
            <w:tcBorders>
              <w:top w:val="nil"/>
              <w:left w:val="nil"/>
              <w:bottom w:val="nil"/>
              <w:right w:val="nil"/>
            </w:tcBorders>
            <w:shd w:val="clear" w:color="auto" w:fill="auto"/>
            <w:noWrap/>
            <w:vAlign w:val="center"/>
            <w:hideMark/>
          </w:tcPr>
          <w:p w14:paraId="099D7645" w14:textId="77777777" w:rsidR="000F6636" w:rsidRPr="008E295D" w:rsidRDefault="000F6636" w:rsidP="00484DB0">
            <w:pPr>
              <w:jc w:val="center"/>
              <w:rPr>
                <w:rFonts w:cs="Times New Roman"/>
                <w:color w:val="000000"/>
                <w:sz w:val="18"/>
                <w:szCs w:val="18"/>
              </w:rPr>
            </w:pPr>
            <w:r w:rsidRPr="008E295D">
              <w:rPr>
                <w:color w:val="000000"/>
                <w:sz w:val="18"/>
                <w:szCs w:val="18"/>
              </w:rPr>
              <w:t>% HDP</w:t>
            </w:r>
          </w:p>
        </w:tc>
      </w:tr>
      <w:tr w:rsidR="000F6636" w:rsidRPr="008E295D" w14:paraId="0FF64ED7" w14:textId="77777777" w:rsidTr="00484DB0">
        <w:trPr>
          <w:trHeight w:val="256"/>
          <w:jc w:val="center"/>
        </w:trPr>
        <w:tc>
          <w:tcPr>
            <w:tcW w:w="3502" w:type="dxa"/>
            <w:gridSpan w:val="2"/>
            <w:tcBorders>
              <w:top w:val="single" w:sz="8" w:space="0" w:color="auto"/>
              <w:left w:val="nil"/>
              <w:bottom w:val="nil"/>
              <w:right w:val="nil"/>
            </w:tcBorders>
            <w:shd w:val="clear" w:color="auto" w:fill="auto"/>
            <w:noWrap/>
            <w:vAlign w:val="center"/>
            <w:hideMark/>
          </w:tcPr>
          <w:p w14:paraId="33407F3D" w14:textId="77777777" w:rsidR="000F6636" w:rsidRPr="008E295D" w:rsidRDefault="000F6636" w:rsidP="00484DB0">
            <w:pPr>
              <w:rPr>
                <w:rFonts w:cs="Times New Roman"/>
                <w:b/>
                <w:bCs/>
                <w:color w:val="000000"/>
                <w:sz w:val="18"/>
                <w:szCs w:val="18"/>
              </w:rPr>
            </w:pPr>
            <w:r w:rsidRPr="008E295D">
              <w:rPr>
                <w:rFonts w:cs="Times New Roman"/>
                <w:b/>
                <w:bCs/>
                <w:color w:val="000000"/>
                <w:sz w:val="18"/>
                <w:szCs w:val="18"/>
              </w:rPr>
              <w:t>Cieľové saldá verejnej správy</w:t>
            </w:r>
          </w:p>
        </w:tc>
        <w:tc>
          <w:tcPr>
            <w:tcW w:w="673" w:type="dxa"/>
            <w:gridSpan w:val="2"/>
            <w:tcBorders>
              <w:top w:val="single" w:sz="8" w:space="0" w:color="auto"/>
              <w:left w:val="nil"/>
              <w:bottom w:val="nil"/>
              <w:right w:val="nil"/>
            </w:tcBorders>
            <w:shd w:val="clear" w:color="auto" w:fill="auto"/>
            <w:noWrap/>
            <w:vAlign w:val="center"/>
            <w:hideMark/>
          </w:tcPr>
          <w:p w14:paraId="4C5E2798" w14:textId="77777777" w:rsidR="000F6636" w:rsidRPr="008E295D" w:rsidRDefault="000F6636" w:rsidP="00484DB0">
            <w:pPr>
              <w:jc w:val="center"/>
              <w:rPr>
                <w:rFonts w:cs="Times New Roman"/>
                <w:b/>
                <w:bCs/>
                <w:color w:val="000000"/>
                <w:sz w:val="18"/>
                <w:szCs w:val="18"/>
              </w:rPr>
            </w:pPr>
            <w:r w:rsidRPr="008E295D">
              <w:rPr>
                <w:rFonts w:cs="Times New Roman"/>
                <w:b/>
                <w:bCs/>
                <w:color w:val="000000"/>
                <w:sz w:val="18"/>
                <w:szCs w:val="18"/>
              </w:rPr>
              <w:t>B,9</w:t>
            </w:r>
          </w:p>
        </w:tc>
        <w:tc>
          <w:tcPr>
            <w:tcW w:w="1200" w:type="dxa"/>
            <w:gridSpan w:val="2"/>
            <w:tcBorders>
              <w:top w:val="single" w:sz="8" w:space="0" w:color="auto"/>
              <w:left w:val="nil"/>
              <w:bottom w:val="nil"/>
              <w:right w:val="nil"/>
            </w:tcBorders>
            <w:shd w:val="clear" w:color="auto" w:fill="auto"/>
            <w:noWrap/>
            <w:vAlign w:val="center"/>
            <w:hideMark/>
          </w:tcPr>
          <w:p w14:paraId="5321C34A" w14:textId="77777777" w:rsidR="000F6636" w:rsidRPr="008E295D" w:rsidRDefault="000F6636" w:rsidP="00484DB0">
            <w:pPr>
              <w:rPr>
                <w:rFonts w:cs="Times New Roman"/>
                <w:b/>
                <w:bCs/>
                <w:color w:val="000000"/>
                <w:sz w:val="18"/>
                <w:szCs w:val="18"/>
              </w:rPr>
            </w:pPr>
            <w:r w:rsidRPr="008E295D">
              <w:rPr>
                <w:b/>
                <w:bCs/>
                <w:color w:val="000000"/>
                <w:sz w:val="18"/>
                <w:szCs w:val="18"/>
              </w:rPr>
              <w:t> </w:t>
            </w:r>
          </w:p>
        </w:tc>
        <w:tc>
          <w:tcPr>
            <w:tcW w:w="928" w:type="dxa"/>
            <w:gridSpan w:val="4"/>
            <w:tcBorders>
              <w:top w:val="single" w:sz="8" w:space="0" w:color="auto"/>
              <w:left w:val="nil"/>
              <w:bottom w:val="nil"/>
              <w:right w:val="nil"/>
            </w:tcBorders>
            <w:shd w:val="clear" w:color="auto" w:fill="auto"/>
            <w:noWrap/>
            <w:vAlign w:val="center"/>
            <w:hideMark/>
          </w:tcPr>
          <w:p w14:paraId="514DDC40" w14:textId="77777777" w:rsidR="000F6636" w:rsidRPr="008E295D" w:rsidRDefault="000F6636" w:rsidP="00484DB0">
            <w:pPr>
              <w:rPr>
                <w:rFonts w:cs="Times New Roman"/>
                <w:b/>
                <w:bCs/>
                <w:color w:val="000000"/>
                <w:sz w:val="18"/>
                <w:szCs w:val="18"/>
              </w:rPr>
            </w:pPr>
            <w:r w:rsidRPr="008E295D">
              <w:rPr>
                <w:b/>
                <w:bCs/>
                <w:color w:val="000000"/>
                <w:sz w:val="18"/>
                <w:szCs w:val="18"/>
              </w:rPr>
              <w:t> </w:t>
            </w:r>
          </w:p>
        </w:tc>
        <w:tc>
          <w:tcPr>
            <w:tcW w:w="928" w:type="dxa"/>
            <w:gridSpan w:val="4"/>
            <w:tcBorders>
              <w:top w:val="single" w:sz="8" w:space="0" w:color="auto"/>
              <w:left w:val="nil"/>
              <w:bottom w:val="nil"/>
              <w:right w:val="nil"/>
            </w:tcBorders>
            <w:shd w:val="clear" w:color="auto" w:fill="auto"/>
            <w:noWrap/>
            <w:vAlign w:val="center"/>
            <w:hideMark/>
          </w:tcPr>
          <w:p w14:paraId="33077272" w14:textId="77777777" w:rsidR="000F6636" w:rsidRPr="008E295D" w:rsidRDefault="000F6636" w:rsidP="00484DB0">
            <w:pPr>
              <w:rPr>
                <w:rFonts w:cs="Times New Roman"/>
                <w:b/>
                <w:bCs/>
                <w:color w:val="000000"/>
                <w:sz w:val="18"/>
                <w:szCs w:val="18"/>
              </w:rPr>
            </w:pPr>
            <w:r w:rsidRPr="008E295D">
              <w:rPr>
                <w:b/>
                <w:bCs/>
                <w:color w:val="000000"/>
                <w:sz w:val="18"/>
                <w:szCs w:val="18"/>
              </w:rPr>
              <w:t> </w:t>
            </w:r>
          </w:p>
        </w:tc>
        <w:tc>
          <w:tcPr>
            <w:tcW w:w="928" w:type="dxa"/>
            <w:gridSpan w:val="4"/>
            <w:tcBorders>
              <w:top w:val="single" w:sz="8" w:space="0" w:color="auto"/>
              <w:left w:val="nil"/>
              <w:bottom w:val="nil"/>
              <w:right w:val="nil"/>
            </w:tcBorders>
            <w:shd w:val="clear" w:color="auto" w:fill="auto"/>
            <w:noWrap/>
            <w:vAlign w:val="center"/>
            <w:hideMark/>
          </w:tcPr>
          <w:p w14:paraId="3FBE482B" w14:textId="77777777" w:rsidR="000F6636" w:rsidRPr="008E295D" w:rsidRDefault="000F6636" w:rsidP="00484DB0">
            <w:pPr>
              <w:rPr>
                <w:rFonts w:cs="Times New Roman"/>
                <w:b/>
                <w:bCs/>
                <w:color w:val="000000"/>
                <w:sz w:val="18"/>
                <w:szCs w:val="18"/>
              </w:rPr>
            </w:pPr>
            <w:r w:rsidRPr="008E295D">
              <w:rPr>
                <w:b/>
                <w:bCs/>
                <w:color w:val="000000"/>
                <w:sz w:val="18"/>
                <w:szCs w:val="18"/>
              </w:rPr>
              <w:t> </w:t>
            </w:r>
          </w:p>
        </w:tc>
        <w:tc>
          <w:tcPr>
            <w:tcW w:w="931" w:type="dxa"/>
            <w:gridSpan w:val="2"/>
            <w:tcBorders>
              <w:top w:val="single" w:sz="8" w:space="0" w:color="auto"/>
              <w:left w:val="nil"/>
              <w:bottom w:val="nil"/>
              <w:right w:val="nil"/>
            </w:tcBorders>
            <w:shd w:val="clear" w:color="auto" w:fill="auto"/>
            <w:noWrap/>
            <w:vAlign w:val="center"/>
            <w:hideMark/>
          </w:tcPr>
          <w:p w14:paraId="01E381C7" w14:textId="77777777" w:rsidR="000F6636" w:rsidRPr="008E295D" w:rsidRDefault="000F6636" w:rsidP="00484DB0">
            <w:pPr>
              <w:rPr>
                <w:rFonts w:cs="Times New Roman"/>
                <w:b/>
                <w:bCs/>
                <w:color w:val="000000"/>
                <w:sz w:val="18"/>
                <w:szCs w:val="18"/>
              </w:rPr>
            </w:pPr>
            <w:r w:rsidRPr="008E295D">
              <w:rPr>
                <w:b/>
                <w:bCs/>
                <w:color w:val="000000"/>
                <w:sz w:val="18"/>
                <w:szCs w:val="18"/>
              </w:rPr>
              <w:t> </w:t>
            </w:r>
          </w:p>
        </w:tc>
      </w:tr>
      <w:tr w:rsidR="000F6636" w:rsidRPr="008E295D" w14:paraId="66FA4953" w14:textId="77777777" w:rsidTr="00484DB0">
        <w:trPr>
          <w:trHeight w:val="256"/>
          <w:jc w:val="center"/>
        </w:trPr>
        <w:tc>
          <w:tcPr>
            <w:tcW w:w="3502" w:type="dxa"/>
            <w:gridSpan w:val="2"/>
            <w:tcBorders>
              <w:top w:val="nil"/>
              <w:left w:val="nil"/>
              <w:bottom w:val="nil"/>
              <w:right w:val="nil"/>
            </w:tcBorders>
            <w:shd w:val="clear" w:color="auto" w:fill="auto"/>
            <w:noWrap/>
            <w:vAlign w:val="center"/>
            <w:hideMark/>
          </w:tcPr>
          <w:p w14:paraId="773B53A3" w14:textId="77777777" w:rsidR="000F6636" w:rsidRPr="008E295D" w:rsidRDefault="000F6636" w:rsidP="00484DB0">
            <w:pPr>
              <w:ind w:firstLineChars="100" w:firstLine="180"/>
              <w:rPr>
                <w:rFonts w:cs="Times New Roman"/>
                <w:color w:val="000000"/>
                <w:sz w:val="18"/>
                <w:szCs w:val="18"/>
              </w:rPr>
            </w:pPr>
            <w:r w:rsidRPr="008E295D">
              <w:rPr>
                <w:rFonts w:cs="Times New Roman"/>
                <w:color w:val="000000"/>
                <w:sz w:val="18"/>
                <w:szCs w:val="18"/>
              </w:rPr>
              <w:t>Program stability (1)</w:t>
            </w:r>
          </w:p>
        </w:tc>
        <w:tc>
          <w:tcPr>
            <w:tcW w:w="673" w:type="dxa"/>
            <w:gridSpan w:val="2"/>
            <w:tcBorders>
              <w:top w:val="nil"/>
              <w:left w:val="nil"/>
              <w:bottom w:val="nil"/>
              <w:right w:val="nil"/>
            </w:tcBorders>
            <w:shd w:val="clear" w:color="auto" w:fill="auto"/>
            <w:noWrap/>
            <w:vAlign w:val="bottom"/>
            <w:hideMark/>
          </w:tcPr>
          <w:p w14:paraId="3A049AA3" w14:textId="77777777" w:rsidR="000F6636" w:rsidRPr="008E295D" w:rsidRDefault="000F6636" w:rsidP="00484DB0">
            <w:pPr>
              <w:ind w:firstLineChars="100" w:firstLine="180"/>
              <w:rPr>
                <w:rFonts w:cs="Times New Roman"/>
                <w:color w:val="000000"/>
                <w:sz w:val="18"/>
                <w:szCs w:val="18"/>
              </w:rPr>
            </w:pPr>
          </w:p>
        </w:tc>
        <w:tc>
          <w:tcPr>
            <w:tcW w:w="1200" w:type="dxa"/>
            <w:gridSpan w:val="2"/>
            <w:tcBorders>
              <w:top w:val="nil"/>
              <w:left w:val="nil"/>
              <w:bottom w:val="nil"/>
              <w:right w:val="nil"/>
            </w:tcBorders>
            <w:shd w:val="clear" w:color="auto" w:fill="auto"/>
            <w:noWrap/>
            <w:vAlign w:val="center"/>
            <w:hideMark/>
          </w:tcPr>
          <w:p w14:paraId="5DAD33F5" w14:textId="77777777" w:rsidR="000F6636" w:rsidRPr="008E295D" w:rsidRDefault="000F6636" w:rsidP="00484DB0">
            <w:pPr>
              <w:jc w:val="center"/>
              <w:rPr>
                <w:rFonts w:cs="Calibri"/>
                <w:color w:val="000000"/>
                <w:sz w:val="18"/>
                <w:szCs w:val="18"/>
              </w:rPr>
            </w:pPr>
            <w:r w:rsidRPr="008E295D">
              <w:rPr>
                <w:rFonts w:cs="Calibri"/>
                <w:color w:val="000000"/>
                <w:sz w:val="18"/>
                <w:szCs w:val="18"/>
              </w:rPr>
              <w:t>-1,67</w:t>
            </w:r>
          </w:p>
        </w:tc>
        <w:tc>
          <w:tcPr>
            <w:tcW w:w="928" w:type="dxa"/>
            <w:gridSpan w:val="4"/>
            <w:tcBorders>
              <w:top w:val="nil"/>
              <w:left w:val="nil"/>
              <w:bottom w:val="nil"/>
              <w:right w:val="nil"/>
            </w:tcBorders>
            <w:shd w:val="clear" w:color="auto" w:fill="auto"/>
            <w:noWrap/>
            <w:vAlign w:val="center"/>
            <w:hideMark/>
          </w:tcPr>
          <w:p w14:paraId="58AF288D" w14:textId="77777777" w:rsidR="000F6636" w:rsidRPr="008E295D" w:rsidRDefault="000F6636" w:rsidP="00484DB0">
            <w:pPr>
              <w:jc w:val="center"/>
              <w:rPr>
                <w:rFonts w:cs="Calibri"/>
                <w:color w:val="000000"/>
                <w:sz w:val="18"/>
                <w:szCs w:val="18"/>
              </w:rPr>
            </w:pPr>
            <w:r w:rsidRPr="008E295D">
              <w:rPr>
                <w:rFonts w:cs="Calibri"/>
                <w:color w:val="000000"/>
                <w:sz w:val="18"/>
                <w:szCs w:val="18"/>
              </w:rPr>
              <w:t>-4,89</w:t>
            </w:r>
          </w:p>
        </w:tc>
        <w:tc>
          <w:tcPr>
            <w:tcW w:w="928" w:type="dxa"/>
            <w:gridSpan w:val="4"/>
            <w:tcBorders>
              <w:top w:val="nil"/>
              <w:left w:val="nil"/>
              <w:bottom w:val="nil"/>
              <w:right w:val="nil"/>
            </w:tcBorders>
            <w:shd w:val="clear" w:color="auto" w:fill="auto"/>
            <w:noWrap/>
            <w:hideMark/>
          </w:tcPr>
          <w:p w14:paraId="52B38E4D" w14:textId="77777777" w:rsidR="000F6636" w:rsidRPr="008E295D" w:rsidRDefault="000F6636" w:rsidP="00484DB0">
            <w:pPr>
              <w:jc w:val="center"/>
              <w:rPr>
                <w:rFonts w:cs="Calibri"/>
                <w:color w:val="000000"/>
                <w:sz w:val="18"/>
                <w:szCs w:val="18"/>
              </w:rPr>
            </w:pPr>
            <w:r w:rsidRPr="008E295D">
              <w:rPr>
                <w:rFonts w:cs="Calibri"/>
                <w:color w:val="000000"/>
                <w:sz w:val="18"/>
                <w:szCs w:val="18"/>
              </w:rPr>
              <w:t>-5,9</w:t>
            </w:r>
            <w:r>
              <w:rPr>
                <w:rFonts w:cs="Calibri"/>
                <w:color w:val="000000"/>
                <w:sz w:val="18"/>
                <w:szCs w:val="18"/>
              </w:rPr>
              <w:t>3</w:t>
            </w:r>
          </w:p>
        </w:tc>
        <w:tc>
          <w:tcPr>
            <w:tcW w:w="928" w:type="dxa"/>
            <w:gridSpan w:val="4"/>
            <w:tcBorders>
              <w:top w:val="nil"/>
              <w:left w:val="nil"/>
              <w:bottom w:val="nil"/>
              <w:right w:val="nil"/>
            </w:tcBorders>
            <w:shd w:val="clear" w:color="auto" w:fill="auto"/>
            <w:noWrap/>
            <w:hideMark/>
          </w:tcPr>
          <w:p w14:paraId="4D66FB16" w14:textId="77777777" w:rsidR="000F6636" w:rsidRPr="008E295D" w:rsidRDefault="000F6636" w:rsidP="00484DB0">
            <w:pPr>
              <w:jc w:val="center"/>
              <w:rPr>
                <w:rFonts w:cs="Calibri"/>
                <w:color w:val="000000"/>
                <w:sz w:val="18"/>
                <w:szCs w:val="18"/>
              </w:rPr>
            </w:pPr>
            <w:r w:rsidRPr="008E295D">
              <w:rPr>
                <w:rFonts w:cs="Calibri"/>
                <w:color w:val="000000"/>
                <w:sz w:val="18"/>
                <w:szCs w:val="18"/>
              </w:rPr>
              <w:t>-4,97</w:t>
            </w:r>
          </w:p>
        </w:tc>
        <w:tc>
          <w:tcPr>
            <w:tcW w:w="931" w:type="dxa"/>
            <w:gridSpan w:val="2"/>
            <w:tcBorders>
              <w:top w:val="nil"/>
              <w:left w:val="nil"/>
              <w:bottom w:val="nil"/>
              <w:right w:val="nil"/>
            </w:tcBorders>
            <w:shd w:val="clear" w:color="auto" w:fill="auto"/>
            <w:noWrap/>
            <w:hideMark/>
          </w:tcPr>
          <w:p w14:paraId="02BB500A" w14:textId="77777777" w:rsidR="000F6636" w:rsidRPr="008E295D" w:rsidRDefault="000F6636" w:rsidP="00484DB0">
            <w:pPr>
              <w:jc w:val="center"/>
              <w:rPr>
                <w:rFonts w:cs="Calibri"/>
                <w:color w:val="000000"/>
                <w:sz w:val="18"/>
                <w:szCs w:val="18"/>
              </w:rPr>
            </w:pPr>
            <w:r w:rsidRPr="008E295D">
              <w:rPr>
                <w:rFonts w:cs="Calibri"/>
                <w:color w:val="000000"/>
                <w:sz w:val="18"/>
                <w:szCs w:val="18"/>
              </w:rPr>
              <w:t>-3,97</w:t>
            </w:r>
          </w:p>
        </w:tc>
      </w:tr>
      <w:tr w:rsidR="000F6636" w:rsidRPr="008E295D" w14:paraId="12CB89AD" w14:textId="77777777" w:rsidTr="00484DB0">
        <w:trPr>
          <w:trHeight w:val="256"/>
          <w:jc w:val="center"/>
        </w:trPr>
        <w:tc>
          <w:tcPr>
            <w:tcW w:w="3502" w:type="dxa"/>
            <w:gridSpan w:val="2"/>
            <w:tcBorders>
              <w:top w:val="nil"/>
              <w:left w:val="nil"/>
              <w:right w:val="nil"/>
            </w:tcBorders>
            <w:shd w:val="clear" w:color="auto" w:fill="auto"/>
            <w:noWrap/>
            <w:vAlign w:val="center"/>
            <w:hideMark/>
          </w:tcPr>
          <w:p w14:paraId="2ADBF01D" w14:textId="77777777" w:rsidR="000F6636" w:rsidRPr="008E295D" w:rsidRDefault="000F6636" w:rsidP="00484DB0">
            <w:pPr>
              <w:ind w:firstLineChars="100" w:firstLine="180"/>
              <w:rPr>
                <w:rFonts w:cs="Times New Roman"/>
                <w:color w:val="000000"/>
                <w:sz w:val="18"/>
                <w:szCs w:val="18"/>
              </w:rPr>
            </w:pPr>
            <w:r w:rsidRPr="008E295D">
              <w:rPr>
                <w:rFonts w:cs="Times New Roman"/>
                <w:color w:val="000000"/>
                <w:sz w:val="18"/>
                <w:szCs w:val="18"/>
              </w:rPr>
              <w:t>Návrh rozpočtového plánu (2)</w:t>
            </w:r>
          </w:p>
        </w:tc>
        <w:tc>
          <w:tcPr>
            <w:tcW w:w="673" w:type="dxa"/>
            <w:gridSpan w:val="2"/>
            <w:tcBorders>
              <w:top w:val="nil"/>
              <w:left w:val="nil"/>
              <w:right w:val="nil"/>
            </w:tcBorders>
            <w:shd w:val="clear" w:color="auto" w:fill="auto"/>
            <w:noWrap/>
            <w:vAlign w:val="bottom"/>
            <w:hideMark/>
          </w:tcPr>
          <w:p w14:paraId="529755C9" w14:textId="77777777" w:rsidR="000F6636" w:rsidRPr="008E295D" w:rsidRDefault="000F6636" w:rsidP="00484DB0">
            <w:pPr>
              <w:ind w:firstLineChars="100" w:firstLine="180"/>
              <w:rPr>
                <w:rFonts w:cs="Times New Roman"/>
                <w:color w:val="000000"/>
                <w:sz w:val="18"/>
                <w:szCs w:val="18"/>
              </w:rPr>
            </w:pPr>
          </w:p>
        </w:tc>
        <w:tc>
          <w:tcPr>
            <w:tcW w:w="1200" w:type="dxa"/>
            <w:gridSpan w:val="2"/>
            <w:tcBorders>
              <w:top w:val="nil"/>
              <w:left w:val="nil"/>
              <w:right w:val="nil"/>
            </w:tcBorders>
            <w:shd w:val="clear" w:color="auto" w:fill="auto"/>
            <w:noWrap/>
            <w:vAlign w:val="center"/>
            <w:hideMark/>
          </w:tcPr>
          <w:p w14:paraId="12C2E447" w14:textId="77777777" w:rsidR="000F6636" w:rsidRPr="008E295D" w:rsidRDefault="000F6636" w:rsidP="00484DB0">
            <w:pPr>
              <w:jc w:val="center"/>
              <w:rPr>
                <w:rFonts w:cs="Calibri"/>
                <w:color w:val="000000"/>
                <w:sz w:val="18"/>
                <w:szCs w:val="18"/>
              </w:rPr>
            </w:pPr>
            <w:r w:rsidRPr="008E295D">
              <w:rPr>
                <w:rFonts w:cs="Calibri"/>
                <w:color w:val="000000"/>
                <w:sz w:val="18"/>
                <w:szCs w:val="18"/>
              </w:rPr>
              <w:t>-2,02</w:t>
            </w:r>
          </w:p>
        </w:tc>
        <w:tc>
          <w:tcPr>
            <w:tcW w:w="928" w:type="dxa"/>
            <w:gridSpan w:val="4"/>
            <w:tcBorders>
              <w:top w:val="nil"/>
              <w:left w:val="nil"/>
              <w:right w:val="nil"/>
            </w:tcBorders>
            <w:shd w:val="clear" w:color="auto" w:fill="auto"/>
            <w:noWrap/>
            <w:vAlign w:val="center"/>
            <w:hideMark/>
          </w:tcPr>
          <w:p w14:paraId="59BC2C9E" w14:textId="77777777" w:rsidR="000F6636" w:rsidRPr="008E295D" w:rsidRDefault="000F6636" w:rsidP="00484DB0">
            <w:pPr>
              <w:jc w:val="center"/>
              <w:rPr>
                <w:rFonts w:cs="Calibri"/>
                <w:color w:val="000000"/>
                <w:sz w:val="18"/>
                <w:szCs w:val="18"/>
              </w:rPr>
            </w:pPr>
            <w:r w:rsidRPr="008E295D">
              <w:rPr>
                <w:rFonts w:cs="Calibri"/>
                <w:color w:val="000000"/>
                <w:sz w:val="18"/>
                <w:szCs w:val="18"/>
              </w:rPr>
              <w:t>-6,52</w:t>
            </w:r>
          </w:p>
        </w:tc>
        <w:tc>
          <w:tcPr>
            <w:tcW w:w="928" w:type="dxa"/>
            <w:gridSpan w:val="4"/>
            <w:tcBorders>
              <w:top w:val="nil"/>
              <w:left w:val="nil"/>
              <w:right w:val="nil"/>
            </w:tcBorders>
            <w:shd w:val="clear" w:color="auto" w:fill="auto"/>
            <w:noWrap/>
            <w:vAlign w:val="center"/>
            <w:hideMark/>
          </w:tcPr>
          <w:p w14:paraId="2308856A" w14:textId="77777777" w:rsidR="000F6636" w:rsidRPr="008E295D" w:rsidRDefault="000F6636" w:rsidP="00484DB0">
            <w:pPr>
              <w:jc w:val="center"/>
              <w:rPr>
                <w:rFonts w:cs="Calibri"/>
                <w:color w:val="000000"/>
                <w:sz w:val="18"/>
                <w:szCs w:val="18"/>
              </w:rPr>
            </w:pPr>
            <w:r w:rsidRPr="008E295D">
              <w:rPr>
                <w:rFonts w:cs="Calibri"/>
                <w:color w:val="000000"/>
                <w:sz w:val="18"/>
                <w:szCs w:val="18"/>
              </w:rPr>
              <w:t>-5,97</w:t>
            </w:r>
          </w:p>
        </w:tc>
        <w:tc>
          <w:tcPr>
            <w:tcW w:w="928" w:type="dxa"/>
            <w:gridSpan w:val="4"/>
            <w:tcBorders>
              <w:top w:val="nil"/>
              <w:left w:val="nil"/>
              <w:right w:val="nil"/>
            </w:tcBorders>
            <w:shd w:val="clear" w:color="auto" w:fill="auto"/>
            <w:noWrap/>
            <w:vAlign w:val="center"/>
            <w:hideMark/>
          </w:tcPr>
          <w:p w14:paraId="18F2E916" w14:textId="77777777" w:rsidR="000F6636" w:rsidRPr="008E295D" w:rsidRDefault="000F6636" w:rsidP="00484DB0">
            <w:pPr>
              <w:jc w:val="center"/>
              <w:rPr>
                <w:rFonts w:cs="Calibri"/>
                <w:color w:val="000000"/>
                <w:sz w:val="18"/>
                <w:szCs w:val="18"/>
              </w:rPr>
            </w:pPr>
            <w:r w:rsidRPr="008E295D">
              <w:rPr>
                <w:rFonts w:cs="Calibri"/>
                <w:color w:val="000000"/>
                <w:sz w:val="18"/>
                <w:szCs w:val="18"/>
              </w:rPr>
              <w:t>-4,97</w:t>
            </w:r>
          </w:p>
        </w:tc>
        <w:tc>
          <w:tcPr>
            <w:tcW w:w="931" w:type="dxa"/>
            <w:gridSpan w:val="2"/>
            <w:tcBorders>
              <w:top w:val="nil"/>
              <w:left w:val="nil"/>
              <w:right w:val="nil"/>
            </w:tcBorders>
            <w:shd w:val="clear" w:color="auto" w:fill="auto"/>
            <w:noWrap/>
            <w:vAlign w:val="center"/>
            <w:hideMark/>
          </w:tcPr>
          <w:p w14:paraId="39E49F99" w14:textId="77777777" w:rsidR="000F6636" w:rsidRPr="008E295D" w:rsidRDefault="000F6636" w:rsidP="00484DB0">
            <w:pPr>
              <w:jc w:val="center"/>
              <w:rPr>
                <w:rFonts w:cs="Calibri"/>
                <w:color w:val="000000"/>
                <w:sz w:val="18"/>
                <w:szCs w:val="18"/>
              </w:rPr>
            </w:pPr>
            <w:r w:rsidRPr="008E295D">
              <w:rPr>
                <w:rFonts w:cs="Calibri"/>
                <w:color w:val="000000"/>
                <w:sz w:val="18"/>
                <w:szCs w:val="18"/>
              </w:rPr>
              <w:t>-3,97</w:t>
            </w:r>
          </w:p>
        </w:tc>
      </w:tr>
      <w:tr w:rsidR="000F6636" w:rsidRPr="008E295D" w14:paraId="4A0786FA" w14:textId="77777777" w:rsidTr="00484DB0">
        <w:trPr>
          <w:trHeight w:val="267"/>
          <w:jc w:val="center"/>
        </w:trPr>
        <w:tc>
          <w:tcPr>
            <w:tcW w:w="3502" w:type="dxa"/>
            <w:gridSpan w:val="2"/>
            <w:tcBorders>
              <w:top w:val="nil"/>
              <w:left w:val="nil"/>
              <w:bottom w:val="single" w:sz="4" w:space="0" w:color="auto"/>
              <w:right w:val="nil"/>
            </w:tcBorders>
            <w:shd w:val="clear" w:color="auto" w:fill="auto"/>
            <w:noWrap/>
            <w:vAlign w:val="center"/>
            <w:hideMark/>
          </w:tcPr>
          <w:p w14:paraId="256D6434" w14:textId="77777777" w:rsidR="000F6636" w:rsidRPr="008E295D" w:rsidRDefault="000F6636" w:rsidP="00484DB0">
            <w:pPr>
              <w:rPr>
                <w:rFonts w:cs="Times New Roman"/>
                <w:b/>
                <w:bCs/>
                <w:color w:val="000000"/>
                <w:sz w:val="18"/>
                <w:szCs w:val="18"/>
              </w:rPr>
            </w:pPr>
            <w:r w:rsidRPr="008E295D">
              <w:rPr>
                <w:rFonts w:cs="Times New Roman"/>
                <w:b/>
                <w:bCs/>
                <w:color w:val="000000"/>
                <w:sz w:val="18"/>
                <w:szCs w:val="18"/>
              </w:rPr>
              <w:t>Rozdiel (2-1)</w:t>
            </w:r>
          </w:p>
        </w:tc>
        <w:tc>
          <w:tcPr>
            <w:tcW w:w="673" w:type="dxa"/>
            <w:gridSpan w:val="2"/>
            <w:tcBorders>
              <w:top w:val="nil"/>
              <w:left w:val="nil"/>
              <w:bottom w:val="single" w:sz="4" w:space="0" w:color="auto"/>
              <w:right w:val="nil"/>
            </w:tcBorders>
            <w:shd w:val="clear" w:color="auto" w:fill="auto"/>
            <w:noWrap/>
            <w:vAlign w:val="bottom"/>
            <w:hideMark/>
          </w:tcPr>
          <w:p w14:paraId="70A9D4C3" w14:textId="77777777" w:rsidR="000F6636" w:rsidRPr="008E295D" w:rsidRDefault="000F6636" w:rsidP="00484DB0">
            <w:pPr>
              <w:ind w:firstLineChars="100" w:firstLine="180"/>
              <w:rPr>
                <w:rFonts w:cs="Times New Roman"/>
                <w:b/>
                <w:bCs/>
                <w:color w:val="000000"/>
                <w:sz w:val="18"/>
                <w:szCs w:val="18"/>
              </w:rPr>
            </w:pPr>
          </w:p>
        </w:tc>
        <w:tc>
          <w:tcPr>
            <w:tcW w:w="1200" w:type="dxa"/>
            <w:gridSpan w:val="2"/>
            <w:tcBorders>
              <w:top w:val="nil"/>
              <w:left w:val="nil"/>
              <w:bottom w:val="single" w:sz="4" w:space="0" w:color="auto"/>
              <w:right w:val="nil"/>
            </w:tcBorders>
            <w:shd w:val="clear" w:color="auto" w:fill="auto"/>
            <w:noWrap/>
            <w:vAlign w:val="center"/>
            <w:hideMark/>
          </w:tcPr>
          <w:p w14:paraId="3E542DAF"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0,25</w:t>
            </w:r>
          </w:p>
        </w:tc>
        <w:tc>
          <w:tcPr>
            <w:tcW w:w="928" w:type="dxa"/>
            <w:gridSpan w:val="4"/>
            <w:tcBorders>
              <w:top w:val="nil"/>
              <w:left w:val="nil"/>
              <w:bottom w:val="single" w:sz="4" w:space="0" w:color="auto"/>
              <w:right w:val="nil"/>
            </w:tcBorders>
            <w:shd w:val="clear" w:color="auto" w:fill="auto"/>
            <w:noWrap/>
            <w:vAlign w:val="center"/>
            <w:hideMark/>
          </w:tcPr>
          <w:p w14:paraId="3E695B54"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-1,63</w:t>
            </w:r>
          </w:p>
        </w:tc>
        <w:tc>
          <w:tcPr>
            <w:tcW w:w="928" w:type="dxa"/>
            <w:gridSpan w:val="4"/>
            <w:tcBorders>
              <w:top w:val="nil"/>
              <w:left w:val="nil"/>
              <w:bottom w:val="single" w:sz="4" w:space="0" w:color="auto"/>
              <w:right w:val="nil"/>
            </w:tcBorders>
            <w:shd w:val="clear" w:color="auto" w:fill="auto"/>
            <w:noWrap/>
            <w:vAlign w:val="center"/>
            <w:hideMark/>
          </w:tcPr>
          <w:p w14:paraId="6AE18DAA"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0,0</w:t>
            </w:r>
            <w:r>
              <w:rPr>
                <w:rFonts w:cs="Calibri"/>
                <w:b/>
                <w:bCs/>
                <w:color w:val="000000"/>
                <w:sz w:val="18"/>
                <w:szCs w:val="18"/>
              </w:rPr>
              <w:t>4</w:t>
            </w:r>
          </w:p>
        </w:tc>
        <w:tc>
          <w:tcPr>
            <w:tcW w:w="928" w:type="dxa"/>
            <w:gridSpan w:val="4"/>
            <w:tcBorders>
              <w:top w:val="nil"/>
              <w:left w:val="nil"/>
              <w:bottom w:val="single" w:sz="4" w:space="0" w:color="auto"/>
              <w:right w:val="nil"/>
            </w:tcBorders>
            <w:shd w:val="clear" w:color="auto" w:fill="auto"/>
            <w:noWrap/>
            <w:vAlign w:val="center"/>
            <w:hideMark/>
          </w:tcPr>
          <w:p w14:paraId="6A049F07"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0,00</w:t>
            </w:r>
          </w:p>
        </w:tc>
        <w:tc>
          <w:tcPr>
            <w:tcW w:w="931" w:type="dxa"/>
            <w:gridSpan w:val="2"/>
            <w:tcBorders>
              <w:top w:val="nil"/>
              <w:left w:val="nil"/>
              <w:bottom w:val="single" w:sz="4" w:space="0" w:color="auto"/>
              <w:right w:val="nil"/>
            </w:tcBorders>
            <w:shd w:val="clear" w:color="auto" w:fill="auto"/>
            <w:noWrap/>
            <w:vAlign w:val="center"/>
            <w:hideMark/>
          </w:tcPr>
          <w:p w14:paraId="4E55BB84" w14:textId="77777777" w:rsidR="000F6636" w:rsidRPr="008E295D" w:rsidRDefault="000F6636" w:rsidP="00484DB0">
            <w:pPr>
              <w:jc w:val="center"/>
              <w:rPr>
                <w:rFonts w:cs="Calibri"/>
                <w:b/>
                <w:bCs/>
                <w:color w:val="000000"/>
                <w:sz w:val="18"/>
                <w:szCs w:val="18"/>
              </w:rPr>
            </w:pPr>
            <w:r w:rsidRPr="008E295D">
              <w:rPr>
                <w:rFonts w:cs="Calibri"/>
                <w:b/>
                <w:bCs/>
                <w:color w:val="000000"/>
                <w:sz w:val="18"/>
                <w:szCs w:val="18"/>
              </w:rPr>
              <w:t>0,00</w:t>
            </w:r>
          </w:p>
        </w:tc>
      </w:tr>
      <w:tr w:rsidR="000F6636" w:rsidRPr="007C2DC9" w14:paraId="6E6FD34B" w14:textId="77777777" w:rsidTr="00484DB0">
        <w:trPr>
          <w:trHeight w:val="267"/>
          <w:jc w:val="center"/>
        </w:trPr>
        <w:tc>
          <w:tcPr>
            <w:tcW w:w="3502" w:type="dxa"/>
            <w:gridSpan w:val="2"/>
            <w:tcBorders>
              <w:top w:val="single" w:sz="4" w:space="0" w:color="auto"/>
              <w:left w:val="nil"/>
              <w:right w:val="nil"/>
            </w:tcBorders>
            <w:shd w:val="clear" w:color="auto" w:fill="auto"/>
            <w:noWrap/>
          </w:tcPr>
          <w:p w14:paraId="1DD1FE5D" w14:textId="77777777" w:rsidR="000F6636" w:rsidRPr="008E295D" w:rsidRDefault="000F6636" w:rsidP="00484DB0">
            <w:pPr>
              <w:rPr>
                <w:sz w:val="16"/>
                <w:szCs w:val="16"/>
              </w:rPr>
            </w:pPr>
            <w:r w:rsidRPr="008E295D">
              <w:rPr>
                <w:rFonts w:cs="Times New Roman"/>
                <w:bCs/>
                <w:color w:val="000000"/>
                <w:sz w:val="16"/>
                <w:szCs w:val="16"/>
              </w:rPr>
              <w:t xml:space="preserve">OS – Očakávaná skutočnosť </w:t>
            </w:r>
          </w:p>
          <w:p w14:paraId="1C17EB96" w14:textId="77777777" w:rsidR="000F6636" w:rsidRPr="008E295D" w:rsidRDefault="000F6636" w:rsidP="00484DB0">
            <w:pPr>
              <w:rPr>
                <w:i/>
                <w:sz w:val="16"/>
                <w:szCs w:val="16"/>
              </w:rPr>
            </w:pPr>
            <w:r w:rsidRPr="008E295D">
              <w:rPr>
                <w:sz w:val="16"/>
                <w:szCs w:val="16"/>
              </w:rPr>
              <w:t>NRVS – Návrh rozpočtu verejnej správy</w:t>
            </w:r>
          </w:p>
        </w:tc>
        <w:tc>
          <w:tcPr>
            <w:tcW w:w="673" w:type="dxa"/>
            <w:gridSpan w:val="2"/>
            <w:tcBorders>
              <w:top w:val="single" w:sz="4" w:space="0" w:color="auto"/>
              <w:left w:val="nil"/>
              <w:right w:val="nil"/>
            </w:tcBorders>
            <w:shd w:val="clear" w:color="auto" w:fill="auto"/>
            <w:noWrap/>
            <w:vAlign w:val="center"/>
          </w:tcPr>
          <w:p w14:paraId="5CB59D00" w14:textId="77777777" w:rsidR="000F6636" w:rsidRPr="008E295D" w:rsidRDefault="000F6636" w:rsidP="00484DB0">
            <w:pPr>
              <w:ind w:firstLineChars="100" w:firstLine="180"/>
              <w:rPr>
                <w:rFonts w:cs="Times New Roman"/>
                <w:b/>
                <w:bCs/>
                <w:color w:val="000000"/>
                <w:sz w:val="18"/>
                <w:szCs w:val="18"/>
              </w:rPr>
            </w:pPr>
          </w:p>
        </w:tc>
        <w:tc>
          <w:tcPr>
            <w:tcW w:w="1200" w:type="dxa"/>
            <w:gridSpan w:val="2"/>
            <w:tcBorders>
              <w:top w:val="single" w:sz="4" w:space="0" w:color="auto"/>
              <w:left w:val="nil"/>
              <w:right w:val="nil"/>
            </w:tcBorders>
            <w:shd w:val="clear" w:color="auto" w:fill="auto"/>
            <w:noWrap/>
            <w:vAlign w:val="center"/>
          </w:tcPr>
          <w:p w14:paraId="3E54FC17" w14:textId="77777777" w:rsidR="000F6636" w:rsidRPr="008E295D" w:rsidRDefault="000F6636" w:rsidP="00484DB0">
            <w:pPr>
              <w:rPr>
                <w:b/>
                <w:bCs/>
                <w:color w:val="000000"/>
                <w:sz w:val="18"/>
                <w:szCs w:val="18"/>
              </w:rPr>
            </w:pPr>
          </w:p>
        </w:tc>
        <w:tc>
          <w:tcPr>
            <w:tcW w:w="928" w:type="dxa"/>
            <w:gridSpan w:val="4"/>
            <w:tcBorders>
              <w:top w:val="single" w:sz="4" w:space="0" w:color="auto"/>
              <w:left w:val="nil"/>
              <w:right w:val="nil"/>
            </w:tcBorders>
            <w:shd w:val="clear" w:color="auto" w:fill="auto"/>
            <w:noWrap/>
            <w:vAlign w:val="center"/>
          </w:tcPr>
          <w:p w14:paraId="5D57D831" w14:textId="77777777" w:rsidR="000F6636" w:rsidRPr="008E295D" w:rsidRDefault="000F6636" w:rsidP="00484DB0">
            <w:pPr>
              <w:rPr>
                <w:b/>
                <w:bCs/>
                <w:color w:val="000000"/>
                <w:sz w:val="18"/>
                <w:szCs w:val="18"/>
              </w:rPr>
            </w:pPr>
          </w:p>
        </w:tc>
        <w:tc>
          <w:tcPr>
            <w:tcW w:w="928" w:type="dxa"/>
            <w:gridSpan w:val="4"/>
            <w:tcBorders>
              <w:top w:val="single" w:sz="4" w:space="0" w:color="auto"/>
              <w:left w:val="nil"/>
              <w:right w:val="nil"/>
            </w:tcBorders>
            <w:shd w:val="clear" w:color="auto" w:fill="auto"/>
            <w:noWrap/>
            <w:vAlign w:val="center"/>
          </w:tcPr>
          <w:p w14:paraId="0E0DC7D7" w14:textId="77777777" w:rsidR="000F6636" w:rsidRPr="008E295D" w:rsidRDefault="000F6636" w:rsidP="00484DB0">
            <w:pPr>
              <w:rPr>
                <w:b/>
                <w:bCs/>
                <w:color w:val="000000"/>
                <w:sz w:val="18"/>
                <w:szCs w:val="18"/>
              </w:rPr>
            </w:pPr>
          </w:p>
        </w:tc>
        <w:tc>
          <w:tcPr>
            <w:tcW w:w="928" w:type="dxa"/>
            <w:gridSpan w:val="4"/>
            <w:tcBorders>
              <w:top w:val="single" w:sz="4" w:space="0" w:color="auto"/>
              <w:left w:val="nil"/>
              <w:right w:val="nil"/>
            </w:tcBorders>
            <w:shd w:val="clear" w:color="auto" w:fill="auto"/>
            <w:noWrap/>
            <w:vAlign w:val="center"/>
          </w:tcPr>
          <w:p w14:paraId="41B83622" w14:textId="77777777" w:rsidR="000F6636" w:rsidRPr="008E295D" w:rsidRDefault="000F6636" w:rsidP="00484DB0">
            <w:pPr>
              <w:rPr>
                <w:b/>
                <w:bCs/>
                <w:color w:val="000000"/>
                <w:sz w:val="18"/>
                <w:szCs w:val="18"/>
              </w:rPr>
            </w:pPr>
          </w:p>
        </w:tc>
        <w:tc>
          <w:tcPr>
            <w:tcW w:w="931" w:type="dxa"/>
            <w:gridSpan w:val="2"/>
            <w:tcBorders>
              <w:top w:val="single" w:sz="4" w:space="0" w:color="auto"/>
              <w:left w:val="nil"/>
              <w:right w:val="nil"/>
            </w:tcBorders>
            <w:shd w:val="clear" w:color="auto" w:fill="auto"/>
            <w:noWrap/>
            <w:vAlign w:val="center"/>
          </w:tcPr>
          <w:p w14:paraId="53018493" w14:textId="77777777" w:rsidR="000F6636" w:rsidRPr="00C32637" w:rsidRDefault="000F6636" w:rsidP="00484DB0">
            <w:pPr>
              <w:rPr>
                <w:i/>
                <w:sz w:val="16"/>
                <w:szCs w:val="16"/>
              </w:rPr>
            </w:pPr>
            <w:r w:rsidRPr="008E295D">
              <w:rPr>
                <w:i/>
                <w:sz w:val="16"/>
                <w:szCs w:val="16"/>
              </w:rPr>
              <w:t>Zdroj: MF SR</w:t>
            </w:r>
          </w:p>
          <w:p w14:paraId="7C47ED84" w14:textId="77777777" w:rsidR="000F6636" w:rsidRPr="00C32637" w:rsidRDefault="000F6636" w:rsidP="00484DB0">
            <w:pPr>
              <w:rPr>
                <w:b/>
                <w:bCs/>
                <w:color w:val="000000"/>
                <w:sz w:val="18"/>
                <w:szCs w:val="18"/>
              </w:rPr>
            </w:pPr>
          </w:p>
        </w:tc>
      </w:tr>
    </w:tbl>
    <w:p w14:paraId="5309C547" w14:textId="77777777" w:rsidR="000F6636" w:rsidRPr="007C2DC9" w:rsidRDefault="000F6636" w:rsidP="000F6636">
      <w:pPr>
        <w:rPr>
          <w:iCs/>
          <w:highlight w:val="yellow"/>
        </w:rPr>
      </w:pPr>
      <w:r w:rsidRPr="007C2DC9">
        <w:rPr>
          <w:iCs/>
          <w:highlight w:val="yellow"/>
        </w:rPr>
        <w:br w:type="page"/>
      </w:r>
    </w:p>
    <w:p w14:paraId="38E21753" w14:textId="77777777" w:rsidR="000F6636" w:rsidRPr="00C32637" w:rsidRDefault="000F6636" w:rsidP="000F6636">
      <w:pPr>
        <w:rPr>
          <w:b/>
          <w:color w:val="2C9ADC"/>
          <w:sz w:val="24"/>
          <w:szCs w:val="24"/>
        </w:rPr>
      </w:pPr>
      <w:bookmarkStart w:id="190" w:name="_Toc53422708"/>
      <w:bookmarkStart w:id="191" w:name="_Toc85097451"/>
      <w:bookmarkStart w:id="192" w:name="_Toc85100727"/>
      <w:bookmarkStart w:id="193" w:name="_Toc85101836"/>
      <w:bookmarkStart w:id="194" w:name="_Toc85887868"/>
      <w:r w:rsidRPr="00C32637">
        <w:rPr>
          <w:b/>
          <w:color w:val="2C9ADC"/>
          <w:sz w:val="24"/>
          <w:szCs w:val="24"/>
        </w:rPr>
        <w:lastRenderedPageBreak/>
        <w:t>Príloha 2 – Hodnotenie prognóz výbormi pre makroekonomické a daňové prognózy</w:t>
      </w:r>
      <w:bookmarkEnd w:id="190"/>
      <w:bookmarkEnd w:id="191"/>
      <w:bookmarkEnd w:id="192"/>
      <w:bookmarkEnd w:id="193"/>
      <w:bookmarkEnd w:id="194"/>
    </w:p>
    <w:p w14:paraId="54A59F85" w14:textId="77777777" w:rsidR="000F6636" w:rsidRPr="007C2DC9" w:rsidRDefault="000F6636" w:rsidP="000F6636">
      <w:pPr>
        <w:spacing w:before="240" w:after="120"/>
        <w:jc w:val="both"/>
        <w:rPr>
          <w:rFonts w:cs="Times New Roman"/>
          <w:highlight w:val="yellow"/>
        </w:rPr>
      </w:pPr>
      <w:r w:rsidRPr="008E295D">
        <w:rPr>
          <w:rFonts w:cs="Arial Narrow"/>
        </w:rPr>
        <w:t>Makroekonomická prognóza Ministerstva financií Slovenskej republiky (MF SR) z marca 2024 je vzhľadom na vplyv na rozpočtové príjmy na rok 2024 približne na rovnakej úrovni ako medián ostatných členov Výboru pre makroekonomické prognózy. Tento vplyv je vyjadrený ako vážený priemer jednotlivých relevantných základní pre rozpočtové príjmy, pričom ako váhy sú použité podiely jednotlivých daní na celkových rozpočtových príjmoch. MF SR očakáva vyššiu infláciu v roku 2025, čo vedie k vyššiemu rastu nominálnej priemernej mzdy a HDP. Na druhej strane je odhad MF SR nižší na roky 2026 a 2027, pokiaľ ide o reálne HDP, nominálnu aj reálnu spotrebu. Prognóza MF SR bola väčšinou prítomných členov Výboru (RRZ, NBS, SLSP, Tatrabanka, Infostat, SAV, ČSOB) zhodnotená ako realistická, Unicredit označila prognózu za optimistickú.</w:t>
      </w:r>
    </w:p>
    <w:tbl>
      <w:tblPr>
        <w:tblW w:w="9073" w:type="dxa"/>
        <w:jc w:val="center"/>
        <w:tblCellMar>
          <w:left w:w="70" w:type="dxa"/>
          <w:right w:w="70" w:type="dxa"/>
        </w:tblCellMar>
        <w:tblLook w:val="04A0" w:firstRow="1" w:lastRow="0" w:firstColumn="1" w:lastColumn="0" w:noHBand="0" w:noVBand="1"/>
      </w:tblPr>
      <w:tblGrid>
        <w:gridCol w:w="5420"/>
        <w:gridCol w:w="3653"/>
      </w:tblGrid>
      <w:tr w:rsidR="000F6636" w:rsidRPr="008E295D" w14:paraId="34206C49" w14:textId="77777777" w:rsidTr="00484DB0">
        <w:trPr>
          <w:trHeight w:val="264"/>
          <w:jc w:val="center"/>
        </w:trPr>
        <w:tc>
          <w:tcPr>
            <w:tcW w:w="9073" w:type="dxa"/>
            <w:gridSpan w:val="2"/>
            <w:tcBorders>
              <w:top w:val="nil"/>
              <w:left w:val="nil"/>
              <w:bottom w:val="single" w:sz="8" w:space="0" w:color="auto"/>
              <w:right w:val="nil"/>
            </w:tcBorders>
            <w:shd w:val="clear" w:color="auto" w:fill="auto"/>
            <w:vAlign w:val="center"/>
            <w:hideMark/>
          </w:tcPr>
          <w:p w14:paraId="70E59F62" w14:textId="4ABDCAE6" w:rsidR="000F6636" w:rsidRPr="008E295D" w:rsidRDefault="000F6636" w:rsidP="00484DB0">
            <w:pPr>
              <w:pStyle w:val="Tabuka"/>
            </w:pPr>
            <w:bookmarkStart w:id="195" w:name="_Toc53414067"/>
            <w:bookmarkStart w:id="196" w:name="_Toc53500233"/>
            <w:bookmarkStart w:id="197" w:name="_Toc85887944"/>
            <w:bookmarkStart w:id="198" w:name="_Toc117765233"/>
            <w:bookmarkStart w:id="199" w:name="_Toc153185518"/>
            <w:bookmarkStart w:id="200" w:name="_Toc164684558"/>
            <w:r w:rsidRPr="008B7735">
              <w:rPr>
                <w:rFonts w:eastAsiaTheme="minorHAnsi" w:cstheme="minorBidi"/>
              </w:rPr>
              <w:t xml:space="preserve">TABUĽKA </w:t>
            </w:r>
            <w:fldSimple w:instr=" SEQ TABUĽKA \* ARABIC ">
              <w:r w:rsidR="007435E9">
                <w:rPr>
                  <w:noProof/>
                </w:rPr>
                <w:t>9</w:t>
              </w:r>
            </w:fldSimple>
            <w:r w:rsidRPr="008B7735">
              <w:t xml:space="preserve"> – Hodnotenie decembrovej prognózy MF SR vo Výbore pre makroekonomické prognózy</w:t>
            </w:r>
            <w:bookmarkEnd w:id="195"/>
            <w:bookmarkEnd w:id="196"/>
            <w:bookmarkEnd w:id="197"/>
            <w:bookmarkEnd w:id="198"/>
            <w:bookmarkEnd w:id="199"/>
            <w:bookmarkEnd w:id="200"/>
          </w:p>
        </w:tc>
      </w:tr>
      <w:tr w:rsidR="000F6636" w:rsidRPr="008E295D" w14:paraId="5D5B27FB" w14:textId="77777777" w:rsidTr="00484DB0">
        <w:trPr>
          <w:trHeight w:val="264"/>
          <w:jc w:val="center"/>
        </w:trPr>
        <w:tc>
          <w:tcPr>
            <w:tcW w:w="5420" w:type="dxa"/>
            <w:tcBorders>
              <w:top w:val="nil"/>
              <w:left w:val="nil"/>
              <w:bottom w:val="single" w:sz="8" w:space="0" w:color="auto"/>
              <w:right w:val="nil"/>
            </w:tcBorders>
            <w:shd w:val="clear" w:color="auto" w:fill="auto"/>
            <w:vAlign w:val="center"/>
            <w:hideMark/>
          </w:tcPr>
          <w:p w14:paraId="5AE705C2" w14:textId="77777777" w:rsidR="000F6636" w:rsidRPr="008E295D" w:rsidRDefault="000F6636" w:rsidP="00484DB0">
            <w:pPr>
              <w:jc w:val="both"/>
              <w:rPr>
                <w:rFonts w:cs="Times New Roman"/>
                <w:b/>
                <w:bCs/>
                <w:color w:val="000000"/>
                <w:sz w:val="18"/>
                <w:szCs w:val="18"/>
              </w:rPr>
            </w:pPr>
            <w:r w:rsidRPr="008E295D">
              <w:rPr>
                <w:rFonts w:cs="Times New Roman"/>
                <w:b/>
                <w:bCs/>
                <w:color w:val="000000"/>
                <w:sz w:val="18"/>
                <w:szCs w:val="18"/>
              </w:rPr>
              <w:t>Člen výboru</w:t>
            </w:r>
          </w:p>
        </w:tc>
        <w:tc>
          <w:tcPr>
            <w:tcW w:w="3653" w:type="dxa"/>
            <w:tcBorders>
              <w:top w:val="nil"/>
              <w:left w:val="nil"/>
              <w:bottom w:val="single" w:sz="8" w:space="0" w:color="auto"/>
              <w:right w:val="nil"/>
            </w:tcBorders>
            <w:shd w:val="clear" w:color="auto" w:fill="auto"/>
            <w:vAlign w:val="center"/>
            <w:hideMark/>
          </w:tcPr>
          <w:p w14:paraId="6BD4CA20" w14:textId="77777777" w:rsidR="000F6636" w:rsidRPr="008E295D" w:rsidRDefault="000F6636" w:rsidP="00484DB0">
            <w:pPr>
              <w:jc w:val="center"/>
              <w:rPr>
                <w:rFonts w:cs="Times New Roman"/>
                <w:b/>
                <w:bCs/>
                <w:color w:val="000000"/>
                <w:sz w:val="18"/>
                <w:szCs w:val="18"/>
              </w:rPr>
            </w:pPr>
            <w:r w:rsidRPr="008E295D">
              <w:rPr>
                <w:rFonts w:cs="Times New Roman"/>
                <w:b/>
                <w:bCs/>
                <w:color w:val="000000"/>
                <w:sz w:val="18"/>
                <w:szCs w:val="18"/>
              </w:rPr>
              <w:t xml:space="preserve">Charakteristika prognózy </w:t>
            </w:r>
          </w:p>
        </w:tc>
      </w:tr>
      <w:tr w:rsidR="000F6636" w:rsidRPr="008E295D" w14:paraId="0784BAD2" w14:textId="77777777" w:rsidTr="00484DB0">
        <w:trPr>
          <w:trHeight w:val="264"/>
          <w:jc w:val="center"/>
        </w:trPr>
        <w:tc>
          <w:tcPr>
            <w:tcW w:w="5420" w:type="dxa"/>
            <w:tcBorders>
              <w:top w:val="nil"/>
              <w:left w:val="nil"/>
              <w:bottom w:val="nil"/>
              <w:right w:val="nil"/>
            </w:tcBorders>
            <w:shd w:val="clear" w:color="auto" w:fill="auto"/>
            <w:vAlign w:val="center"/>
            <w:hideMark/>
          </w:tcPr>
          <w:p w14:paraId="0D19B9DA" w14:textId="77777777" w:rsidR="000F6636" w:rsidRPr="008E295D" w:rsidRDefault="000F6636" w:rsidP="00484DB0">
            <w:pPr>
              <w:jc w:val="both"/>
              <w:rPr>
                <w:rFonts w:cs="Times New Roman"/>
                <w:color w:val="000000"/>
                <w:sz w:val="18"/>
                <w:szCs w:val="18"/>
              </w:rPr>
            </w:pPr>
            <w:r w:rsidRPr="008E295D">
              <w:rPr>
                <w:color w:val="000000"/>
                <w:sz w:val="18"/>
                <w:szCs w:val="18"/>
              </w:rPr>
              <w:t>RRZ, NBS, SLSP, Tatrabanka, Infostat, SAV, Unicredit, ČSOB</w:t>
            </w:r>
          </w:p>
        </w:tc>
        <w:tc>
          <w:tcPr>
            <w:tcW w:w="3653" w:type="dxa"/>
            <w:tcBorders>
              <w:top w:val="nil"/>
              <w:left w:val="nil"/>
              <w:bottom w:val="nil"/>
              <w:right w:val="nil"/>
            </w:tcBorders>
            <w:shd w:val="clear" w:color="auto" w:fill="auto"/>
            <w:vAlign w:val="center"/>
            <w:hideMark/>
          </w:tcPr>
          <w:p w14:paraId="2EFBA8BA" w14:textId="77777777" w:rsidR="000F6636" w:rsidRPr="008E295D" w:rsidRDefault="000F6636" w:rsidP="00484DB0">
            <w:pPr>
              <w:jc w:val="center"/>
              <w:rPr>
                <w:rFonts w:cs="Times New Roman"/>
                <w:color w:val="000000"/>
                <w:sz w:val="18"/>
                <w:szCs w:val="18"/>
              </w:rPr>
            </w:pPr>
            <w:r w:rsidRPr="008E295D">
              <w:rPr>
                <w:color w:val="000000"/>
                <w:sz w:val="18"/>
                <w:szCs w:val="18"/>
              </w:rPr>
              <w:t>Realistická</w:t>
            </w:r>
          </w:p>
        </w:tc>
      </w:tr>
      <w:tr w:rsidR="000F6636" w:rsidRPr="007C2DC9" w14:paraId="662E78CE" w14:textId="77777777" w:rsidTr="00484DB0">
        <w:trPr>
          <w:trHeight w:val="264"/>
          <w:jc w:val="center"/>
        </w:trPr>
        <w:tc>
          <w:tcPr>
            <w:tcW w:w="5420" w:type="dxa"/>
            <w:tcBorders>
              <w:top w:val="nil"/>
              <w:left w:val="nil"/>
              <w:bottom w:val="nil"/>
              <w:right w:val="nil"/>
            </w:tcBorders>
            <w:shd w:val="clear" w:color="auto" w:fill="auto"/>
            <w:vAlign w:val="center"/>
          </w:tcPr>
          <w:p w14:paraId="09FFB633" w14:textId="77777777" w:rsidR="000F6636" w:rsidRPr="008E295D" w:rsidRDefault="000F6636" w:rsidP="00484DB0">
            <w:pPr>
              <w:jc w:val="both"/>
              <w:rPr>
                <w:color w:val="000000"/>
                <w:sz w:val="18"/>
                <w:szCs w:val="18"/>
              </w:rPr>
            </w:pPr>
            <w:r w:rsidRPr="008E295D">
              <w:rPr>
                <w:color w:val="000000"/>
                <w:sz w:val="18"/>
                <w:szCs w:val="18"/>
              </w:rPr>
              <w:t>Unicredit</w:t>
            </w:r>
          </w:p>
        </w:tc>
        <w:tc>
          <w:tcPr>
            <w:tcW w:w="3653" w:type="dxa"/>
            <w:tcBorders>
              <w:top w:val="nil"/>
              <w:left w:val="nil"/>
              <w:bottom w:val="nil"/>
              <w:right w:val="nil"/>
            </w:tcBorders>
            <w:shd w:val="clear" w:color="auto" w:fill="auto"/>
            <w:vAlign w:val="center"/>
          </w:tcPr>
          <w:p w14:paraId="31FD86F0" w14:textId="77777777" w:rsidR="000F6636" w:rsidRPr="008E295D" w:rsidRDefault="000F6636" w:rsidP="00484DB0">
            <w:pPr>
              <w:jc w:val="center"/>
              <w:rPr>
                <w:color w:val="000000"/>
                <w:sz w:val="18"/>
                <w:szCs w:val="18"/>
              </w:rPr>
            </w:pPr>
            <w:r w:rsidRPr="008E295D">
              <w:rPr>
                <w:color w:val="000000"/>
                <w:sz w:val="18"/>
                <w:szCs w:val="18"/>
              </w:rPr>
              <w:t>Optimistická</w:t>
            </w:r>
          </w:p>
        </w:tc>
      </w:tr>
    </w:tbl>
    <w:p w14:paraId="1FDD6BF3" w14:textId="77777777" w:rsidR="000F6636" w:rsidRPr="008E295D" w:rsidRDefault="000F6636" w:rsidP="000F6636">
      <w:pPr>
        <w:spacing w:after="120"/>
        <w:jc w:val="right"/>
        <w:rPr>
          <w:rFonts w:cs="Arial Narrow"/>
        </w:rPr>
      </w:pPr>
      <w:r w:rsidRPr="008E295D">
        <w:rPr>
          <w:rFonts w:cs="Arial Narrow"/>
          <w:i/>
          <w:iCs/>
          <w:sz w:val="16"/>
          <w:szCs w:val="16"/>
        </w:rPr>
        <w:t>Zdroj: Výbor pre makroekonomické prognózy</w:t>
      </w:r>
    </w:p>
    <w:tbl>
      <w:tblPr>
        <w:tblW w:w="9150" w:type="dxa"/>
        <w:jc w:val="center"/>
        <w:tblLayout w:type="fixed"/>
        <w:tblCellMar>
          <w:left w:w="70" w:type="dxa"/>
          <w:right w:w="70" w:type="dxa"/>
        </w:tblCellMar>
        <w:tblLook w:val="04A0" w:firstRow="1" w:lastRow="0" w:firstColumn="1" w:lastColumn="0" w:noHBand="0" w:noVBand="1"/>
      </w:tblPr>
      <w:tblGrid>
        <w:gridCol w:w="3428"/>
        <w:gridCol w:w="474"/>
        <w:gridCol w:w="552"/>
        <w:gridCol w:w="705"/>
        <w:gridCol w:w="552"/>
        <w:gridCol w:w="846"/>
        <w:gridCol w:w="698"/>
        <w:gridCol w:w="699"/>
        <w:gridCol w:w="559"/>
        <w:gridCol w:w="559"/>
        <w:gridCol w:w="18"/>
        <w:gridCol w:w="60"/>
      </w:tblGrid>
      <w:tr w:rsidR="000F6636" w:rsidRPr="008E295D" w14:paraId="1D5A2DE9" w14:textId="77777777" w:rsidTr="00484DB0">
        <w:trPr>
          <w:gridAfter w:val="2"/>
          <w:wAfter w:w="78" w:type="dxa"/>
          <w:trHeight w:val="288"/>
          <w:jc w:val="center"/>
        </w:trPr>
        <w:tc>
          <w:tcPr>
            <w:tcW w:w="9072" w:type="dxa"/>
            <w:gridSpan w:val="10"/>
            <w:tcBorders>
              <w:top w:val="nil"/>
              <w:left w:val="nil"/>
              <w:bottom w:val="single" w:sz="8" w:space="0" w:color="auto"/>
              <w:right w:val="nil"/>
            </w:tcBorders>
            <w:shd w:val="clear" w:color="auto" w:fill="auto"/>
            <w:vAlign w:val="center"/>
            <w:hideMark/>
          </w:tcPr>
          <w:p w14:paraId="0C831F73" w14:textId="3AAA841C" w:rsidR="000F6636" w:rsidRPr="008E295D" w:rsidRDefault="000F6636" w:rsidP="00484DB0">
            <w:pPr>
              <w:pStyle w:val="Tabuka"/>
            </w:pPr>
            <w:bookmarkStart w:id="201" w:name="_Toc53414068"/>
            <w:bookmarkStart w:id="202" w:name="_Toc53500234"/>
            <w:bookmarkStart w:id="203" w:name="_Toc85887945"/>
            <w:bookmarkStart w:id="204" w:name="_Toc117765234"/>
            <w:bookmarkStart w:id="205" w:name="_Toc153185519"/>
            <w:bookmarkStart w:id="206" w:name="_Toc164684559"/>
            <w:r w:rsidRPr="008E295D">
              <w:rPr>
                <w:rFonts w:eastAsiaTheme="minorHAnsi" w:cstheme="minorBidi"/>
              </w:rPr>
              <w:t xml:space="preserve">TABUĽKA </w:t>
            </w:r>
            <w:fldSimple w:instr=" SEQ TABUĽKA \* ARABIC ">
              <w:r w:rsidR="007435E9">
                <w:rPr>
                  <w:noProof/>
                </w:rPr>
                <w:t>10</w:t>
              </w:r>
            </w:fldSimple>
            <w:r w:rsidRPr="008E295D">
              <w:rPr>
                <w:rFonts w:eastAsiaTheme="minorHAnsi" w:cstheme="minorBidi"/>
              </w:rPr>
              <w:t xml:space="preserve"> </w:t>
            </w:r>
            <w:r w:rsidRPr="008E295D">
              <w:t>– Priemerná prognóza členov Výboru* (okrem MF SR) a prognóza MF SR</w:t>
            </w:r>
            <w:bookmarkEnd w:id="201"/>
            <w:bookmarkEnd w:id="202"/>
            <w:bookmarkEnd w:id="203"/>
            <w:bookmarkEnd w:id="204"/>
            <w:bookmarkEnd w:id="205"/>
            <w:bookmarkEnd w:id="206"/>
          </w:p>
        </w:tc>
      </w:tr>
      <w:tr w:rsidR="000F6636" w:rsidRPr="008E295D" w14:paraId="1FCB2E33" w14:textId="77777777" w:rsidTr="00484DB0">
        <w:trPr>
          <w:gridAfter w:val="2"/>
          <w:wAfter w:w="78" w:type="dxa"/>
          <w:trHeight w:val="288"/>
          <w:jc w:val="center"/>
        </w:trPr>
        <w:tc>
          <w:tcPr>
            <w:tcW w:w="3428" w:type="dxa"/>
            <w:tcBorders>
              <w:top w:val="nil"/>
              <w:left w:val="nil"/>
              <w:bottom w:val="single" w:sz="8" w:space="0" w:color="auto"/>
              <w:right w:val="single" w:sz="8" w:space="0" w:color="auto"/>
            </w:tcBorders>
            <w:shd w:val="clear" w:color="auto" w:fill="auto"/>
            <w:noWrap/>
            <w:vAlign w:val="center"/>
            <w:hideMark/>
          </w:tcPr>
          <w:p w14:paraId="27A000CA" w14:textId="77777777" w:rsidR="000F6636" w:rsidRPr="008E295D" w:rsidRDefault="000F6636" w:rsidP="00484DB0">
            <w:pPr>
              <w:rPr>
                <w:rFonts w:cs="Times New Roman"/>
                <w:b/>
                <w:bCs/>
                <w:color w:val="000000"/>
                <w:sz w:val="18"/>
                <w:szCs w:val="18"/>
              </w:rPr>
            </w:pPr>
            <w:r w:rsidRPr="008E295D">
              <w:rPr>
                <w:rFonts w:cs="Times New Roman"/>
                <w:b/>
                <w:bCs/>
                <w:color w:val="000000"/>
                <w:sz w:val="18"/>
                <w:szCs w:val="18"/>
              </w:rPr>
              <w:t> </w:t>
            </w:r>
          </w:p>
        </w:tc>
        <w:tc>
          <w:tcPr>
            <w:tcW w:w="474" w:type="dxa"/>
            <w:tcBorders>
              <w:top w:val="nil"/>
              <w:left w:val="nil"/>
              <w:bottom w:val="single" w:sz="8" w:space="0" w:color="auto"/>
              <w:right w:val="single" w:sz="8" w:space="0" w:color="auto"/>
            </w:tcBorders>
            <w:shd w:val="clear" w:color="auto" w:fill="auto"/>
            <w:noWrap/>
            <w:vAlign w:val="center"/>
            <w:hideMark/>
          </w:tcPr>
          <w:p w14:paraId="404B0140" w14:textId="77777777" w:rsidR="000F6636" w:rsidRPr="008E295D" w:rsidRDefault="000F6636" w:rsidP="00484DB0">
            <w:pPr>
              <w:contextualSpacing/>
              <w:jc w:val="center"/>
              <w:rPr>
                <w:rFonts w:cs="Calibri"/>
                <w:b/>
                <w:bCs/>
                <w:color w:val="000000"/>
                <w:sz w:val="18"/>
                <w:szCs w:val="18"/>
              </w:rPr>
            </w:pPr>
            <w:r w:rsidRPr="00EB78B6">
              <w:rPr>
                <w:rFonts w:cs="Calibri"/>
                <w:b/>
                <w:bCs/>
                <w:color w:val="000000"/>
                <w:sz w:val="18"/>
                <w:szCs w:val="18"/>
              </w:rPr>
              <w:t>202</w:t>
            </w:r>
            <w:r>
              <w:rPr>
                <w:rFonts w:cs="Calibri"/>
                <w:b/>
                <w:bCs/>
                <w:color w:val="000000"/>
                <w:sz w:val="18"/>
                <w:szCs w:val="18"/>
              </w:rPr>
              <w:t>3</w:t>
            </w:r>
          </w:p>
        </w:tc>
        <w:tc>
          <w:tcPr>
            <w:tcW w:w="1257" w:type="dxa"/>
            <w:gridSpan w:val="2"/>
            <w:tcBorders>
              <w:top w:val="single" w:sz="8" w:space="0" w:color="auto"/>
              <w:left w:val="nil"/>
              <w:bottom w:val="single" w:sz="8" w:space="0" w:color="auto"/>
              <w:right w:val="single" w:sz="4" w:space="0" w:color="auto"/>
            </w:tcBorders>
            <w:shd w:val="clear" w:color="auto" w:fill="auto"/>
            <w:noWrap/>
            <w:vAlign w:val="center"/>
            <w:hideMark/>
          </w:tcPr>
          <w:p w14:paraId="187BD31D" w14:textId="77777777" w:rsidR="000F6636" w:rsidRPr="008E295D" w:rsidRDefault="000F6636" w:rsidP="00484DB0">
            <w:pPr>
              <w:contextualSpacing/>
              <w:jc w:val="center"/>
              <w:rPr>
                <w:rFonts w:cs="Calibri"/>
                <w:b/>
                <w:bCs/>
                <w:color w:val="000000"/>
                <w:sz w:val="18"/>
                <w:szCs w:val="18"/>
              </w:rPr>
            </w:pPr>
            <w:r w:rsidRPr="00EB78B6">
              <w:rPr>
                <w:rFonts w:cs="Calibri"/>
                <w:b/>
                <w:bCs/>
                <w:color w:val="000000"/>
                <w:sz w:val="18"/>
                <w:szCs w:val="18"/>
              </w:rPr>
              <w:t>20</w:t>
            </w:r>
            <w:r>
              <w:rPr>
                <w:rFonts w:cs="Calibri"/>
                <w:b/>
                <w:bCs/>
                <w:color w:val="000000"/>
                <w:sz w:val="18"/>
                <w:szCs w:val="18"/>
              </w:rPr>
              <w:t>24</w:t>
            </w:r>
          </w:p>
        </w:tc>
        <w:tc>
          <w:tcPr>
            <w:tcW w:w="1398" w:type="dxa"/>
            <w:gridSpan w:val="2"/>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15EB15C" w14:textId="77777777" w:rsidR="000F6636" w:rsidRPr="008E295D" w:rsidRDefault="000F6636" w:rsidP="00484DB0">
            <w:pPr>
              <w:contextualSpacing/>
              <w:jc w:val="center"/>
              <w:rPr>
                <w:rFonts w:cs="Calibri"/>
                <w:b/>
                <w:bCs/>
                <w:color w:val="000000"/>
                <w:sz w:val="18"/>
                <w:szCs w:val="18"/>
              </w:rPr>
            </w:pPr>
            <w:r w:rsidRPr="00EB78B6">
              <w:rPr>
                <w:rFonts w:cs="Calibri"/>
                <w:b/>
                <w:bCs/>
                <w:color w:val="000000"/>
                <w:sz w:val="18"/>
                <w:szCs w:val="18"/>
              </w:rPr>
              <w:t>202</w:t>
            </w:r>
            <w:r>
              <w:rPr>
                <w:rFonts w:cs="Calibri"/>
                <w:b/>
                <w:bCs/>
                <w:color w:val="000000"/>
                <w:sz w:val="18"/>
                <w:szCs w:val="18"/>
              </w:rPr>
              <w:t>5</w:t>
            </w:r>
          </w:p>
        </w:tc>
        <w:tc>
          <w:tcPr>
            <w:tcW w:w="1397"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14:paraId="08C70E9C" w14:textId="77777777" w:rsidR="000F6636" w:rsidRPr="008E295D" w:rsidRDefault="000F6636" w:rsidP="00484DB0">
            <w:pPr>
              <w:contextualSpacing/>
              <w:jc w:val="center"/>
              <w:rPr>
                <w:rFonts w:cs="Calibri"/>
                <w:b/>
                <w:bCs/>
                <w:color w:val="000000"/>
                <w:sz w:val="18"/>
                <w:szCs w:val="18"/>
              </w:rPr>
            </w:pPr>
            <w:r w:rsidRPr="00EB78B6">
              <w:rPr>
                <w:rFonts w:cs="Calibri"/>
                <w:b/>
                <w:bCs/>
                <w:color w:val="000000"/>
                <w:sz w:val="18"/>
                <w:szCs w:val="18"/>
              </w:rPr>
              <w:t>20</w:t>
            </w:r>
            <w:r>
              <w:rPr>
                <w:rFonts w:cs="Calibri"/>
                <w:b/>
                <w:bCs/>
                <w:color w:val="000000"/>
                <w:sz w:val="18"/>
                <w:szCs w:val="18"/>
              </w:rPr>
              <w:t>26</w:t>
            </w:r>
          </w:p>
        </w:tc>
        <w:tc>
          <w:tcPr>
            <w:tcW w:w="1118" w:type="dxa"/>
            <w:gridSpan w:val="2"/>
            <w:tcBorders>
              <w:top w:val="single" w:sz="8" w:space="0" w:color="auto"/>
              <w:left w:val="single" w:sz="4" w:space="0" w:color="auto"/>
              <w:bottom w:val="single" w:sz="8" w:space="0" w:color="auto"/>
              <w:right w:val="nil"/>
            </w:tcBorders>
            <w:shd w:val="clear" w:color="auto" w:fill="auto"/>
            <w:vAlign w:val="center"/>
            <w:hideMark/>
          </w:tcPr>
          <w:p w14:paraId="578837A2" w14:textId="77777777" w:rsidR="000F6636" w:rsidRPr="008E295D" w:rsidRDefault="000F6636" w:rsidP="00484DB0">
            <w:pPr>
              <w:contextualSpacing/>
              <w:jc w:val="center"/>
              <w:rPr>
                <w:rFonts w:cs="Calibri"/>
                <w:b/>
                <w:bCs/>
                <w:color w:val="000000"/>
                <w:sz w:val="18"/>
                <w:szCs w:val="18"/>
              </w:rPr>
            </w:pPr>
            <w:r w:rsidRPr="00EB78B6">
              <w:rPr>
                <w:rFonts w:cs="Calibri"/>
                <w:b/>
                <w:bCs/>
                <w:color w:val="000000"/>
                <w:sz w:val="18"/>
                <w:szCs w:val="18"/>
              </w:rPr>
              <w:t>20</w:t>
            </w:r>
            <w:r>
              <w:rPr>
                <w:rFonts w:cs="Calibri"/>
                <w:b/>
                <w:bCs/>
                <w:color w:val="000000"/>
                <w:sz w:val="18"/>
                <w:szCs w:val="18"/>
              </w:rPr>
              <w:t>27</w:t>
            </w:r>
          </w:p>
        </w:tc>
      </w:tr>
      <w:tr w:rsidR="000F6636" w:rsidRPr="008E295D" w14:paraId="5377ECCF" w14:textId="77777777" w:rsidTr="00484DB0">
        <w:trPr>
          <w:gridAfter w:val="2"/>
          <w:wAfter w:w="78" w:type="dxa"/>
          <w:trHeight w:val="288"/>
          <w:jc w:val="center"/>
        </w:trPr>
        <w:tc>
          <w:tcPr>
            <w:tcW w:w="3428" w:type="dxa"/>
            <w:tcBorders>
              <w:top w:val="nil"/>
              <w:left w:val="nil"/>
              <w:bottom w:val="single" w:sz="8" w:space="0" w:color="auto"/>
              <w:right w:val="single" w:sz="8" w:space="0" w:color="auto"/>
            </w:tcBorders>
            <w:shd w:val="clear" w:color="auto" w:fill="auto"/>
            <w:noWrap/>
            <w:vAlign w:val="center"/>
            <w:hideMark/>
          </w:tcPr>
          <w:p w14:paraId="50B82707" w14:textId="77777777" w:rsidR="000F6636" w:rsidRPr="008E295D" w:rsidRDefault="000F6636" w:rsidP="00484DB0">
            <w:pPr>
              <w:rPr>
                <w:rFonts w:cs="Times New Roman"/>
                <w:i/>
                <w:iCs/>
                <w:color w:val="000000"/>
                <w:sz w:val="18"/>
                <w:szCs w:val="18"/>
              </w:rPr>
            </w:pPr>
            <w:r w:rsidRPr="008E295D">
              <w:rPr>
                <w:rFonts w:cs="Times New Roman"/>
                <w:i/>
                <w:iCs/>
                <w:color w:val="000000"/>
                <w:sz w:val="18"/>
                <w:szCs w:val="18"/>
              </w:rPr>
              <w:t> v %, ak nie je uvedené inak</w:t>
            </w:r>
          </w:p>
        </w:tc>
        <w:tc>
          <w:tcPr>
            <w:tcW w:w="474" w:type="dxa"/>
            <w:tcBorders>
              <w:top w:val="nil"/>
              <w:left w:val="nil"/>
              <w:bottom w:val="single" w:sz="8" w:space="0" w:color="auto"/>
              <w:right w:val="single" w:sz="8" w:space="0" w:color="auto"/>
            </w:tcBorders>
            <w:shd w:val="clear" w:color="auto" w:fill="auto"/>
            <w:noWrap/>
            <w:vAlign w:val="center"/>
            <w:hideMark/>
          </w:tcPr>
          <w:p w14:paraId="43BE22D7" w14:textId="77777777" w:rsidR="000F6636" w:rsidRPr="008E295D" w:rsidRDefault="000F6636" w:rsidP="00484DB0">
            <w:pPr>
              <w:jc w:val="center"/>
              <w:rPr>
                <w:rFonts w:cs="Times New Roman"/>
                <w:b/>
                <w:bCs/>
                <w:color w:val="000000"/>
                <w:sz w:val="18"/>
                <w:szCs w:val="18"/>
              </w:rPr>
            </w:pPr>
            <w:r w:rsidRPr="00EB78B6">
              <w:rPr>
                <w:rFonts w:cs="Times New Roman"/>
                <w:b/>
                <w:bCs/>
                <w:color w:val="000000"/>
                <w:sz w:val="18"/>
                <w:szCs w:val="18"/>
              </w:rPr>
              <w:t> </w:t>
            </w:r>
          </w:p>
        </w:tc>
        <w:tc>
          <w:tcPr>
            <w:tcW w:w="552" w:type="dxa"/>
            <w:tcBorders>
              <w:top w:val="nil"/>
              <w:left w:val="nil"/>
              <w:bottom w:val="single" w:sz="8" w:space="0" w:color="auto"/>
              <w:right w:val="nil"/>
            </w:tcBorders>
            <w:shd w:val="clear" w:color="auto" w:fill="auto"/>
            <w:noWrap/>
            <w:vAlign w:val="center"/>
            <w:hideMark/>
          </w:tcPr>
          <w:p w14:paraId="704B7023"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Výbor</w:t>
            </w:r>
          </w:p>
        </w:tc>
        <w:tc>
          <w:tcPr>
            <w:tcW w:w="705" w:type="dxa"/>
            <w:tcBorders>
              <w:top w:val="nil"/>
              <w:left w:val="nil"/>
              <w:bottom w:val="single" w:sz="8" w:space="0" w:color="auto"/>
              <w:right w:val="single" w:sz="4" w:space="0" w:color="auto"/>
            </w:tcBorders>
            <w:shd w:val="clear" w:color="auto" w:fill="auto"/>
            <w:noWrap/>
            <w:vAlign w:val="center"/>
            <w:hideMark/>
          </w:tcPr>
          <w:p w14:paraId="1919ED59"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MF SR</w:t>
            </w:r>
          </w:p>
        </w:tc>
        <w:tc>
          <w:tcPr>
            <w:tcW w:w="552" w:type="dxa"/>
            <w:tcBorders>
              <w:top w:val="nil"/>
              <w:left w:val="single" w:sz="4" w:space="0" w:color="auto"/>
              <w:bottom w:val="single" w:sz="8" w:space="0" w:color="auto"/>
              <w:right w:val="nil"/>
            </w:tcBorders>
            <w:shd w:val="clear" w:color="auto" w:fill="auto"/>
            <w:noWrap/>
            <w:vAlign w:val="center"/>
            <w:hideMark/>
          </w:tcPr>
          <w:p w14:paraId="12B321E9"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Výbor</w:t>
            </w:r>
          </w:p>
        </w:tc>
        <w:tc>
          <w:tcPr>
            <w:tcW w:w="846" w:type="dxa"/>
            <w:tcBorders>
              <w:top w:val="nil"/>
              <w:left w:val="nil"/>
              <w:bottom w:val="single" w:sz="8" w:space="0" w:color="auto"/>
              <w:right w:val="single" w:sz="4" w:space="0" w:color="auto"/>
            </w:tcBorders>
            <w:shd w:val="clear" w:color="auto" w:fill="auto"/>
            <w:noWrap/>
            <w:vAlign w:val="center"/>
            <w:hideMark/>
          </w:tcPr>
          <w:p w14:paraId="7D28B26B"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MF SR</w:t>
            </w:r>
          </w:p>
        </w:tc>
        <w:tc>
          <w:tcPr>
            <w:tcW w:w="698" w:type="dxa"/>
            <w:tcBorders>
              <w:top w:val="nil"/>
              <w:left w:val="single" w:sz="4" w:space="0" w:color="auto"/>
              <w:bottom w:val="single" w:sz="8" w:space="0" w:color="auto"/>
              <w:right w:val="nil"/>
            </w:tcBorders>
            <w:shd w:val="clear" w:color="auto" w:fill="auto"/>
            <w:vAlign w:val="center"/>
            <w:hideMark/>
          </w:tcPr>
          <w:p w14:paraId="1D51BDB7"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Výbor</w:t>
            </w:r>
          </w:p>
        </w:tc>
        <w:tc>
          <w:tcPr>
            <w:tcW w:w="699" w:type="dxa"/>
            <w:tcBorders>
              <w:top w:val="nil"/>
              <w:left w:val="nil"/>
              <w:bottom w:val="single" w:sz="8" w:space="0" w:color="auto"/>
              <w:right w:val="single" w:sz="4" w:space="0" w:color="auto"/>
            </w:tcBorders>
            <w:shd w:val="clear" w:color="auto" w:fill="auto"/>
            <w:vAlign w:val="center"/>
            <w:hideMark/>
          </w:tcPr>
          <w:p w14:paraId="63E7DF48"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MF SR</w:t>
            </w:r>
          </w:p>
        </w:tc>
        <w:tc>
          <w:tcPr>
            <w:tcW w:w="559" w:type="dxa"/>
            <w:tcBorders>
              <w:top w:val="nil"/>
              <w:left w:val="single" w:sz="4" w:space="0" w:color="auto"/>
              <w:bottom w:val="single" w:sz="8" w:space="0" w:color="auto"/>
              <w:right w:val="nil"/>
            </w:tcBorders>
            <w:shd w:val="clear" w:color="auto" w:fill="auto"/>
            <w:vAlign w:val="center"/>
            <w:hideMark/>
          </w:tcPr>
          <w:p w14:paraId="516DCA23"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MF SR</w:t>
            </w:r>
          </w:p>
        </w:tc>
        <w:tc>
          <w:tcPr>
            <w:tcW w:w="559" w:type="dxa"/>
            <w:tcBorders>
              <w:top w:val="nil"/>
              <w:left w:val="nil"/>
              <w:bottom w:val="single" w:sz="8" w:space="0" w:color="auto"/>
              <w:right w:val="nil"/>
            </w:tcBorders>
            <w:shd w:val="clear" w:color="auto" w:fill="auto"/>
            <w:vAlign w:val="center"/>
            <w:hideMark/>
          </w:tcPr>
          <w:p w14:paraId="7BF079A7" w14:textId="77777777" w:rsidR="000F6636" w:rsidRPr="008E295D" w:rsidRDefault="000F6636" w:rsidP="00484DB0">
            <w:pPr>
              <w:jc w:val="center"/>
              <w:rPr>
                <w:rFonts w:cs="Times New Roman"/>
                <w:b/>
                <w:bCs/>
                <w:color w:val="000000"/>
                <w:sz w:val="16"/>
                <w:szCs w:val="18"/>
              </w:rPr>
            </w:pPr>
            <w:r w:rsidRPr="00EB78B6">
              <w:rPr>
                <w:rFonts w:cs="Times New Roman"/>
                <w:b/>
                <w:bCs/>
                <w:color w:val="000000"/>
                <w:sz w:val="16"/>
                <w:szCs w:val="18"/>
              </w:rPr>
              <w:t>Výbor</w:t>
            </w:r>
          </w:p>
        </w:tc>
      </w:tr>
      <w:tr w:rsidR="000F6636" w:rsidRPr="008E295D" w14:paraId="574370D2" w14:textId="77777777" w:rsidTr="00484DB0">
        <w:trPr>
          <w:gridAfter w:val="2"/>
          <w:wAfter w:w="78" w:type="dxa"/>
          <w:trHeight w:val="276"/>
          <w:jc w:val="center"/>
        </w:trPr>
        <w:tc>
          <w:tcPr>
            <w:tcW w:w="3428" w:type="dxa"/>
            <w:tcBorders>
              <w:top w:val="single" w:sz="4" w:space="0" w:color="auto"/>
              <w:left w:val="nil"/>
              <w:bottom w:val="nil"/>
              <w:right w:val="single" w:sz="8" w:space="0" w:color="auto"/>
            </w:tcBorders>
            <w:shd w:val="clear" w:color="auto" w:fill="auto"/>
            <w:noWrap/>
            <w:vAlign w:val="center"/>
            <w:hideMark/>
          </w:tcPr>
          <w:p w14:paraId="3AC4A5D4" w14:textId="77777777" w:rsidR="000F6636" w:rsidRPr="008E295D" w:rsidRDefault="000F6636" w:rsidP="00484DB0">
            <w:pPr>
              <w:rPr>
                <w:rFonts w:cs="Times New Roman"/>
                <w:color w:val="000000"/>
                <w:sz w:val="18"/>
                <w:szCs w:val="18"/>
              </w:rPr>
            </w:pPr>
            <w:r w:rsidRPr="008E295D">
              <w:rPr>
                <w:rFonts w:cs="Times New Roman"/>
                <w:color w:val="000000"/>
                <w:sz w:val="18"/>
                <w:szCs w:val="18"/>
              </w:rPr>
              <w:t>Hrubý domáci produkt; reálny rast</w:t>
            </w:r>
          </w:p>
        </w:tc>
        <w:tc>
          <w:tcPr>
            <w:tcW w:w="474" w:type="dxa"/>
            <w:tcBorders>
              <w:top w:val="nil"/>
              <w:left w:val="nil"/>
              <w:bottom w:val="nil"/>
              <w:right w:val="single" w:sz="8" w:space="0" w:color="auto"/>
            </w:tcBorders>
            <w:shd w:val="clear" w:color="auto" w:fill="auto"/>
            <w:noWrap/>
            <w:vAlign w:val="center"/>
            <w:hideMark/>
          </w:tcPr>
          <w:p w14:paraId="251A8DA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1.6</w:t>
            </w:r>
          </w:p>
        </w:tc>
        <w:tc>
          <w:tcPr>
            <w:tcW w:w="552" w:type="dxa"/>
            <w:tcBorders>
              <w:top w:val="nil"/>
              <w:left w:val="nil"/>
              <w:bottom w:val="nil"/>
              <w:right w:val="nil"/>
            </w:tcBorders>
            <w:shd w:val="clear" w:color="auto" w:fill="auto"/>
            <w:noWrap/>
            <w:vAlign w:val="center"/>
            <w:hideMark/>
          </w:tcPr>
          <w:p w14:paraId="06BA39F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2.0</w:t>
            </w:r>
          </w:p>
        </w:tc>
        <w:tc>
          <w:tcPr>
            <w:tcW w:w="705" w:type="dxa"/>
            <w:tcBorders>
              <w:top w:val="nil"/>
              <w:left w:val="nil"/>
              <w:bottom w:val="nil"/>
              <w:right w:val="nil"/>
            </w:tcBorders>
            <w:shd w:val="clear" w:color="auto" w:fill="auto"/>
            <w:noWrap/>
            <w:vAlign w:val="center"/>
            <w:hideMark/>
          </w:tcPr>
          <w:p w14:paraId="314F2FF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2.0</w:t>
            </w:r>
          </w:p>
        </w:tc>
        <w:tc>
          <w:tcPr>
            <w:tcW w:w="552" w:type="dxa"/>
            <w:tcBorders>
              <w:top w:val="nil"/>
              <w:left w:val="nil"/>
              <w:bottom w:val="nil"/>
              <w:right w:val="nil"/>
            </w:tcBorders>
            <w:shd w:val="clear" w:color="auto" w:fill="auto"/>
            <w:noWrap/>
            <w:vAlign w:val="center"/>
            <w:hideMark/>
          </w:tcPr>
          <w:p w14:paraId="45F10CF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2.5</w:t>
            </w:r>
          </w:p>
        </w:tc>
        <w:tc>
          <w:tcPr>
            <w:tcW w:w="846" w:type="dxa"/>
            <w:tcBorders>
              <w:top w:val="nil"/>
              <w:left w:val="nil"/>
              <w:bottom w:val="nil"/>
              <w:right w:val="nil"/>
            </w:tcBorders>
            <w:shd w:val="clear" w:color="auto" w:fill="auto"/>
            <w:noWrap/>
            <w:vAlign w:val="center"/>
            <w:hideMark/>
          </w:tcPr>
          <w:p w14:paraId="4B8C77C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3.1</w:t>
            </w:r>
          </w:p>
        </w:tc>
        <w:tc>
          <w:tcPr>
            <w:tcW w:w="698" w:type="dxa"/>
            <w:tcBorders>
              <w:top w:val="nil"/>
              <w:left w:val="nil"/>
              <w:bottom w:val="nil"/>
              <w:right w:val="nil"/>
            </w:tcBorders>
            <w:shd w:val="clear" w:color="auto" w:fill="auto"/>
            <w:noWrap/>
            <w:vAlign w:val="center"/>
            <w:hideMark/>
          </w:tcPr>
          <w:p w14:paraId="66DC627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2.5</w:t>
            </w:r>
          </w:p>
        </w:tc>
        <w:tc>
          <w:tcPr>
            <w:tcW w:w="699" w:type="dxa"/>
            <w:tcBorders>
              <w:top w:val="nil"/>
              <w:left w:val="nil"/>
              <w:bottom w:val="nil"/>
              <w:right w:val="nil"/>
            </w:tcBorders>
            <w:shd w:val="clear" w:color="auto" w:fill="auto"/>
            <w:vAlign w:val="center"/>
            <w:hideMark/>
          </w:tcPr>
          <w:p w14:paraId="2FBA402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2.2</w:t>
            </w:r>
          </w:p>
        </w:tc>
        <w:tc>
          <w:tcPr>
            <w:tcW w:w="559" w:type="dxa"/>
            <w:tcBorders>
              <w:top w:val="nil"/>
              <w:left w:val="nil"/>
              <w:bottom w:val="nil"/>
              <w:right w:val="nil"/>
            </w:tcBorders>
            <w:shd w:val="clear" w:color="auto" w:fill="auto"/>
            <w:vAlign w:val="center"/>
            <w:hideMark/>
          </w:tcPr>
          <w:p w14:paraId="173BF89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2.4</w:t>
            </w:r>
          </w:p>
        </w:tc>
        <w:tc>
          <w:tcPr>
            <w:tcW w:w="559" w:type="dxa"/>
            <w:tcBorders>
              <w:top w:val="nil"/>
              <w:left w:val="nil"/>
              <w:bottom w:val="nil"/>
              <w:right w:val="nil"/>
            </w:tcBorders>
            <w:shd w:val="clear" w:color="auto" w:fill="auto"/>
            <w:vAlign w:val="center"/>
            <w:hideMark/>
          </w:tcPr>
          <w:p w14:paraId="72BCFD0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1.6</w:t>
            </w:r>
          </w:p>
        </w:tc>
      </w:tr>
      <w:tr w:rsidR="000F6636" w:rsidRPr="008E295D" w14:paraId="4BDA9A20"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noWrap/>
            <w:vAlign w:val="center"/>
            <w:hideMark/>
          </w:tcPr>
          <w:p w14:paraId="514C178F" w14:textId="77777777" w:rsidR="000F6636" w:rsidRPr="008E295D" w:rsidRDefault="000F6636" w:rsidP="00484DB0">
            <w:pPr>
              <w:rPr>
                <w:rFonts w:cs="Times New Roman"/>
                <w:color w:val="000000"/>
                <w:sz w:val="18"/>
                <w:szCs w:val="18"/>
              </w:rPr>
            </w:pPr>
            <w:r w:rsidRPr="008E295D">
              <w:rPr>
                <w:rFonts w:cs="Times New Roman"/>
                <w:color w:val="000000"/>
                <w:sz w:val="18"/>
                <w:szCs w:val="18"/>
              </w:rPr>
              <w:t>Hrubý domáci produkt v bežných cenách; mld. eur**</w:t>
            </w:r>
          </w:p>
        </w:tc>
        <w:tc>
          <w:tcPr>
            <w:tcW w:w="474" w:type="dxa"/>
            <w:tcBorders>
              <w:top w:val="nil"/>
              <w:left w:val="nil"/>
              <w:bottom w:val="nil"/>
              <w:right w:val="single" w:sz="8" w:space="0" w:color="auto"/>
            </w:tcBorders>
            <w:shd w:val="clear" w:color="auto" w:fill="auto"/>
            <w:noWrap/>
            <w:vAlign w:val="center"/>
            <w:hideMark/>
          </w:tcPr>
          <w:p w14:paraId="6F3098A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122.8</w:t>
            </w:r>
          </w:p>
        </w:tc>
        <w:tc>
          <w:tcPr>
            <w:tcW w:w="552" w:type="dxa"/>
            <w:tcBorders>
              <w:top w:val="nil"/>
              <w:left w:val="nil"/>
              <w:bottom w:val="nil"/>
              <w:right w:val="nil"/>
            </w:tcBorders>
            <w:shd w:val="clear" w:color="000000" w:fill="FFFFFF"/>
            <w:noWrap/>
            <w:vAlign w:val="center"/>
            <w:hideMark/>
          </w:tcPr>
          <w:p w14:paraId="365DE28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129.3</w:t>
            </w:r>
          </w:p>
        </w:tc>
        <w:tc>
          <w:tcPr>
            <w:tcW w:w="705" w:type="dxa"/>
            <w:tcBorders>
              <w:top w:val="nil"/>
              <w:left w:val="nil"/>
              <w:bottom w:val="nil"/>
              <w:right w:val="nil"/>
            </w:tcBorders>
            <w:shd w:val="clear" w:color="000000" w:fill="FFFFFF"/>
            <w:noWrap/>
            <w:vAlign w:val="center"/>
            <w:hideMark/>
          </w:tcPr>
          <w:p w14:paraId="4AC7A84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131.4</w:t>
            </w:r>
          </w:p>
        </w:tc>
        <w:tc>
          <w:tcPr>
            <w:tcW w:w="552" w:type="dxa"/>
            <w:tcBorders>
              <w:top w:val="nil"/>
              <w:left w:val="nil"/>
              <w:bottom w:val="nil"/>
              <w:right w:val="nil"/>
            </w:tcBorders>
            <w:shd w:val="clear" w:color="000000" w:fill="FFFFFF"/>
            <w:noWrap/>
            <w:vAlign w:val="center"/>
            <w:hideMark/>
          </w:tcPr>
          <w:p w14:paraId="6890CE0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136.6</w:t>
            </w:r>
          </w:p>
        </w:tc>
        <w:tc>
          <w:tcPr>
            <w:tcW w:w="846" w:type="dxa"/>
            <w:tcBorders>
              <w:top w:val="nil"/>
              <w:left w:val="nil"/>
              <w:bottom w:val="nil"/>
              <w:right w:val="nil"/>
            </w:tcBorders>
            <w:shd w:val="clear" w:color="000000" w:fill="FFFFFF"/>
            <w:noWrap/>
            <w:vAlign w:val="center"/>
            <w:hideMark/>
          </w:tcPr>
          <w:p w14:paraId="163D52B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140.4</w:t>
            </w:r>
          </w:p>
        </w:tc>
        <w:tc>
          <w:tcPr>
            <w:tcW w:w="698" w:type="dxa"/>
            <w:tcBorders>
              <w:top w:val="nil"/>
              <w:left w:val="nil"/>
              <w:bottom w:val="nil"/>
              <w:right w:val="nil"/>
            </w:tcBorders>
            <w:shd w:val="clear" w:color="000000" w:fill="FFFFFF"/>
            <w:noWrap/>
            <w:vAlign w:val="center"/>
            <w:hideMark/>
          </w:tcPr>
          <w:p w14:paraId="499A09D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143.5</w:t>
            </w:r>
          </w:p>
        </w:tc>
        <w:tc>
          <w:tcPr>
            <w:tcW w:w="699" w:type="dxa"/>
            <w:tcBorders>
              <w:top w:val="nil"/>
              <w:left w:val="nil"/>
              <w:bottom w:val="nil"/>
              <w:right w:val="nil"/>
            </w:tcBorders>
            <w:shd w:val="clear" w:color="000000" w:fill="FFFFFF"/>
            <w:vAlign w:val="center"/>
            <w:hideMark/>
          </w:tcPr>
          <w:p w14:paraId="3578907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147.0</w:t>
            </w:r>
          </w:p>
        </w:tc>
        <w:tc>
          <w:tcPr>
            <w:tcW w:w="559" w:type="dxa"/>
            <w:tcBorders>
              <w:top w:val="nil"/>
              <w:left w:val="nil"/>
              <w:bottom w:val="nil"/>
              <w:right w:val="nil"/>
            </w:tcBorders>
            <w:shd w:val="clear" w:color="000000" w:fill="FFFFFF"/>
            <w:vAlign w:val="center"/>
            <w:hideMark/>
          </w:tcPr>
          <w:p w14:paraId="6D4BF043"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149.8</w:t>
            </w:r>
          </w:p>
        </w:tc>
        <w:tc>
          <w:tcPr>
            <w:tcW w:w="559" w:type="dxa"/>
            <w:tcBorders>
              <w:top w:val="nil"/>
              <w:left w:val="nil"/>
              <w:bottom w:val="nil"/>
              <w:right w:val="nil"/>
            </w:tcBorders>
            <w:shd w:val="clear" w:color="000000" w:fill="FFFFFF"/>
            <w:vAlign w:val="center"/>
            <w:hideMark/>
          </w:tcPr>
          <w:p w14:paraId="154D26E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152.7</w:t>
            </w:r>
          </w:p>
        </w:tc>
      </w:tr>
      <w:tr w:rsidR="000F6636" w:rsidRPr="008E295D" w14:paraId="1FEAED92"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vAlign w:val="center"/>
            <w:hideMark/>
          </w:tcPr>
          <w:p w14:paraId="1C57A388" w14:textId="77777777" w:rsidR="000F6636" w:rsidRPr="008E295D" w:rsidRDefault="000F6636" w:rsidP="00484DB0">
            <w:pPr>
              <w:rPr>
                <w:rFonts w:cs="Times New Roman"/>
                <w:color w:val="000000"/>
                <w:sz w:val="18"/>
                <w:szCs w:val="18"/>
              </w:rPr>
            </w:pPr>
            <w:r w:rsidRPr="008E295D">
              <w:rPr>
                <w:rFonts w:cs="Times New Roman"/>
                <w:color w:val="000000"/>
                <w:sz w:val="18"/>
                <w:szCs w:val="18"/>
              </w:rPr>
              <w:t>Konečná spotreba domácností; reálny rast</w:t>
            </w:r>
          </w:p>
        </w:tc>
        <w:tc>
          <w:tcPr>
            <w:tcW w:w="474" w:type="dxa"/>
            <w:tcBorders>
              <w:top w:val="nil"/>
              <w:left w:val="nil"/>
              <w:bottom w:val="nil"/>
              <w:right w:val="single" w:sz="8" w:space="0" w:color="auto"/>
            </w:tcBorders>
            <w:shd w:val="clear" w:color="auto" w:fill="auto"/>
            <w:noWrap/>
            <w:vAlign w:val="center"/>
            <w:hideMark/>
          </w:tcPr>
          <w:p w14:paraId="69294D1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-3.2</w:t>
            </w:r>
          </w:p>
        </w:tc>
        <w:tc>
          <w:tcPr>
            <w:tcW w:w="552" w:type="dxa"/>
            <w:tcBorders>
              <w:top w:val="nil"/>
              <w:left w:val="nil"/>
              <w:bottom w:val="nil"/>
              <w:right w:val="nil"/>
            </w:tcBorders>
            <w:shd w:val="clear" w:color="auto" w:fill="auto"/>
            <w:noWrap/>
            <w:vAlign w:val="center"/>
            <w:hideMark/>
          </w:tcPr>
          <w:p w14:paraId="707EECB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2.1</w:t>
            </w:r>
          </w:p>
        </w:tc>
        <w:tc>
          <w:tcPr>
            <w:tcW w:w="705" w:type="dxa"/>
            <w:tcBorders>
              <w:top w:val="nil"/>
              <w:left w:val="nil"/>
              <w:bottom w:val="nil"/>
              <w:right w:val="nil"/>
            </w:tcBorders>
            <w:shd w:val="clear" w:color="auto" w:fill="auto"/>
            <w:noWrap/>
            <w:vAlign w:val="center"/>
            <w:hideMark/>
          </w:tcPr>
          <w:p w14:paraId="504B999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2.3</w:t>
            </w:r>
          </w:p>
        </w:tc>
        <w:tc>
          <w:tcPr>
            <w:tcW w:w="552" w:type="dxa"/>
            <w:tcBorders>
              <w:top w:val="nil"/>
              <w:left w:val="nil"/>
              <w:bottom w:val="nil"/>
              <w:right w:val="nil"/>
            </w:tcBorders>
            <w:shd w:val="clear" w:color="auto" w:fill="auto"/>
            <w:noWrap/>
            <w:vAlign w:val="center"/>
            <w:hideMark/>
          </w:tcPr>
          <w:p w14:paraId="7F4F4A5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2.1</w:t>
            </w:r>
          </w:p>
        </w:tc>
        <w:tc>
          <w:tcPr>
            <w:tcW w:w="846" w:type="dxa"/>
            <w:tcBorders>
              <w:top w:val="nil"/>
              <w:left w:val="nil"/>
              <w:bottom w:val="nil"/>
              <w:right w:val="nil"/>
            </w:tcBorders>
            <w:shd w:val="clear" w:color="auto" w:fill="auto"/>
            <w:noWrap/>
            <w:vAlign w:val="center"/>
            <w:hideMark/>
          </w:tcPr>
          <w:p w14:paraId="1FE385FC"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2.2</w:t>
            </w:r>
          </w:p>
        </w:tc>
        <w:tc>
          <w:tcPr>
            <w:tcW w:w="698" w:type="dxa"/>
            <w:tcBorders>
              <w:top w:val="nil"/>
              <w:left w:val="nil"/>
              <w:bottom w:val="nil"/>
              <w:right w:val="nil"/>
            </w:tcBorders>
            <w:shd w:val="clear" w:color="auto" w:fill="auto"/>
            <w:noWrap/>
            <w:vAlign w:val="center"/>
            <w:hideMark/>
          </w:tcPr>
          <w:p w14:paraId="7697C59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2.3</w:t>
            </w:r>
          </w:p>
        </w:tc>
        <w:tc>
          <w:tcPr>
            <w:tcW w:w="699" w:type="dxa"/>
            <w:tcBorders>
              <w:top w:val="nil"/>
              <w:left w:val="nil"/>
              <w:bottom w:val="nil"/>
              <w:right w:val="nil"/>
            </w:tcBorders>
            <w:shd w:val="clear" w:color="auto" w:fill="auto"/>
            <w:vAlign w:val="center"/>
            <w:hideMark/>
          </w:tcPr>
          <w:p w14:paraId="378563F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1.9</w:t>
            </w:r>
          </w:p>
        </w:tc>
        <w:tc>
          <w:tcPr>
            <w:tcW w:w="559" w:type="dxa"/>
            <w:tcBorders>
              <w:top w:val="nil"/>
              <w:left w:val="nil"/>
              <w:bottom w:val="nil"/>
              <w:right w:val="nil"/>
            </w:tcBorders>
            <w:shd w:val="clear" w:color="auto" w:fill="auto"/>
            <w:vAlign w:val="center"/>
            <w:hideMark/>
          </w:tcPr>
          <w:p w14:paraId="1359CB3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2.4</w:t>
            </w:r>
          </w:p>
        </w:tc>
        <w:tc>
          <w:tcPr>
            <w:tcW w:w="559" w:type="dxa"/>
            <w:tcBorders>
              <w:top w:val="nil"/>
              <w:left w:val="nil"/>
              <w:bottom w:val="nil"/>
              <w:right w:val="nil"/>
            </w:tcBorders>
            <w:shd w:val="clear" w:color="auto" w:fill="auto"/>
            <w:vAlign w:val="center"/>
            <w:hideMark/>
          </w:tcPr>
          <w:p w14:paraId="76D68CF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1.7</w:t>
            </w:r>
          </w:p>
        </w:tc>
      </w:tr>
      <w:tr w:rsidR="000F6636" w:rsidRPr="008E295D" w14:paraId="08215041"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vAlign w:val="center"/>
            <w:hideMark/>
          </w:tcPr>
          <w:p w14:paraId="12A8CE09" w14:textId="77777777" w:rsidR="000F6636" w:rsidRPr="008E295D" w:rsidRDefault="000F6636" w:rsidP="00484DB0">
            <w:pPr>
              <w:rPr>
                <w:rFonts w:cs="Times New Roman"/>
                <w:color w:val="000000"/>
                <w:sz w:val="18"/>
                <w:szCs w:val="18"/>
              </w:rPr>
            </w:pPr>
            <w:r w:rsidRPr="008E295D">
              <w:rPr>
                <w:rFonts w:cs="Times New Roman"/>
                <w:color w:val="000000"/>
                <w:sz w:val="18"/>
                <w:szCs w:val="18"/>
              </w:rPr>
              <w:t>Konečná spotreba domácností; nominálny rast</w:t>
            </w:r>
          </w:p>
        </w:tc>
        <w:tc>
          <w:tcPr>
            <w:tcW w:w="474" w:type="dxa"/>
            <w:tcBorders>
              <w:top w:val="nil"/>
              <w:left w:val="nil"/>
              <w:bottom w:val="nil"/>
              <w:right w:val="single" w:sz="8" w:space="0" w:color="auto"/>
            </w:tcBorders>
            <w:shd w:val="clear" w:color="auto" w:fill="auto"/>
            <w:noWrap/>
            <w:vAlign w:val="center"/>
            <w:hideMark/>
          </w:tcPr>
          <w:p w14:paraId="70F4FA7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6.8</w:t>
            </w:r>
          </w:p>
        </w:tc>
        <w:tc>
          <w:tcPr>
            <w:tcW w:w="552" w:type="dxa"/>
            <w:tcBorders>
              <w:top w:val="nil"/>
              <w:left w:val="nil"/>
              <w:bottom w:val="nil"/>
              <w:right w:val="nil"/>
            </w:tcBorders>
            <w:shd w:val="clear" w:color="auto" w:fill="auto"/>
            <w:noWrap/>
            <w:vAlign w:val="center"/>
            <w:hideMark/>
          </w:tcPr>
          <w:p w14:paraId="013AC21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5.1</w:t>
            </w:r>
          </w:p>
        </w:tc>
        <w:tc>
          <w:tcPr>
            <w:tcW w:w="705" w:type="dxa"/>
            <w:tcBorders>
              <w:top w:val="nil"/>
              <w:left w:val="nil"/>
              <w:bottom w:val="nil"/>
              <w:right w:val="nil"/>
            </w:tcBorders>
            <w:shd w:val="clear" w:color="auto" w:fill="auto"/>
            <w:noWrap/>
            <w:vAlign w:val="center"/>
            <w:hideMark/>
          </w:tcPr>
          <w:p w14:paraId="4633B74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6.1</w:t>
            </w:r>
          </w:p>
        </w:tc>
        <w:tc>
          <w:tcPr>
            <w:tcW w:w="552" w:type="dxa"/>
            <w:tcBorders>
              <w:top w:val="nil"/>
              <w:left w:val="nil"/>
              <w:bottom w:val="nil"/>
              <w:right w:val="nil"/>
            </w:tcBorders>
            <w:shd w:val="clear" w:color="auto" w:fill="auto"/>
            <w:noWrap/>
            <w:vAlign w:val="center"/>
            <w:hideMark/>
          </w:tcPr>
          <w:p w14:paraId="490A117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5.5</w:t>
            </w:r>
          </w:p>
        </w:tc>
        <w:tc>
          <w:tcPr>
            <w:tcW w:w="846" w:type="dxa"/>
            <w:tcBorders>
              <w:top w:val="nil"/>
              <w:left w:val="nil"/>
              <w:bottom w:val="nil"/>
              <w:right w:val="nil"/>
            </w:tcBorders>
            <w:shd w:val="clear" w:color="auto" w:fill="auto"/>
            <w:noWrap/>
            <w:vAlign w:val="center"/>
            <w:hideMark/>
          </w:tcPr>
          <w:p w14:paraId="224D6AF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6.3</w:t>
            </w:r>
          </w:p>
        </w:tc>
        <w:tc>
          <w:tcPr>
            <w:tcW w:w="698" w:type="dxa"/>
            <w:tcBorders>
              <w:top w:val="nil"/>
              <w:left w:val="nil"/>
              <w:bottom w:val="nil"/>
              <w:right w:val="nil"/>
            </w:tcBorders>
            <w:shd w:val="clear" w:color="auto" w:fill="auto"/>
            <w:noWrap/>
            <w:vAlign w:val="center"/>
            <w:hideMark/>
          </w:tcPr>
          <w:p w14:paraId="0F0D1997"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4.8</w:t>
            </w:r>
          </w:p>
        </w:tc>
        <w:tc>
          <w:tcPr>
            <w:tcW w:w="699" w:type="dxa"/>
            <w:tcBorders>
              <w:top w:val="nil"/>
              <w:left w:val="nil"/>
              <w:bottom w:val="nil"/>
              <w:right w:val="nil"/>
            </w:tcBorders>
            <w:shd w:val="clear" w:color="auto" w:fill="auto"/>
            <w:vAlign w:val="center"/>
            <w:hideMark/>
          </w:tcPr>
          <w:p w14:paraId="049B6E8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4.1</w:t>
            </w:r>
          </w:p>
        </w:tc>
        <w:tc>
          <w:tcPr>
            <w:tcW w:w="559" w:type="dxa"/>
            <w:tcBorders>
              <w:top w:val="nil"/>
              <w:left w:val="nil"/>
              <w:bottom w:val="nil"/>
              <w:right w:val="nil"/>
            </w:tcBorders>
            <w:shd w:val="clear" w:color="auto" w:fill="auto"/>
            <w:vAlign w:val="center"/>
            <w:hideMark/>
          </w:tcPr>
          <w:p w14:paraId="59EB0AA0"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4.6</w:t>
            </w:r>
          </w:p>
        </w:tc>
        <w:tc>
          <w:tcPr>
            <w:tcW w:w="559" w:type="dxa"/>
            <w:tcBorders>
              <w:top w:val="nil"/>
              <w:left w:val="nil"/>
              <w:bottom w:val="nil"/>
              <w:right w:val="nil"/>
            </w:tcBorders>
            <w:shd w:val="clear" w:color="auto" w:fill="auto"/>
            <w:vAlign w:val="center"/>
            <w:hideMark/>
          </w:tcPr>
          <w:p w14:paraId="29038C12"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3.9</w:t>
            </w:r>
          </w:p>
        </w:tc>
      </w:tr>
      <w:tr w:rsidR="000F6636" w:rsidRPr="008E295D" w14:paraId="295821BD"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vAlign w:val="center"/>
            <w:hideMark/>
          </w:tcPr>
          <w:p w14:paraId="01108C8F" w14:textId="77777777" w:rsidR="000F6636" w:rsidRPr="008E295D" w:rsidRDefault="000F6636" w:rsidP="00484DB0">
            <w:pPr>
              <w:rPr>
                <w:rFonts w:cs="Times New Roman"/>
                <w:color w:val="000000"/>
                <w:sz w:val="18"/>
                <w:szCs w:val="18"/>
              </w:rPr>
            </w:pPr>
            <w:r w:rsidRPr="008E295D">
              <w:rPr>
                <w:rFonts w:cs="Times New Roman"/>
                <w:color w:val="000000"/>
                <w:sz w:val="18"/>
                <w:szCs w:val="18"/>
              </w:rPr>
              <w:t>Priemerná mesačná mzda; reálny rast</w:t>
            </w:r>
          </w:p>
        </w:tc>
        <w:tc>
          <w:tcPr>
            <w:tcW w:w="474" w:type="dxa"/>
            <w:tcBorders>
              <w:top w:val="nil"/>
              <w:left w:val="nil"/>
              <w:bottom w:val="nil"/>
              <w:right w:val="single" w:sz="8" w:space="0" w:color="auto"/>
            </w:tcBorders>
            <w:shd w:val="clear" w:color="auto" w:fill="auto"/>
            <w:noWrap/>
            <w:vAlign w:val="center"/>
            <w:hideMark/>
          </w:tcPr>
          <w:p w14:paraId="72ECED3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-0.8</w:t>
            </w:r>
          </w:p>
        </w:tc>
        <w:tc>
          <w:tcPr>
            <w:tcW w:w="552" w:type="dxa"/>
            <w:tcBorders>
              <w:top w:val="nil"/>
              <w:left w:val="nil"/>
              <w:bottom w:val="nil"/>
              <w:right w:val="nil"/>
            </w:tcBorders>
            <w:shd w:val="clear" w:color="auto" w:fill="auto"/>
            <w:noWrap/>
            <w:vAlign w:val="center"/>
            <w:hideMark/>
          </w:tcPr>
          <w:p w14:paraId="06562C35"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3.9</w:t>
            </w:r>
          </w:p>
        </w:tc>
        <w:tc>
          <w:tcPr>
            <w:tcW w:w="705" w:type="dxa"/>
            <w:tcBorders>
              <w:top w:val="nil"/>
              <w:left w:val="nil"/>
              <w:bottom w:val="nil"/>
              <w:right w:val="nil"/>
            </w:tcBorders>
            <w:shd w:val="clear" w:color="auto" w:fill="auto"/>
            <w:noWrap/>
            <w:vAlign w:val="center"/>
            <w:hideMark/>
          </w:tcPr>
          <w:p w14:paraId="32EAB39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3.2</w:t>
            </w:r>
          </w:p>
        </w:tc>
        <w:tc>
          <w:tcPr>
            <w:tcW w:w="552" w:type="dxa"/>
            <w:tcBorders>
              <w:top w:val="nil"/>
              <w:left w:val="nil"/>
              <w:bottom w:val="nil"/>
              <w:right w:val="nil"/>
            </w:tcBorders>
            <w:shd w:val="clear" w:color="auto" w:fill="auto"/>
            <w:noWrap/>
            <w:vAlign w:val="center"/>
            <w:hideMark/>
          </w:tcPr>
          <w:p w14:paraId="70F95703"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2.6</w:t>
            </w:r>
          </w:p>
        </w:tc>
        <w:tc>
          <w:tcPr>
            <w:tcW w:w="846" w:type="dxa"/>
            <w:tcBorders>
              <w:top w:val="nil"/>
              <w:left w:val="nil"/>
              <w:bottom w:val="nil"/>
              <w:right w:val="nil"/>
            </w:tcBorders>
            <w:shd w:val="clear" w:color="auto" w:fill="auto"/>
            <w:vAlign w:val="center"/>
            <w:hideMark/>
          </w:tcPr>
          <w:p w14:paraId="288C0B2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1.4</w:t>
            </w:r>
          </w:p>
        </w:tc>
        <w:tc>
          <w:tcPr>
            <w:tcW w:w="698" w:type="dxa"/>
            <w:tcBorders>
              <w:top w:val="nil"/>
              <w:left w:val="nil"/>
              <w:bottom w:val="nil"/>
              <w:right w:val="nil"/>
            </w:tcBorders>
            <w:shd w:val="clear" w:color="auto" w:fill="auto"/>
            <w:noWrap/>
            <w:vAlign w:val="center"/>
            <w:hideMark/>
          </w:tcPr>
          <w:p w14:paraId="1F946A6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2.5</w:t>
            </w:r>
          </w:p>
        </w:tc>
        <w:tc>
          <w:tcPr>
            <w:tcW w:w="699" w:type="dxa"/>
            <w:tcBorders>
              <w:top w:val="nil"/>
              <w:left w:val="nil"/>
              <w:bottom w:val="nil"/>
              <w:right w:val="nil"/>
            </w:tcBorders>
            <w:shd w:val="clear" w:color="auto" w:fill="auto"/>
            <w:vAlign w:val="center"/>
            <w:hideMark/>
          </w:tcPr>
          <w:p w14:paraId="1BC3A53A"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2.0</w:t>
            </w:r>
          </w:p>
        </w:tc>
        <w:tc>
          <w:tcPr>
            <w:tcW w:w="559" w:type="dxa"/>
            <w:tcBorders>
              <w:top w:val="nil"/>
              <w:left w:val="nil"/>
              <w:bottom w:val="nil"/>
              <w:right w:val="nil"/>
            </w:tcBorders>
            <w:shd w:val="clear" w:color="auto" w:fill="auto"/>
            <w:vAlign w:val="center"/>
            <w:hideMark/>
          </w:tcPr>
          <w:p w14:paraId="3BA65C7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2.5</w:t>
            </w:r>
          </w:p>
        </w:tc>
        <w:tc>
          <w:tcPr>
            <w:tcW w:w="559" w:type="dxa"/>
            <w:tcBorders>
              <w:top w:val="nil"/>
              <w:left w:val="nil"/>
              <w:bottom w:val="nil"/>
              <w:right w:val="nil"/>
            </w:tcBorders>
            <w:shd w:val="clear" w:color="auto" w:fill="auto"/>
            <w:vAlign w:val="center"/>
            <w:hideMark/>
          </w:tcPr>
          <w:p w14:paraId="783521A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1.7</w:t>
            </w:r>
          </w:p>
        </w:tc>
      </w:tr>
      <w:tr w:rsidR="000F6636" w:rsidRPr="008E295D" w14:paraId="4721E4B9"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vAlign w:val="center"/>
            <w:hideMark/>
          </w:tcPr>
          <w:p w14:paraId="35131A11" w14:textId="77777777" w:rsidR="000F6636" w:rsidRPr="008E295D" w:rsidRDefault="000F6636" w:rsidP="00484DB0">
            <w:pPr>
              <w:rPr>
                <w:rFonts w:cs="Times New Roman"/>
                <w:color w:val="000000"/>
                <w:sz w:val="18"/>
                <w:szCs w:val="18"/>
              </w:rPr>
            </w:pPr>
            <w:r w:rsidRPr="008E295D">
              <w:rPr>
                <w:rFonts w:cs="Times New Roman"/>
                <w:color w:val="000000"/>
                <w:sz w:val="18"/>
                <w:szCs w:val="18"/>
              </w:rPr>
              <w:t>Priemerná mesačná mzda; nominálny rast</w:t>
            </w:r>
          </w:p>
        </w:tc>
        <w:tc>
          <w:tcPr>
            <w:tcW w:w="474" w:type="dxa"/>
            <w:tcBorders>
              <w:top w:val="nil"/>
              <w:left w:val="nil"/>
              <w:bottom w:val="nil"/>
              <w:right w:val="single" w:sz="8" w:space="0" w:color="auto"/>
            </w:tcBorders>
            <w:shd w:val="clear" w:color="auto" w:fill="auto"/>
            <w:noWrap/>
            <w:vAlign w:val="center"/>
            <w:hideMark/>
          </w:tcPr>
          <w:p w14:paraId="38DBBFD0"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9.7</w:t>
            </w:r>
          </w:p>
        </w:tc>
        <w:tc>
          <w:tcPr>
            <w:tcW w:w="552" w:type="dxa"/>
            <w:tcBorders>
              <w:top w:val="nil"/>
              <w:left w:val="nil"/>
              <w:bottom w:val="nil"/>
              <w:right w:val="nil"/>
            </w:tcBorders>
            <w:shd w:val="clear" w:color="auto" w:fill="auto"/>
            <w:noWrap/>
            <w:vAlign w:val="center"/>
            <w:hideMark/>
          </w:tcPr>
          <w:p w14:paraId="615A6CE5"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6.8</w:t>
            </w:r>
          </w:p>
        </w:tc>
        <w:tc>
          <w:tcPr>
            <w:tcW w:w="705" w:type="dxa"/>
            <w:tcBorders>
              <w:top w:val="nil"/>
              <w:left w:val="nil"/>
              <w:bottom w:val="nil"/>
              <w:right w:val="nil"/>
            </w:tcBorders>
            <w:shd w:val="clear" w:color="auto" w:fill="auto"/>
            <w:noWrap/>
            <w:vAlign w:val="center"/>
            <w:hideMark/>
          </w:tcPr>
          <w:p w14:paraId="6510815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6.3</w:t>
            </w:r>
          </w:p>
        </w:tc>
        <w:tc>
          <w:tcPr>
            <w:tcW w:w="552" w:type="dxa"/>
            <w:tcBorders>
              <w:top w:val="nil"/>
              <w:left w:val="nil"/>
              <w:bottom w:val="nil"/>
              <w:right w:val="nil"/>
            </w:tcBorders>
            <w:shd w:val="clear" w:color="auto" w:fill="auto"/>
            <w:noWrap/>
            <w:vAlign w:val="center"/>
            <w:hideMark/>
          </w:tcPr>
          <w:p w14:paraId="453E622F"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5.5</w:t>
            </w:r>
          </w:p>
        </w:tc>
        <w:tc>
          <w:tcPr>
            <w:tcW w:w="846" w:type="dxa"/>
            <w:tcBorders>
              <w:top w:val="nil"/>
              <w:left w:val="nil"/>
              <w:bottom w:val="nil"/>
              <w:right w:val="nil"/>
            </w:tcBorders>
            <w:shd w:val="clear" w:color="auto" w:fill="auto"/>
            <w:noWrap/>
            <w:vAlign w:val="center"/>
            <w:hideMark/>
          </w:tcPr>
          <w:p w14:paraId="054989C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5.5</w:t>
            </w:r>
          </w:p>
        </w:tc>
        <w:tc>
          <w:tcPr>
            <w:tcW w:w="698" w:type="dxa"/>
            <w:tcBorders>
              <w:top w:val="nil"/>
              <w:left w:val="nil"/>
              <w:bottom w:val="nil"/>
              <w:right w:val="nil"/>
            </w:tcBorders>
            <w:shd w:val="clear" w:color="auto" w:fill="auto"/>
            <w:noWrap/>
            <w:vAlign w:val="center"/>
            <w:hideMark/>
          </w:tcPr>
          <w:p w14:paraId="713775ED"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5.1</w:t>
            </w:r>
          </w:p>
        </w:tc>
        <w:tc>
          <w:tcPr>
            <w:tcW w:w="699" w:type="dxa"/>
            <w:tcBorders>
              <w:top w:val="nil"/>
              <w:left w:val="nil"/>
              <w:bottom w:val="nil"/>
              <w:right w:val="nil"/>
            </w:tcBorders>
            <w:shd w:val="clear" w:color="auto" w:fill="auto"/>
            <w:vAlign w:val="center"/>
            <w:hideMark/>
          </w:tcPr>
          <w:p w14:paraId="77B3EEB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4.4</w:t>
            </w:r>
          </w:p>
        </w:tc>
        <w:tc>
          <w:tcPr>
            <w:tcW w:w="559" w:type="dxa"/>
            <w:tcBorders>
              <w:top w:val="nil"/>
              <w:left w:val="nil"/>
              <w:bottom w:val="nil"/>
              <w:right w:val="nil"/>
            </w:tcBorders>
            <w:shd w:val="clear" w:color="auto" w:fill="auto"/>
            <w:vAlign w:val="center"/>
            <w:hideMark/>
          </w:tcPr>
          <w:p w14:paraId="4CDAF3B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4.9</w:t>
            </w:r>
          </w:p>
        </w:tc>
        <w:tc>
          <w:tcPr>
            <w:tcW w:w="559" w:type="dxa"/>
            <w:tcBorders>
              <w:top w:val="nil"/>
              <w:left w:val="nil"/>
              <w:bottom w:val="nil"/>
              <w:right w:val="nil"/>
            </w:tcBorders>
            <w:shd w:val="clear" w:color="auto" w:fill="auto"/>
            <w:vAlign w:val="center"/>
            <w:hideMark/>
          </w:tcPr>
          <w:p w14:paraId="06C4CE10"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4.0</w:t>
            </w:r>
          </w:p>
        </w:tc>
      </w:tr>
      <w:tr w:rsidR="000F6636" w:rsidRPr="008E295D" w14:paraId="2FAAEA3C"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vAlign w:val="center"/>
            <w:hideMark/>
          </w:tcPr>
          <w:p w14:paraId="7A506DC9" w14:textId="77777777" w:rsidR="000F6636" w:rsidRPr="008E295D" w:rsidRDefault="000F6636" w:rsidP="00484DB0">
            <w:pPr>
              <w:rPr>
                <w:rFonts w:cs="Times New Roman"/>
                <w:color w:val="000000"/>
                <w:sz w:val="18"/>
                <w:szCs w:val="18"/>
              </w:rPr>
            </w:pPr>
            <w:r w:rsidRPr="008E295D">
              <w:rPr>
                <w:rFonts w:cs="Times New Roman"/>
                <w:color w:val="000000"/>
                <w:sz w:val="18"/>
                <w:szCs w:val="18"/>
              </w:rPr>
              <w:t>Rast zamestnanosti (štat. výkazníctvo)</w:t>
            </w:r>
          </w:p>
        </w:tc>
        <w:tc>
          <w:tcPr>
            <w:tcW w:w="474" w:type="dxa"/>
            <w:tcBorders>
              <w:top w:val="nil"/>
              <w:left w:val="nil"/>
              <w:bottom w:val="nil"/>
              <w:right w:val="single" w:sz="8" w:space="0" w:color="auto"/>
            </w:tcBorders>
            <w:shd w:val="clear" w:color="auto" w:fill="auto"/>
            <w:noWrap/>
            <w:vAlign w:val="center"/>
            <w:hideMark/>
          </w:tcPr>
          <w:p w14:paraId="7A90BD63"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0.2</w:t>
            </w:r>
          </w:p>
        </w:tc>
        <w:tc>
          <w:tcPr>
            <w:tcW w:w="552" w:type="dxa"/>
            <w:tcBorders>
              <w:top w:val="nil"/>
              <w:left w:val="nil"/>
              <w:bottom w:val="nil"/>
              <w:right w:val="nil"/>
            </w:tcBorders>
            <w:shd w:val="clear" w:color="auto" w:fill="auto"/>
            <w:noWrap/>
            <w:vAlign w:val="center"/>
            <w:hideMark/>
          </w:tcPr>
          <w:p w14:paraId="1DBE8B75"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0.1</w:t>
            </w:r>
          </w:p>
        </w:tc>
        <w:tc>
          <w:tcPr>
            <w:tcW w:w="705" w:type="dxa"/>
            <w:tcBorders>
              <w:top w:val="nil"/>
              <w:left w:val="nil"/>
              <w:bottom w:val="nil"/>
              <w:right w:val="nil"/>
            </w:tcBorders>
            <w:shd w:val="clear" w:color="auto" w:fill="auto"/>
            <w:noWrap/>
            <w:vAlign w:val="center"/>
            <w:hideMark/>
          </w:tcPr>
          <w:p w14:paraId="31F8D129"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0.1</w:t>
            </w:r>
          </w:p>
        </w:tc>
        <w:tc>
          <w:tcPr>
            <w:tcW w:w="552" w:type="dxa"/>
            <w:tcBorders>
              <w:top w:val="nil"/>
              <w:left w:val="nil"/>
              <w:bottom w:val="nil"/>
              <w:right w:val="nil"/>
            </w:tcBorders>
            <w:shd w:val="clear" w:color="auto" w:fill="auto"/>
            <w:noWrap/>
            <w:vAlign w:val="center"/>
            <w:hideMark/>
          </w:tcPr>
          <w:p w14:paraId="317CDA9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0.3</w:t>
            </w:r>
          </w:p>
        </w:tc>
        <w:tc>
          <w:tcPr>
            <w:tcW w:w="846" w:type="dxa"/>
            <w:tcBorders>
              <w:top w:val="nil"/>
              <w:left w:val="nil"/>
              <w:bottom w:val="nil"/>
              <w:right w:val="nil"/>
            </w:tcBorders>
            <w:shd w:val="clear" w:color="auto" w:fill="auto"/>
            <w:noWrap/>
            <w:vAlign w:val="center"/>
            <w:hideMark/>
          </w:tcPr>
          <w:p w14:paraId="1DDA1A96"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0.7</w:t>
            </w:r>
          </w:p>
        </w:tc>
        <w:tc>
          <w:tcPr>
            <w:tcW w:w="698" w:type="dxa"/>
            <w:tcBorders>
              <w:top w:val="nil"/>
              <w:left w:val="nil"/>
              <w:bottom w:val="nil"/>
              <w:right w:val="nil"/>
            </w:tcBorders>
            <w:shd w:val="clear" w:color="auto" w:fill="auto"/>
            <w:noWrap/>
            <w:vAlign w:val="center"/>
            <w:hideMark/>
          </w:tcPr>
          <w:p w14:paraId="533AB685"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0.3</w:t>
            </w:r>
          </w:p>
        </w:tc>
        <w:tc>
          <w:tcPr>
            <w:tcW w:w="699" w:type="dxa"/>
            <w:tcBorders>
              <w:top w:val="nil"/>
              <w:left w:val="nil"/>
              <w:bottom w:val="nil"/>
              <w:right w:val="nil"/>
            </w:tcBorders>
            <w:shd w:val="clear" w:color="auto" w:fill="auto"/>
            <w:vAlign w:val="center"/>
            <w:hideMark/>
          </w:tcPr>
          <w:p w14:paraId="0E78F7D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0.5</w:t>
            </w:r>
          </w:p>
        </w:tc>
        <w:tc>
          <w:tcPr>
            <w:tcW w:w="559" w:type="dxa"/>
            <w:tcBorders>
              <w:top w:val="nil"/>
              <w:left w:val="nil"/>
              <w:bottom w:val="nil"/>
              <w:right w:val="nil"/>
            </w:tcBorders>
            <w:shd w:val="clear" w:color="auto" w:fill="auto"/>
            <w:vAlign w:val="center"/>
            <w:hideMark/>
          </w:tcPr>
          <w:p w14:paraId="51C8BFA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0.2</w:t>
            </w:r>
          </w:p>
        </w:tc>
        <w:tc>
          <w:tcPr>
            <w:tcW w:w="559" w:type="dxa"/>
            <w:tcBorders>
              <w:top w:val="nil"/>
              <w:left w:val="nil"/>
              <w:bottom w:val="nil"/>
              <w:right w:val="nil"/>
            </w:tcBorders>
            <w:shd w:val="clear" w:color="auto" w:fill="auto"/>
            <w:vAlign w:val="center"/>
            <w:hideMark/>
          </w:tcPr>
          <w:p w14:paraId="1D6E687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0.1</w:t>
            </w:r>
          </w:p>
        </w:tc>
      </w:tr>
      <w:tr w:rsidR="000F6636" w:rsidRPr="008E295D" w14:paraId="1C1C229B" w14:textId="77777777" w:rsidTr="00484DB0">
        <w:trPr>
          <w:gridAfter w:val="2"/>
          <w:wAfter w:w="78" w:type="dxa"/>
          <w:trHeight w:val="276"/>
          <w:jc w:val="center"/>
        </w:trPr>
        <w:tc>
          <w:tcPr>
            <w:tcW w:w="3428" w:type="dxa"/>
            <w:tcBorders>
              <w:top w:val="nil"/>
              <w:left w:val="nil"/>
              <w:bottom w:val="nil"/>
              <w:right w:val="single" w:sz="8" w:space="0" w:color="auto"/>
            </w:tcBorders>
            <w:shd w:val="clear" w:color="auto" w:fill="auto"/>
            <w:vAlign w:val="center"/>
            <w:hideMark/>
          </w:tcPr>
          <w:p w14:paraId="4AE8D870" w14:textId="77777777" w:rsidR="000F6636" w:rsidRPr="008E295D" w:rsidRDefault="000F6636" w:rsidP="00484DB0">
            <w:pPr>
              <w:rPr>
                <w:rFonts w:cs="Times New Roman"/>
                <w:color w:val="000000"/>
                <w:sz w:val="18"/>
                <w:szCs w:val="18"/>
              </w:rPr>
            </w:pPr>
            <w:r w:rsidRPr="008E295D">
              <w:rPr>
                <w:rFonts w:cs="Times New Roman"/>
                <w:color w:val="000000"/>
                <w:sz w:val="18"/>
                <w:szCs w:val="18"/>
              </w:rPr>
              <w:t>Index spotrebiteľských cien; priemerný rast; CPI</w:t>
            </w:r>
          </w:p>
        </w:tc>
        <w:tc>
          <w:tcPr>
            <w:tcW w:w="474" w:type="dxa"/>
            <w:tcBorders>
              <w:top w:val="nil"/>
              <w:left w:val="nil"/>
              <w:bottom w:val="nil"/>
              <w:right w:val="single" w:sz="8" w:space="0" w:color="auto"/>
            </w:tcBorders>
            <w:shd w:val="clear" w:color="auto" w:fill="auto"/>
            <w:noWrap/>
            <w:vAlign w:val="center"/>
            <w:hideMark/>
          </w:tcPr>
          <w:p w14:paraId="61C415F4"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10.5</w:t>
            </w:r>
          </w:p>
        </w:tc>
        <w:tc>
          <w:tcPr>
            <w:tcW w:w="552" w:type="dxa"/>
            <w:tcBorders>
              <w:top w:val="nil"/>
              <w:left w:val="nil"/>
              <w:bottom w:val="nil"/>
              <w:right w:val="nil"/>
            </w:tcBorders>
            <w:shd w:val="clear" w:color="auto" w:fill="auto"/>
            <w:noWrap/>
            <w:vAlign w:val="center"/>
            <w:hideMark/>
          </w:tcPr>
          <w:p w14:paraId="3A8B269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2.9</w:t>
            </w:r>
          </w:p>
        </w:tc>
        <w:tc>
          <w:tcPr>
            <w:tcW w:w="705" w:type="dxa"/>
            <w:tcBorders>
              <w:top w:val="nil"/>
              <w:left w:val="nil"/>
              <w:bottom w:val="nil"/>
              <w:right w:val="nil"/>
            </w:tcBorders>
            <w:shd w:val="clear" w:color="auto" w:fill="auto"/>
            <w:noWrap/>
            <w:vAlign w:val="center"/>
            <w:hideMark/>
          </w:tcPr>
          <w:p w14:paraId="0754D08B"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3.0</w:t>
            </w:r>
          </w:p>
        </w:tc>
        <w:tc>
          <w:tcPr>
            <w:tcW w:w="552" w:type="dxa"/>
            <w:tcBorders>
              <w:top w:val="nil"/>
              <w:left w:val="nil"/>
              <w:bottom w:val="nil"/>
              <w:right w:val="nil"/>
            </w:tcBorders>
            <w:shd w:val="clear" w:color="auto" w:fill="auto"/>
            <w:noWrap/>
            <w:vAlign w:val="center"/>
            <w:hideMark/>
          </w:tcPr>
          <w:p w14:paraId="5BD11BD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2.9</w:t>
            </w:r>
          </w:p>
        </w:tc>
        <w:tc>
          <w:tcPr>
            <w:tcW w:w="846" w:type="dxa"/>
            <w:tcBorders>
              <w:top w:val="nil"/>
              <w:left w:val="nil"/>
              <w:bottom w:val="nil"/>
              <w:right w:val="nil"/>
            </w:tcBorders>
            <w:shd w:val="clear" w:color="auto" w:fill="auto"/>
            <w:noWrap/>
            <w:vAlign w:val="center"/>
            <w:hideMark/>
          </w:tcPr>
          <w:p w14:paraId="0026F668"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4.1</w:t>
            </w:r>
          </w:p>
        </w:tc>
        <w:tc>
          <w:tcPr>
            <w:tcW w:w="698" w:type="dxa"/>
            <w:tcBorders>
              <w:top w:val="nil"/>
              <w:left w:val="nil"/>
              <w:bottom w:val="nil"/>
              <w:right w:val="nil"/>
            </w:tcBorders>
            <w:shd w:val="clear" w:color="auto" w:fill="auto"/>
            <w:noWrap/>
            <w:vAlign w:val="center"/>
            <w:hideMark/>
          </w:tcPr>
          <w:p w14:paraId="71C7B6B1"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2.5</w:t>
            </w:r>
          </w:p>
        </w:tc>
        <w:tc>
          <w:tcPr>
            <w:tcW w:w="699" w:type="dxa"/>
            <w:tcBorders>
              <w:top w:val="nil"/>
              <w:left w:val="nil"/>
              <w:bottom w:val="nil"/>
              <w:right w:val="nil"/>
            </w:tcBorders>
            <w:shd w:val="clear" w:color="auto" w:fill="auto"/>
            <w:vAlign w:val="center"/>
            <w:hideMark/>
          </w:tcPr>
          <w:p w14:paraId="15B88603"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2.3</w:t>
            </w:r>
          </w:p>
        </w:tc>
        <w:tc>
          <w:tcPr>
            <w:tcW w:w="559" w:type="dxa"/>
            <w:tcBorders>
              <w:top w:val="nil"/>
              <w:left w:val="nil"/>
              <w:bottom w:val="nil"/>
              <w:right w:val="nil"/>
            </w:tcBorders>
            <w:shd w:val="clear" w:color="auto" w:fill="auto"/>
            <w:vAlign w:val="center"/>
            <w:hideMark/>
          </w:tcPr>
          <w:p w14:paraId="62F9DD8E"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2.3</w:t>
            </w:r>
          </w:p>
        </w:tc>
        <w:tc>
          <w:tcPr>
            <w:tcW w:w="559" w:type="dxa"/>
            <w:tcBorders>
              <w:top w:val="nil"/>
              <w:left w:val="nil"/>
              <w:bottom w:val="nil"/>
              <w:right w:val="nil"/>
            </w:tcBorders>
            <w:shd w:val="clear" w:color="auto" w:fill="auto"/>
            <w:vAlign w:val="center"/>
            <w:hideMark/>
          </w:tcPr>
          <w:p w14:paraId="26B580D5" w14:textId="77777777" w:rsidR="000F6636" w:rsidRPr="00F26CB9" w:rsidRDefault="000F6636" w:rsidP="00484DB0">
            <w:pPr>
              <w:contextualSpacing/>
              <w:jc w:val="center"/>
              <w:rPr>
                <w:rFonts w:cs="Calibri"/>
                <w:color w:val="000000"/>
                <w:sz w:val="16"/>
                <w:szCs w:val="16"/>
              </w:rPr>
            </w:pPr>
            <w:r w:rsidRPr="002456CC">
              <w:rPr>
                <w:rFonts w:cs="Calibri"/>
                <w:color w:val="000000"/>
                <w:sz w:val="16"/>
                <w:szCs w:val="16"/>
              </w:rPr>
              <w:t>2.2</w:t>
            </w:r>
          </w:p>
        </w:tc>
      </w:tr>
      <w:tr w:rsidR="000F6636" w:rsidRPr="008E295D" w14:paraId="06166C82" w14:textId="77777777" w:rsidTr="00484DB0">
        <w:trPr>
          <w:gridAfter w:val="2"/>
          <w:wAfter w:w="78" w:type="dxa"/>
          <w:trHeight w:val="276"/>
          <w:jc w:val="center"/>
        </w:trPr>
        <w:tc>
          <w:tcPr>
            <w:tcW w:w="9072" w:type="dxa"/>
            <w:gridSpan w:val="10"/>
            <w:tcBorders>
              <w:top w:val="single" w:sz="8" w:space="0" w:color="auto"/>
              <w:left w:val="nil"/>
              <w:bottom w:val="nil"/>
              <w:right w:val="nil"/>
            </w:tcBorders>
            <w:shd w:val="clear" w:color="auto" w:fill="auto"/>
            <w:noWrap/>
            <w:vAlign w:val="center"/>
            <w:hideMark/>
          </w:tcPr>
          <w:p w14:paraId="7E6842C3" w14:textId="77777777" w:rsidR="000F6636" w:rsidRPr="008E295D" w:rsidRDefault="000F6636" w:rsidP="00484DB0">
            <w:pPr>
              <w:rPr>
                <w:rFonts w:cs="Times New Roman"/>
                <w:i/>
                <w:iCs/>
                <w:color w:val="000000"/>
                <w:sz w:val="16"/>
                <w:szCs w:val="16"/>
              </w:rPr>
            </w:pPr>
            <w:r w:rsidRPr="008E295D">
              <w:rPr>
                <w:rFonts w:cs="Times New Roman"/>
                <w:i/>
                <w:iCs/>
                <w:color w:val="000000"/>
                <w:sz w:val="16"/>
                <w:szCs w:val="16"/>
              </w:rPr>
              <w:t>* Výbor pre makroekonomické prognózy                                                                                                             Zdroj: Výbor pre makroekonomické prognózy</w:t>
            </w:r>
          </w:p>
          <w:p w14:paraId="00D6245C" w14:textId="77777777" w:rsidR="000F6636" w:rsidRPr="008E295D" w:rsidRDefault="000F6636" w:rsidP="00484DB0">
            <w:pPr>
              <w:rPr>
                <w:rFonts w:cs="Times New Roman"/>
                <w:i/>
                <w:iCs/>
                <w:color w:val="000000"/>
                <w:sz w:val="16"/>
                <w:szCs w:val="16"/>
              </w:rPr>
            </w:pPr>
            <w:r w:rsidRPr="008E295D">
              <w:rPr>
                <w:rFonts w:cs="Times New Roman"/>
                <w:i/>
                <w:iCs/>
                <w:color w:val="000000"/>
                <w:sz w:val="16"/>
                <w:szCs w:val="16"/>
              </w:rPr>
              <w:t>** Prognóza HDP v bežných cenách členov výboru bola založená na nerevidovaných hodnotách</w:t>
            </w:r>
          </w:p>
          <w:p w14:paraId="323D9818" w14:textId="77777777" w:rsidR="000F6636" w:rsidRPr="008E295D" w:rsidRDefault="000F6636" w:rsidP="00484DB0">
            <w:pPr>
              <w:rPr>
                <w:rFonts w:cs="Times New Roman"/>
                <w:i/>
                <w:iCs/>
                <w:color w:val="000000"/>
                <w:sz w:val="16"/>
                <w:szCs w:val="16"/>
              </w:rPr>
            </w:pPr>
          </w:p>
          <w:p w14:paraId="00008CD1" w14:textId="77777777" w:rsidR="000F6636" w:rsidRPr="008E295D" w:rsidRDefault="000F6636" w:rsidP="00484DB0">
            <w:pPr>
              <w:rPr>
                <w:rFonts w:cs="Times New Roman"/>
                <w:i/>
                <w:iCs/>
                <w:color w:val="000000"/>
                <w:sz w:val="16"/>
                <w:szCs w:val="16"/>
              </w:rPr>
            </w:pPr>
          </w:p>
          <w:p w14:paraId="3026E077" w14:textId="77777777" w:rsidR="000F6636" w:rsidRPr="008E295D" w:rsidRDefault="000F6636" w:rsidP="00484DB0">
            <w:pPr>
              <w:rPr>
                <w:rFonts w:cs="Times New Roman"/>
                <w:i/>
                <w:iCs/>
                <w:color w:val="000000"/>
                <w:sz w:val="16"/>
                <w:szCs w:val="16"/>
              </w:rPr>
            </w:pPr>
          </w:p>
          <w:p w14:paraId="5E7E0FB5" w14:textId="77777777" w:rsidR="000F6636" w:rsidRPr="008E295D" w:rsidRDefault="000F6636" w:rsidP="00484DB0">
            <w:pPr>
              <w:rPr>
                <w:rFonts w:cs="Times New Roman"/>
                <w:i/>
                <w:iCs/>
                <w:color w:val="000000"/>
                <w:sz w:val="16"/>
                <w:szCs w:val="16"/>
              </w:rPr>
            </w:pPr>
          </w:p>
          <w:p w14:paraId="252D73E7" w14:textId="77777777" w:rsidR="000F6636" w:rsidRPr="008E295D" w:rsidRDefault="000F6636" w:rsidP="00484DB0">
            <w:pPr>
              <w:rPr>
                <w:rFonts w:cs="Times New Roman"/>
                <w:i/>
                <w:iCs/>
                <w:color w:val="000000"/>
                <w:sz w:val="16"/>
                <w:szCs w:val="16"/>
              </w:rPr>
            </w:pPr>
          </w:p>
          <w:p w14:paraId="5BC41851" w14:textId="77777777" w:rsidR="000F6636" w:rsidRPr="008E295D" w:rsidRDefault="000F6636" w:rsidP="00484DB0">
            <w:pPr>
              <w:rPr>
                <w:rFonts w:cs="Times New Roman"/>
                <w:i/>
                <w:iCs/>
                <w:color w:val="000000"/>
                <w:sz w:val="16"/>
                <w:szCs w:val="16"/>
              </w:rPr>
            </w:pPr>
          </w:p>
          <w:p w14:paraId="0CE5CC7F" w14:textId="77777777" w:rsidR="000F6636" w:rsidRPr="008E295D" w:rsidRDefault="000F6636" w:rsidP="00484DB0">
            <w:pPr>
              <w:rPr>
                <w:rFonts w:cs="Times New Roman"/>
                <w:i/>
                <w:iCs/>
                <w:color w:val="000000"/>
                <w:sz w:val="16"/>
                <w:szCs w:val="16"/>
              </w:rPr>
            </w:pPr>
          </w:p>
          <w:p w14:paraId="66E2DB48" w14:textId="77777777" w:rsidR="000F6636" w:rsidRDefault="000F6636" w:rsidP="00484DB0">
            <w:pPr>
              <w:rPr>
                <w:rFonts w:cs="Times New Roman"/>
                <w:i/>
                <w:iCs/>
                <w:color w:val="000000"/>
                <w:sz w:val="16"/>
                <w:szCs w:val="16"/>
              </w:rPr>
            </w:pPr>
          </w:p>
          <w:p w14:paraId="28034D5F" w14:textId="77777777" w:rsidR="000F6636" w:rsidRDefault="000F6636" w:rsidP="00484DB0">
            <w:pPr>
              <w:rPr>
                <w:rFonts w:cs="Times New Roman"/>
                <w:i/>
                <w:iCs/>
                <w:color w:val="000000"/>
                <w:sz w:val="16"/>
                <w:szCs w:val="16"/>
              </w:rPr>
            </w:pPr>
          </w:p>
          <w:p w14:paraId="21BC04CA" w14:textId="77777777" w:rsidR="000F6636" w:rsidRDefault="000F6636" w:rsidP="00484DB0">
            <w:pPr>
              <w:rPr>
                <w:rFonts w:cs="Times New Roman"/>
                <w:i/>
                <w:iCs/>
                <w:color w:val="000000"/>
                <w:sz w:val="16"/>
                <w:szCs w:val="16"/>
              </w:rPr>
            </w:pPr>
          </w:p>
          <w:p w14:paraId="4510739A" w14:textId="77777777" w:rsidR="000F6636" w:rsidRDefault="000F6636" w:rsidP="00484DB0">
            <w:pPr>
              <w:rPr>
                <w:rFonts w:cs="Times New Roman"/>
                <w:i/>
                <w:iCs/>
                <w:color w:val="000000"/>
                <w:sz w:val="16"/>
                <w:szCs w:val="16"/>
              </w:rPr>
            </w:pPr>
          </w:p>
          <w:p w14:paraId="232FB9F5" w14:textId="77777777" w:rsidR="000F6636" w:rsidRDefault="000F6636" w:rsidP="00484DB0">
            <w:pPr>
              <w:rPr>
                <w:rFonts w:cs="Times New Roman"/>
                <w:i/>
                <w:iCs/>
                <w:color w:val="000000"/>
                <w:sz w:val="16"/>
                <w:szCs w:val="16"/>
              </w:rPr>
            </w:pPr>
          </w:p>
          <w:p w14:paraId="78FDABC4" w14:textId="77777777" w:rsidR="000F6636" w:rsidRDefault="000F6636" w:rsidP="00484DB0">
            <w:pPr>
              <w:rPr>
                <w:rFonts w:cs="Times New Roman"/>
                <w:i/>
                <w:iCs/>
                <w:color w:val="000000"/>
                <w:sz w:val="16"/>
                <w:szCs w:val="16"/>
              </w:rPr>
            </w:pPr>
          </w:p>
          <w:p w14:paraId="36B36E26" w14:textId="77777777" w:rsidR="000F6636" w:rsidRDefault="000F6636" w:rsidP="00484DB0">
            <w:pPr>
              <w:rPr>
                <w:rFonts w:cs="Times New Roman"/>
                <w:i/>
                <w:iCs/>
                <w:color w:val="000000"/>
                <w:sz w:val="16"/>
                <w:szCs w:val="16"/>
              </w:rPr>
            </w:pPr>
          </w:p>
          <w:p w14:paraId="1C9569AB" w14:textId="77777777" w:rsidR="000F6636" w:rsidRDefault="000F6636" w:rsidP="00484DB0">
            <w:pPr>
              <w:rPr>
                <w:rFonts w:cs="Times New Roman"/>
                <w:i/>
                <w:iCs/>
                <w:color w:val="000000"/>
                <w:sz w:val="16"/>
                <w:szCs w:val="16"/>
              </w:rPr>
            </w:pPr>
          </w:p>
          <w:p w14:paraId="2B039200" w14:textId="77777777" w:rsidR="000F6636" w:rsidRDefault="000F6636" w:rsidP="00484DB0">
            <w:pPr>
              <w:rPr>
                <w:rFonts w:cs="Times New Roman"/>
                <w:i/>
                <w:iCs/>
                <w:color w:val="000000"/>
                <w:sz w:val="16"/>
                <w:szCs w:val="16"/>
              </w:rPr>
            </w:pPr>
          </w:p>
          <w:p w14:paraId="4304CB6A" w14:textId="77777777" w:rsidR="000F6636" w:rsidRDefault="000F6636" w:rsidP="00484DB0">
            <w:pPr>
              <w:rPr>
                <w:rFonts w:cs="Times New Roman"/>
                <w:i/>
                <w:iCs/>
                <w:color w:val="000000"/>
                <w:sz w:val="16"/>
                <w:szCs w:val="16"/>
              </w:rPr>
            </w:pPr>
          </w:p>
          <w:p w14:paraId="29FC6AF0" w14:textId="77777777" w:rsidR="000F6636" w:rsidRPr="008E295D" w:rsidRDefault="000F6636" w:rsidP="00484DB0">
            <w:pPr>
              <w:rPr>
                <w:rFonts w:cs="Times New Roman"/>
                <w:i/>
                <w:iCs/>
                <w:color w:val="000000"/>
                <w:sz w:val="16"/>
                <w:szCs w:val="16"/>
              </w:rPr>
            </w:pPr>
          </w:p>
          <w:p w14:paraId="539F5353" w14:textId="77777777" w:rsidR="000F6636" w:rsidRPr="008E295D" w:rsidRDefault="000F6636" w:rsidP="00484DB0">
            <w:pPr>
              <w:rPr>
                <w:rFonts w:cs="Times New Roman"/>
                <w:i/>
                <w:iCs/>
                <w:color w:val="000000"/>
                <w:sz w:val="16"/>
                <w:szCs w:val="16"/>
              </w:rPr>
            </w:pPr>
          </w:p>
          <w:p w14:paraId="224C84B3" w14:textId="77777777" w:rsidR="000F6636" w:rsidRPr="008E295D" w:rsidRDefault="000F6636" w:rsidP="00484DB0">
            <w:pPr>
              <w:rPr>
                <w:rFonts w:cs="Times New Roman"/>
                <w:i/>
                <w:iCs/>
                <w:color w:val="000000"/>
                <w:sz w:val="16"/>
                <w:szCs w:val="16"/>
              </w:rPr>
            </w:pPr>
          </w:p>
          <w:p w14:paraId="6C8B8FEE" w14:textId="77777777" w:rsidR="000F6636" w:rsidRPr="008E295D" w:rsidRDefault="000F6636" w:rsidP="00484DB0">
            <w:pPr>
              <w:rPr>
                <w:rFonts w:cs="Times New Roman"/>
                <w:i/>
                <w:iCs/>
                <w:color w:val="000000"/>
                <w:sz w:val="16"/>
                <w:szCs w:val="16"/>
              </w:rPr>
            </w:pPr>
          </w:p>
          <w:p w14:paraId="411D938C" w14:textId="77777777" w:rsidR="000F6636" w:rsidRPr="008E295D" w:rsidRDefault="000F6636" w:rsidP="00484DB0">
            <w:pPr>
              <w:rPr>
                <w:rFonts w:cs="Times New Roman"/>
                <w:i/>
                <w:iCs/>
                <w:color w:val="000000"/>
                <w:sz w:val="16"/>
                <w:szCs w:val="16"/>
              </w:rPr>
            </w:pPr>
          </w:p>
          <w:p w14:paraId="26B245E4" w14:textId="77777777" w:rsidR="000F6636" w:rsidRPr="008E295D" w:rsidRDefault="000F6636" w:rsidP="00484DB0">
            <w:pPr>
              <w:rPr>
                <w:rFonts w:cs="Times New Roman"/>
                <w:i/>
                <w:iCs/>
                <w:color w:val="000000"/>
                <w:sz w:val="16"/>
                <w:szCs w:val="16"/>
              </w:rPr>
            </w:pPr>
          </w:p>
          <w:p w14:paraId="2030021D" w14:textId="77777777" w:rsidR="000F6636" w:rsidRPr="008E295D" w:rsidRDefault="000F6636" w:rsidP="00484DB0">
            <w:pPr>
              <w:rPr>
                <w:rFonts w:cs="Times New Roman"/>
                <w:i/>
                <w:iCs/>
                <w:color w:val="000000"/>
                <w:sz w:val="16"/>
                <w:szCs w:val="16"/>
              </w:rPr>
            </w:pPr>
          </w:p>
          <w:p w14:paraId="6CCDD48B" w14:textId="77777777" w:rsidR="000F6636" w:rsidRPr="008E295D" w:rsidRDefault="000F6636" w:rsidP="00484DB0">
            <w:pPr>
              <w:rPr>
                <w:rFonts w:cs="Times New Roman"/>
                <w:i/>
                <w:iCs/>
                <w:color w:val="000000"/>
                <w:sz w:val="16"/>
                <w:szCs w:val="16"/>
              </w:rPr>
            </w:pPr>
          </w:p>
          <w:p w14:paraId="2F5FD9AC" w14:textId="77777777" w:rsidR="000F6636" w:rsidRPr="008E295D" w:rsidRDefault="000F6636" w:rsidP="00484DB0">
            <w:pPr>
              <w:rPr>
                <w:rFonts w:cs="Times New Roman"/>
                <w:i/>
                <w:iCs/>
                <w:color w:val="000000"/>
                <w:sz w:val="16"/>
                <w:szCs w:val="16"/>
              </w:rPr>
            </w:pPr>
          </w:p>
          <w:p w14:paraId="0B2E7B06" w14:textId="77777777" w:rsidR="000F6636" w:rsidRPr="008E295D" w:rsidRDefault="000F6636" w:rsidP="00484DB0">
            <w:pPr>
              <w:rPr>
                <w:rFonts w:cs="Times New Roman"/>
                <w:i/>
                <w:iCs/>
                <w:color w:val="000000"/>
                <w:sz w:val="16"/>
                <w:szCs w:val="16"/>
              </w:rPr>
            </w:pPr>
          </w:p>
          <w:p w14:paraId="11323900" w14:textId="77777777" w:rsidR="000F6636" w:rsidRPr="008E295D" w:rsidRDefault="000F6636" w:rsidP="00484DB0">
            <w:pPr>
              <w:rPr>
                <w:rFonts w:cs="Times New Roman"/>
                <w:i/>
                <w:iCs/>
                <w:color w:val="000000"/>
                <w:sz w:val="16"/>
                <w:szCs w:val="16"/>
              </w:rPr>
            </w:pPr>
          </w:p>
          <w:p w14:paraId="4EC161BB" w14:textId="77777777" w:rsidR="000F6636" w:rsidRPr="008E295D" w:rsidRDefault="000F6636" w:rsidP="00484DB0">
            <w:pPr>
              <w:rPr>
                <w:rFonts w:cs="Times New Roman"/>
                <w:i/>
                <w:iCs/>
                <w:color w:val="000000"/>
                <w:sz w:val="16"/>
                <w:szCs w:val="16"/>
              </w:rPr>
            </w:pPr>
          </w:p>
          <w:p w14:paraId="6BCF2DA1" w14:textId="77777777" w:rsidR="000F6636" w:rsidRPr="008E295D" w:rsidRDefault="000F6636" w:rsidP="00484DB0">
            <w:pPr>
              <w:rPr>
                <w:rFonts w:cs="Times New Roman"/>
                <w:i/>
                <w:iCs/>
                <w:color w:val="000000"/>
                <w:sz w:val="16"/>
                <w:szCs w:val="16"/>
              </w:rPr>
            </w:pPr>
          </w:p>
        </w:tc>
      </w:tr>
      <w:tr w:rsidR="000F6636" w:rsidRPr="008E295D" w14:paraId="24FAD8F6" w14:textId="77777777" w:rsidTr="00484DB0">
        <w:tblPrEx>
          <w:tblLook w:val="0000" w:firstRow="0" w:lastRow="0" w:firstColumn="0" w:lastColumn="0" w:noHBand="0" w:noVBand="0"/>
        </w:tblPrEx>
        <w:trPr>
          <w:trHeight w:val="277"/>
          <w:jc w:val="center"/>
        </w:trPr>
        <w:tc>
          <w:tcPr>
            <w:tcW w:w="9150" w:type="dxa"/>
            <w:gridSpan w:val="12"/>
            <w:tcBorders>
              <w:top w:val="nil"/>
              <w:left w:val="nil"/>
              <w:bottom w:val="single" w:sz="4" w:space="0" w:color="auto"/>
              <w:right w:val="nil"/>
            </w:tcBorders>
            <w:shd w:val="clear" w:color="auto" w:fill="auto"/>
            <w:vAlign w:val="center"/>
          </w:tcPr>
          <w:p w14:paraId="254D63D0" w14:textId="77066E56" w:rsidR="000F6636" w:rsidRPr="008E295D" w:rsidRDefault="000F6636" w:rsidP="000A22C5">
            <w:pPr>
              <w:pStyle w:val="Graf"/>
              <w:spacing w:after="0"/>
            </w:pPr>
            <w:bookmarkStart w:id="207" w:name="_Toc53499529"/>
            <w:bookmarkStart w:id="208" w:name="_Toc85888047"/>
            <w:bookmarkStart w:id="209" w:name="_Toc117765275"/>
            <w:bookmarkStart w:id="210" w:name="_Toc164684584"/>
            <w:r w:rsidRPr="00BB47A0">
              <w:lastRenderedPageBreak/>
              <w:t xml:space="preserve">GRAF </w:t>
            </w:r>
            <w:r w:rsidR="007B0020" w:rsidRPr="00664E8C">
              <w:rPr>
                <w:color w:val="2C9ADC"/>
                <w:szCs w:val="20"/>
              </w:rPr>
              <w:fldChar w:fldCharType="begin"/>
            </w:r>
            <w:r w:rsidR="007B0020" w:rsidRPr="00664E8C">
              <w:rPr>
                <w:color w:val="2C9ADC"/>
                <w:szCs w:val="20"/>
              </w:rPr>
              <w:instrText xml:space="preserve"> SEQ GRAF \* ARABIC </w:instrText>
            </w:r>
            <w:r w:rsidR="007B0020" w:rsidRPr="00664E8C">
              <w:rPr>
                <w:color w:val="2C9ADC"/>
                <w:szCs w:val="20"/>
              </w:rPr>
              <w:fldChar w:fldCharType="separate"/>
            </w:r>
            <w:r w:rsidR="007435E9">
              <w:rPr>
                <w:noProof/>
                <w:color w:val="2C9ADC"/>
                <w:szCs w:val="20"/>
              </w:rPr>
              <w:t>19</w:t>
            </w:r>
            <w:r w:rsidR="007B0020" w:rsidRPr="00664E8C">
              <w:rPr>
                <w:color w:val="2C9ADC"/>
                <w:szCs w:val="20"/>
              </w:rPr>
              <w:fldChar w:fldCharType="end"/>
            </w:r>
            <w:r w:rsidRPr="00BB47A0">
              <w:t xml:space="preserve"> – Porovnanie prognóz makroekonomických základní</w:t>
            </w:r>
            <w:r w:rsidRPr="00BB47A0">
              <w:rPr>
                <w:vertAlign w:val="superscript"/>
              </w:rPr>
              <w:footnoteReference w:id="48"/>
            </w:r>
            <w:r w:rsidRPr="00BB47A0">
              <w:t xml:space="preserve"> pre rozpočtové príjmy s členmi výboru</w:t>
            </w:r>
            <w:bookmarkEnd w:id="207"/>
            <w:bookmarkEnd w:id="208"/>
            <w:bookmarkEnd w:id="209"/>
            <w:bookmarkEnd w:id="210"/>
          </w:p>
        </w:tc>
      </w:tr>
      <w:tr w:rsidR="000F6636" w:rsidRPr="008E295D" w14:paraId="3EFC1E76" w14:textId="77777777" w:rsidTr="00484DB0">
        <w:tblPrEx>
          <w:tblLook w:val="0000" w:firstRow="0" w:lastRow="0" w:firstColumn="0" w:lastColumn="0" w:noHBand="0" w:noVBand="0"/>
        </w:tblPrEx>
        <w:trPr>
          <w:trHeight w:val="2353"/>
          <w:jc w:val="center"/>
        </w:trPr>
        <w:tc>
          <w:tcPr>
            <w:tcW w:w="9150" w:type="dxa"/>
            <w:gridSpan w:val="12"/>
            <w:tcBorders>
              <w:top w:val="single" w:sz="4" w:space="0" w:color="auto"/>
              <w:left w:val="nil"/>
              <w:bottom w:val="single" w:sz="4" w:space="0" w:color="auto"/>
              <w:right w:val="nil"/>
            </w:tcBorders>
            <w:shd w:val="clear" w:color="auto" w:fill="auto"/>
          </w:tcPr>
          <w:p w14:paraId="46622A43" w14:textId="77777777" w:rsidR="000F6636" w:rsidRPr="008E295D" w:rsidRDefault="000F6636" w:rsidP="00484DB0">
            <w:pPr>
              <w:jc w:val="center"/>
              <w:rPr>
                <w:rFonts w:cs="Arial"/>
                <w:b/>
                <w:bCs/>
                <w:sz w:val="16"/>
                <w:szCs w:val="16"/>
              </w:rPr>
            </w:pPr>
            <w:r>
              <w:rPr>
                <w:noProof/>
              </w:rPr>
              <w:drawing>
                <wp:inline distT="0" distB="0" distL="0" distR="0" wp14:anchorId="2BC8E5D4" wp14:editId="5EB00524">
                  <wp:extent cx="5262113" cy="1949569"/>
                  <wp:effectExtent l="0" t="0" r="0" b="0"/>
                  <wp:docPr id="4" name="Graf 4">
                    <a:extLst xmlns:a="http://schemas.openxmlformats.org/drawingml/2006/main">
                      <a:ext uri="{FF2B5EF4-FFF2-40B4-BE49-F238E27FC236}">
                        <a16:creationId xmlns:a16="http://schemas.microsoft.com/office/drawing/2014/main" id="{1C7D435F-39C7-49BE-87E3-144EADF8B2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0F6636" w:rsidRPr="008E295D" w14:paraId="75FBE240" w14:textId="77777777" w:rsidTr="00484DB0">
        <w:tblPrEx>
          <w:tblLook w:val="0000" w:firstRow="0" w:lastRow="0" w:firstColumn="0" w:lastColumn="0" w:noHBand="0" w:noVBand="0"/>
        </w:tblPrEx>
        <w:trPr>
          <w:trHeight w:val="58"/>
          <w:jc w:val="center"/>
        </w:trPr>
        <w:tc>
          <w:tcPr>
            <w:tcW w:w="9150" w:type="dxa"/>
            <w:gridSpan w:val="12"/>
            <w:tcBorders>
              <w:top w:val="single" w:sz="4" w:space="0" w:color="auto"/>
              <w:left w:val="nil"/>
              <w:right w:val="nil"/>
            </w:tcBorders>
            <w:shd w:val="clear" w:color="auto" w:fill="auto"/>
          </w:tcPr>
          <w:p w14:paraId="692971B3" w14:textId="77777777" w:rsidR="000F6636" w:rsidRPr="008E295D" w:rsidRDefault="000F6636" w:rsidP="00484DB0">
            <w:pPr>
              <w:ind w:left="360"/>
              <w:jc w:val="right"/>
              <w:rPr>
                <w:rFonts w:cs="Arial"/>
                <w:i/>
                <w:iCs/>
                <w:sz w:val="16"/>
                <w:szCs w:val="16"/>
              </w:rPr>
            </w:pPr>
            <w:r w:rsidRPr="008E295D">
              <w:rPr>
                <w:rFonts w:cs="Times New Roman"/>
                <w:i/>
                <w:sz w:val="16"/>
                <w:szCs w:val="14"/>
              </w:rPr>
              <w:t>Zdroj: MF SR</w:t>
            </w:r>
            <w:r w:rsidRPr="008E295D">
              <w:rPr>
                <w:rFonts w:cs="Arial"/>
                <w:i/>
                <w:iCs/>
                <w:sz w:val="16"/>
                <w:szCs w:val="16"/>
              </w:rPr>
              <w:t xml:space="preserve"> </w:t>
            </w:r>
          </w:p>
        </w:tc>
      </w:tr>
      <w:tr w:rsidR="000F6636" w:rsidRPr="008E295D" w14:paraId="01955553" w14:textId="77777777" w:rsidTr="00484DB0">
        <w:tblPrEx>
          <w:tblLook w:val="0000" w:firstRow="0" w:lastRow="0" w:firstColumn="0" w:lastColumn="0" w:noHBand="0" w:noVBand="0"/>
        </w:tblPrEx>
        <w:trPr>
          <w:trHeight w:val="58"/>
          <w:jc w:val="center"/>
        </w:trPr>
        <w:tc>
          <w:tcPr>
            <w:tcW w:w="9150" w:type="dxa"/>
            <w:gridSpan w:val="12"/>
            <w:tcBorders>
              <w:left w:val="nil"/>
              <w:bottom w:val="nil"/>
              <w:right w:val="nil"/>
            </w:tcBorders>
            <w:shd w:val="clear" w:color="auto" w:fill="auto"/>
          </w:tcPr>
          <w:p w14:paraId="5B23A59D" w14:textId="77777777" w:rsidR="000F6636" w:rsidRPr="008E295D" w:rsidRDefault="000F6636" w:rsidP="00484DB0">
            <w:pPr>
              <w:ind w:left="360"/>
              <w:jc w:val="right"/>
              <w:rPr>
                <w:rFonts w:cs="Times New Roman"/>
                <w:i/>
                <w:sz w:val="16"/>
                <w:szCs w:val="14"/>
              </w:rPr>
            </w:pPr>
          </w:p>
        </w:tc>
      </w:tr>
      <w:tr w:rsidR="000F6636" w:rsidRPr="007C2DC9" w14:paraId="6D6E9058" w14:textId="77777777" w:rsidTr="00484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108" w:type="dxa"/>
            <w:right w:w="108" w:type="dxa"/>
          </w:tblCellMar>
          <w:tblLook w:val="0000" w:firstRow="0" w:lastRow="0" w:firstColumn="0" w:lastColumn="0" w:noHBand="0" w:noVBand="0"/>
        </w:tblPrEx>
        <w:trPr>
          <w:gridAfter w:val="1"/>
          <w:wAfter w:w="60" w:type="dxa"/>
          <w:trHeight w:val="70"/>
          <w:jc w:val="center"/>
        </w:trPr>
        <w:tc>
          <w:tcPr>
            <w:tcW w:w="9090" w:type="dxa"/>
            <w:gridSpan w:val="11"/>
            <w:tcBorders>
              <w:top w:val="nil"/>
              <w:left w:val="nil"/>
              <w:bottom w:val="nil"/>
              <w:right w:val="nil"/>
            </w:tcBorders>
            <w:shd w:val="clear" w:color="auto" w:fill="AAD3F2"/>
          </w:tcPr>
          <w:p w14:paraId="58F70A19" w14:textId="3C93EACF" w:rsidR="000F6636" w:rsidRPr="008B7735" w:rsidRDefault="000F6636" w:rsidP="00484DB0">
            <w:pPr>
              <w:pStyle w:val="Box"/>
              <w:spacing w:after="120" w:line="276" w:lineRule="auto"/>
              <w:rPr>
                <w:color w:val="2C9ADC"/>
                <w:sz w:val="22"/>
              </w:rPr>
            </w:pPr>
            <w:bookmarkStart w:id="211" w:name="_Toc53499435"/>
            <w:bookmarkStart w:id="212" w:name="_Toc85887877"/>
            <w:bookmarkStart w:id="213" w:name="_Toc117765217"/>
            <w:bookmarkStart w:id="214" w:name="_Toc152932686"/>
            <w:bookmarkStart w:id="215" w:name="_Toc164684549"/>
            <w:r w:rsidRPr="008B7735">
              <w:rPr>
                <w:color w:val="2C9ADC"/>
                <w:sz w:val="22"/>
                <w:szCs w:val="22"/>
              </w:rPr>
              <w:t xml:space="preserve">BOX </w:t>
            </w:r>
            <w:r w:rsidRPr="008B7735">
              <w:rPr>
                <w:b w:val="0"/>
                <w:color w:val="2C9ADC" w:themeColor="accent1"/>
                <w:sz w:val="22"/>
                <w:szCs w:val="22"/>
              </w:rPr>
              <w:fldChar w:fldCharType="begin"/>
            </w:r>
            <w:r w:rsidRPr="008B7735">
              <w:rPr>
                <w:color w:val="2C9ADC" w:themeColor="accent1"/>
                <w:sz w:val="22"/>
                <w:szCs w:val="22"/>
              </w:rPr>
              <w:instrText xml:space="preserve"> SEQ BOX \* ARABIC </w:instrText>
            </w:r>
            <w:r w:rsidRPr="008B7735">
              <w:rPr>
                <w:b w:val="0"/>
                <w:color w:val="2C9ADC" w:themeColor="accent1"/>
                <w:sz w:val="22"/>
                <w:szCs w:val="22"/>
              </w:rPr>
              <w:fldChar w:fldCharType="separate"/>
            </w:r>
            <w:r w:rsidR="007435E9">
              <w:rPr>
                <w:noProof/>
                <w:color w:val="2C9ADC" w:themeColor="accent1"/>
                <w:sz w:val="22"/>
                <w:szCs w:val="22"/>
              </w:rPr>
              <w:t>5</w:t>
            </w:r>
            <w:r w:rsidRPr="008B7735">
              <w:rPr>
                <w:b w:val="0"/>
                <w:color w:val="2C9ADC" w:themeColor="accent1"/>
                <w:sz w:val="22"/>
                <w:szCs w:val="22"/>
              </w:rPr>
              <w:fldChar w:fldCharType="end"/>
            </w:r>
            <w:r w:rsidRPr="008B7735">
              <w:rPr>
                <w:noProof/>
                <w:color w:val="2C9ADC"/>
                <w:sz w:val="22"/>
                <w:szCs w:val="22"/>
              </w:rPr>
              <w:t xml:space="preserve"> </w:t>
            </w:r>
            <w:r w:rsidRPr="008B7735">
              <w:rPr>
                <w:color w:val="2C9ADC"/>
                <w:sz w:val="22"/>
                <w:szCs w:val="22"/>
              </w:rPr>
              <w:t>– Nezávislé Výbory pre odhad makroekonomického vývoja a odhad vývoja daňových príjmov</w:t>
            </w:r>
            <w:bookmarkEnd w:id="211"/>
            <w:bookmarkEnd w:id="212"/>
            <w:bookmarkEnd w:id="213"/>
            <w:bookmarkEnd w:id="214"/>
            <w:bookmarkEnd w:id="215"/>
          </w:p>
          <w:p w14:paraId="184B3CB9" w14:textId="77777777" w:rsidR="000F6636" w:rsidRPr="008B7735" w:rsidRDefault="000F6636" w:rsidP="00484DB0">
            <w:pPr>
              <w:spacing w:before="120" w:after="120"/>
              <w:jc w:val="both"/>
              <w:rPr>
                <w:rFonts w:cs="Times New Roman"/>
                <w:szCs w:val="20"/>
              </w:rPr>
            </w:pPr>
            <w:r w:rsidRPr="008B7735">
              <w:rPr>
                <w:rFonts w:cs="Times New Roman"/>
                <w:b/>
                <w:szCs w:val="20"/>
              </w:rPr>
              <w:t>Výbor pre makroekonomické prognózy a Výbor pre daňové prognózy sú zriadené v súlade ústavným zákonom 493/2011 Z. z. o rozpočtovej zodpovednosti</w:t>
            </w:r>
            <w:r w:rsidRPr="008B7735">
              <w:rPr>
                <w:rFonts w:cs="Times New Roman"/>
                <w:szCs w:val="20"/>
              </w:rPr>
              <w:t xml:space="preserve"> ako poradný orgán ministra financií. Cieľom výborov je dosiahnuť vyššiu transparentnosť, objektívnosť a kvalitu makroekonomických a daňových prognóz. Výbory podľa ústavného zákona vypracúvajú prognózy minimálne dvakrát ročne, do 15. februára a do 30. júna bežného rozpočtového roka. No bežne podľa dlhoročne zaužívanej praxe, pre účely rozpočtového procesu, vypracovávajú prognózy aj do konca septembra. V mimoriadnych prípadoch môže zasadnutie výboru zvolať predseda výboru, minister financií, alebo nadpolovičná väčšina členov výboru. </w:t>
            </w:r>
          </w:p>
          <w:p w14:paraId="196549C5" w14:textId="77777777" w:rsidR="000F6636" w:rsidRPr="008B7735" w:rsidRDefault="000F6636" w:rsidP="00484DB0">
            <w:pPr>
              <w:spacing w:before="120" w:after="120"/>
              <w:jc w:val="both"/>
              <w:rPr>
                <w:szCs w:val="20"/>
              </w:rPr>
            </w:pPr>
            <w:r w:rsidRPr="008B7735">
              <w:rPr>
                <w:b/>
                <w:szCs w:val="20"/>
              </w:rPr>
              <w:t>Členmi výborov sú okrem ministerstva financií</w:t>
            </w:r>
            <w:r w:rsidRPr="008B7735">
              <w:rPr>
                <w:szCs w:val="20"/>
              </w:rPr>
              <w:t xml:space="preserve"> </w:t>
            </w:r>
            <w:r w:rsidRPr="008B7735">
              <w:rPr>
                <w:b/>
                <w:szCs w:val="20"/>
              </w:rPr>
              <w:t>zástupcovia od vlády nezávislých inštitúcií</w:t>
            </w:r>
            <w:r w:rsidRPr="008B7735">
              <w:rPr>
                <w:szCs w:val="20"/>
              </w:rPr>
              <w:t xml:space="preserve"> (NBS, SAV, Infostat a súkromné banky). Členovia Výboru pre makroekonomické prognózy hodnotia makroekonomickú prognózu Ministerstva financií slovne slovami </w:t>
            </w:r>
            <w:r w:rsidRPr="008B7735">
              <w:rPr>
                <w:i/>
                <w:szCs w:val="20"/>
              </w:rPr>
              <w:t xml:space="preserve">konzervatívna, optimistická </w:t>
            </w:r>
            <w:r w:rsidRPr="008B7735">
              <w:rPr>
                <w:szCs w:val="20"/>
              </w:rPr>
              <w:t xml:space="preserve">alebo </w:t>
            </w:r>
            <w:r w:rsidRPr="008B7735">
              <w:rPr>
                <w:i/>
                <w:szCs w:val="20"/>
              </w:rPr>
              <w:t>realistická</w:t>
            </w:r>
            <w:r w:rsidRPr="008B7735">
              <w:rPr>
                <w:szCs w:val="20"/>
              </w:rPr>
              <w:t xml:space="preserve">. Daňovú prognózu Ministerstva financií členovia Výboru pre daňové prognózy hodnotia zaslaním svojej prognózy, ich hodnotenie sa vypočíta automaticky na základe odchýlky. </w:t>
            </w:r>
            <w:r w:rsidRPr="008B7735">
              <w:rPr>
                <w:b/>
                <w:szCs w:val="20"/>
              </w:rPr>
              <w:t>Prognóza ministerstva financií</w:t>
            </w:r>
            <w:r w:rsidRPr="008B7735">
              <w:rPr>
                <w:szCs w:val="20"/>
              </w:rPr>
              <w:t xml:space="preserve"> </w:t>
            </w:r>
            <w:r w:rsidRPr="008B7735">
              <w:rPr>
                <w:b/>
                <w:szCs w:val="20"/>
              </w:rPr>
              <w:t xml:space="preserve">je prijatá za prognózu výboru, ak ju nadpolovičná väčšina členov označí za </w:t>
            </w:r>
            <w:r w:rsidRPr="008B7735">
              <w:rPr>
                <w:b/>
                <w:i/>
                <w:szCs w:val="20"/>
              </w:rPr>
              <w:t>konzervatívnu</w:t>
            </w:r>
            <w:r w:rsidRPr="008B7735">
              <w:rPr>
                <w:b/>
                <w:szCs w:val="20"/>
              </w:rPr>
              <w:t xml:space="preserve"> alebo </w:t>
            </w:r>
            <w:r w:rsidRPr="008B7735">
              <w:rPr>
                <w:b/>
                <w:i/>
                <w:szCs w:val="20"/>
              </w:rPr>
              <w:t>realistickú</w:t>
            </w:r>
            <w:r w:rsidRPr="008B7735">
              <w:rPr>
                <w:b/>
                <w:szCs w:val="20"/>
              </w:rPr>
              <w:t>.</w:t>
            </w:r>
            <w:r w:rsidRPr="008B7735">
              <w:rPr>
                <w:szCs w:val="20"/>
              </w:rPr>
              <w:t xml:space="preserve"> V prípade, že prognóza nedostane takéto hodnotenie, má Ministerstvo financií povinnosť prognózu prepracovať a znova predložiť výboru na posúdenie. Proces sa opakuje, až kým prognóza ministerstva financií nie je prijatá za prognózu výboru.</w:t>
            </w:r>
          </w:p>
          <w:p w14:paraId="5DCBC5C2" w14:textId="77777777" w:rsidR="000F6636" w:rsidRPr="008E295D" w:rsidRDefault="000F6636" w:rsidP="00484DB0">
            <w:pPr>
              <w:spacing w:before="120" w:after="120"/>
              <w:jc w:val="both"/>
              <w:rPr>
                <w:sz w:val="20"/>
                <w:szCs w:val="20"/>
              </w:rPr>
            </w:pPr>
            <w:r w:rsidRPr="008B7735">
              <w:rPr>
                <w:b/>
                <w:szCs w:val="20"/>
              </w:rPr>
              <w:t>V priebehu roka 2021 bol Výbor pre daňové prognózy rozšírený o prognózy vybraných nedaňových príjmov a výdavkov, ktoré v nemalej miere ovplyvňuje vývoj ekonomiky</w:t>
            </w:r>
            <w:r w:rsidRPr="008B7735">
              <w:rPr>
                <w:szCs w:val="20"/>
              </w:rPr>
              <w:t>. Zohľadnenie hospodárskeho vývoja a hodnotenie ďalších špecifických predpokladov v prognózach cez komisiu odborníkov z verejného a súkromného sektora znamená transparentne konzultované odhady a presnejší rozpočet. V marci a septembri 2021 sa prognózy rozšírili o nedaňové príjmy za cca 1,1 mld. eur a výdavky za cca 7 až 8 mld. eur  Na príjmovej strane ide o príjmy z predaja emisných povoleniek, príjmy z mýta a diaľničných nálepiek, odvod z hazardných hier a dividendy štátnych podnikov. Na výdavkovej strane boli doplnené dávky v nezamestnanosti, nemocenské dávky a starobné dôchodky.</w:t>
            </w:r>
          </w:p>
        </w:tc>
      </w:tr>
    </w:tbl>
    <w:p w14:paraId="45A47D40" w14:textId="77777777" w:rsidR="000F6636" w:rsidRPr="008B7735" w:rsidRDefault="000F6636" w:rsidP="000A22C5">
      <w:pPr>
        <w:spacing w:before="240"/>
        <w:rPr>
          <w:b/>
        </w:rPr>
      </w:pPr>
      <w:r w:rsidRPr="008B7735">
        <w:rPr>
          <w:b/>
        </w:rPr>
        <w:t>Výbor pre daňové prognózy</w:t>
      </w:r>
    </w:p>
    <w:p w14:paraId="5265CEB3" w14:textId="77777777" w:rsidR="000F6636" w:rsidRPr="00FE2D91" w:rsidRDefault="000F6636" w:rsidP="000F6636">
      <w:pPr>
        <w:spacing w:after="240"/>
        <w:jc w:val="both"/>
        <w:rPr>
          <w:b/>
        </w:rPr>
      </w:pPr>
      <w:r w:rsidRPr="00FE2D91">
        <w:rPr>
          <w:rFonts w:cs="Arial Narrow"/>
        </w:rPr>
        <w:t>MF SR na zasadnutí Výboru pre da</w:t>
      </w:r>
      <w:r w:rsidRPr="00FE2D91">
        <w:rPr>
          <w:rFonts w:cs="Times New Roman"/>
        </w:rPr>
        <w:t>ň</w:t>
      </w:r>
      <w:r w:rsidRPr="00FE2D91">
        <w:rPr>
          <w:rFonts w:cs="Arial Narrow"/>
        </w:rPr>
        <w:t>ové prognózy 27. marca 2024 prezentovalo svoju aktualizovanú strednodobú prognózu da</w:t>
      </w:r>
      <w:r w:rsidRPr="00FE2D91">
        <w:rPr>
          <w:rFonts w:cs="Times New Roman"/>
        </w:rPr>
        <w:t>ň</w:t>
      </w:r>
      <w:r w:rsidRPr="00FE2D91">
        <w:rPr>
          <w:rFonts w:cs="Arial Narrow"/>
        </w:rPr>
        <w:t xml:space="preserve">ových príjmov na roky 2023 až 2028. </w:t>
      </w:r>
      <w:r w:rsidRPr="00FE2D91">
        <w:t>Strednodobá prognóza da</w:t>
      </w:r>
      <w:r w:rsidRPr="00FE2D91">
        <w:rPr>
          <w:rFonts w:cs="Times New Roman"/>
        </w:rPr>
        <w:t>ň</w:t>
      </w:r>
      <w:r w:rsidRPr="00FE2D91">
        <w:t>ových príjmov a sociálnych odvodov MF SR bola všetkými členmi výboru ozna</w:t>
      </w:r>
      <w:r w:rsidRPr="00FE2D91">
        <w:rPr>
          <w:rFonts w:cs="Times New Roman"/>
        </w:rPr>
        <w:t>č</w:t>
      </w:r>
      <w:r w:rsidRPr="00FE2D91">
        <w:t xml:space="preserve">ená ako </w:t>
      </w:r>
      <w:r w:rsidRPr="00FE2D91">
        <w:rPr>
          <w:b/>
        </w:rPr>
        <w:t>realistická.</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gridCol w:w="3402"/>
        <w:gridCol w:w="37"/>
      </w:tblGrid>
      <w:tr w:rsidR="000F6636" w:rsidRPr="00372E3C" w14:paraId="6A29E48D" w14:textId="77777777" w:rsidTr="00484DB0">
        <w:trPr>
          <w:trHeight w:val="372"/>
          <w:jc w:val="center"/>
        </w:trPr>
        <w:tc>
          <w:tcPr>
            <w:tcW w:w="9108" w:type="dxa"/>
            <w:gridSpan w:val="3"/>
            <w:tcBorders>
              <w:top w:val="nil"/>
              <w:left w:val="nil"/>
              <w:bottom w:val="single" w:sz="8" w:space="0" w:color="auto"/>
              <w:right w:val="nil"/>
            </w:tcBorders>
            <w:shd w:val="clear" w:color="auto" w:fill="auto"/>
            <w:vAlign w:val="center"/>
          </w:tcPr>
          <w:p w14:paraId="26B789B0" w14:textId="5734F32C" w:rsidR="000F6636" w:rsidRPr="00FE2D91" w:rsidRDefault="000F6636" w:rsidP="00484DB0">
            <w:pPr>
              <w:pStyle w:val="Tabuka"/>
              <w:rPr>
                <w:color w:val="2C9ADC"/>
              </w:rPr>
            </w:pPr>
            <w:bookmarkStart w:id="216" w:name="_Toc53414069"/>
            <w:bookmarkStart w:id="217" w:name="_Toc53500235"/>
            <w:bookmarkStart w:id="218" w:name="_Toc85887946"/>
            <w:bookmarkStart w:id="219" w:name="_Toc117765235"/>
            <w:bookmarkStart w:id="220" w:name="_Toc153185520"/>
            <w:bookmarkStart w:id="221" w:name="_Toc164684560"/>
            <w:r w:rsidRPr="00FE2D91">
              <w:t xml:space="preserve">TABUĽKA </w:t>
            </w:r>
            <w:fldSimple w:instr=" SEQ TABUĽKA \* ARABIC ">
              <w:r w:rsidR="007435E9">
                <w:rPr>
                  <w:noProof/>
                </w:rPr>
                <w:t>11</w:t>
              </w:r>
            </w:fldSimple>
            <w:r w:rsidRPr="00FE2D91">
              <w:t xml:space="preserve"> – Hodnotenie prognózy MF SR vo Výbore pre daňové prognózy</w:t>
            </w:r>
            <w:bookmarkEnd w:id="216"/>
            <w:bookmarkEnd w:id="217"/>
            <w:bookmarkEnd w:id="218"/>
            <w:bookmarkEnd w:id="219"/>
            <w:bookmarkEnd w:id="220"/>
            <w:bookmarkEnd w:id="221"/>
          </w:p>
        </w:tc>
      </w:tr>
      <w:tr w:rsidR="000F6636" w:rsidRPr="00372E3C" w14:paraId="07BA0686" w14:textId="77777777" w:rsidTr="00484DB0">
        <w:trPr>
          <w:gridAfter w:val="1"/>
          <w:wAfter w:w="37" w:type="dxa"/>
          <w:trHeight w:val="34"/>
          <w:jc w:val="center"/>
        </w:trPr>
        <w:tc>
          <w:tcPr>
            <w:tcW w:w="5669" w:type="dxa"/>
            <w:tcBorders>
              <w:top w:val="single" w:sz="8" w:space="0" w:color="auto"/>
              <w:left w:val="nil"/>
              <w:bottom w:val="single" w:sz="8" w:space="0" w:color="auto"/>
              <w:right w:val="nil"/>
            </w:tcBorders>
            <w:shd w:val="clear" w:color="auto" w:fill="auto"/>
            <w:vAlign w:val="center"/>
          </w:tcPr>
          <w:p w14:paraId="6431D73A" w14:textId="77777777" w:rsidR="000F6636" w:rsidRPr="00372E3C" w:rsidRDefault="000F6636" w:rsidP="00484DB0">
            <w:pPr>
              <w:spacing w:before="40" w:after="40"/>
              <w:jc w:val="both"/>
              <w:rPr>
                <w:rFonts w:cs="Arial Narrow"/>
                <w:b/>
                <w:bCs/>
                <w:sz w:val="18"/>
                <w:szCs w:val="18"/>
              </w:rPr>
            </w:pPr>
            <w:r w:rsidRPr="00372E3C">
              <w:rPr>
                <w:rFonts w:cs="Arial Narrow"/>
                <w:b/>
                <w:bCs/>
                <w:sz w:val="18"/>
                <w:szCs w:val="18"/>
              </w:rPr>
              <w:t>Člen výboru</w:t>
            </w:r>
          </w:p>
        </w:tc>
        <w:tc>
          <w:tcPr>
            <w:tcW w:w="3402" w:type="dxa"/>
            <w:tcBorders>
              <w:top w:val="single" w:sz="8" w:space="0" w:color="auto"/>
              <w:left w:val="nil"/>
              <w:bottom w:val="single" w:sz="8" w:space="0" w:color="auto"/>
              <w:right w:val="nil"/>
            </w:tcBorders>
            <w:shd w:val="clear" w:color="auto" w:fill="auto"/>
            <w:vAlign w:val="center"/>
          </w:tcPr>
          <w:p w14:paraId="671ABC63" w14:textId="77777777" w:rsidR="000F6636" w:rsidRPr="00FE2D91" w:rsidRDefault="000F6636" w:rsidP="00484DB0">
            <w:pPr>
              <w:spacing w:before="40" w:after="40"/>
              <w:jc w:val="center"/>
              <w:rPr>
                <w:rFonts w:cs="Arial Narrow"/>
                <w:b/>
                <w:bCs/>
                <w:sz w:val="18"/>
                <w:szCs w:val="18"/>
              </w:rPr>
            </w:pPr>
            <w:r w:rsidRPr="00372E3C">
              <w:rPr>
                <w:rFonts w:cs="Arial Narrow"/>
                <w:b/>
                <w:bCs/>
                <w:sz w:val="18"/>
                <w:szCs w:val="18"/>
              </w:rPr>
              <w:t xml:space="preserve">Charakteristika prognózy </w:t>
            </w:r>
          </w:p>
        </w:tc>
      </w:tr>
      <w:tr w:rsidR="000F6636" w:rsidRPr="00372E3C" w14:paraId="53F2E39E" w14:textId="77777777" w:rsidTr="00484DB0">
        <w:trPr>
          <w:gridAfter w:val="1"/>
          <w:wAfter w:w="37" w:type="dxa"/>
          <w:trHeight w:val="34"/>
          <w:jc w:val="center"/>
        </w:trPr>
        <w:tc>
          <w:tcPr>
            <w:tcW w:w="5669" w:type="dxa"/>
            <w:tcBorders>
              <w:top w:val="single" w:sz="8" w:space="0" w:color="auto"/>
              <w:left w:val="nil"/>
              <w:bottom w:val="single" w:sz="8" w:space="0" w:color="auto"/>
              <w:right w:val="nil"/>
            </w:tcBorders>
            <w:vAlign w:val="center"/>
          </w:tcPr>
          <w:p w14:paraId="0698ED05" w14:textId="77777777" w:rsidR="000F6636" w:rsidRPr="00372E3C" w:rsidRDefault="000F6636" w:rsidP="00484DB0">
            <w:pPr>
              <w:spacing w:before="20" w:after="20"/>
              <w:jc w:val="both"/>
              <w:rPr>
                <w:rFonts w:cs="Arial Narrow"/>
                <w:sz w:val="18"/>
                <w:szCs w:val="18"/>
              </w:rPr>
            </w:pPr>
            <w:r w:rsidRPr="00372E3C">
              <w:rPr>
                <w:rFonts w:cs="Arial Narrow"/>
                <w:sz w:val="18"/>
                <w:szCs w:val="18"/>
              </w:rPr>
              <w:t xml:space="preserve">NBS, Infostat, Tatra banka, </w:t>
            </w:r>
            <w:r w:rsidRPr="00372E3C">
              <w:rPr>
                <w:rFonts w:cs="Times New Roman"/>
                <w:sz w:val="18"/>
                <w:szCs w:val="18"/>
              </w:rPr>
              <w:t>Č</w:t>
            </w:r>
            <w:r w:rsidRPr="00372E3C">
              <w:rPr>
                <w:rFonts w:cs="Arial Narrow"/>
                <w:sz w:val="18"/>
                <w:szCs w:val="18"/>
              </w:rPr>
              <w:t>SOB, KRRZ, SLSP, UniCredit Bank, VÚB</w:t>
            </w:r>
          </w:p>
        </w:tc>
        <w:tc>
          <w:tcPr>
            <w:tcW w:w="3402" w:type="dxa"/>
            <w:tcBorders>
              <w:top w:val="single" w:sz="8" w:space="0" w:color="auto"/>
              <w:left w:val="nil"/>
              <w:bottom w:val="single" w:sz="8" w:space="0" w:color="auto"/>
              <w:right w:val="nil"/>
            </w:tcBorders>
            <w:vAlign w:val="center"/>
          </w:tcPr>
          <w:p w14:paraId="33C97DFB" w14:textId="77777777" w:rsidR="000F6636" w:rsidRPr="00FE2D91" w:rsidRDefault="000F6636" w:rsidP="00484DB0">
            <w:pPr>
              <w:spacing w:before="20" w:after="20"/>
              <w:jc w:val="center"/>
              <w:rPr>
                <w:rFonts w:cs="Arial Narrow"/>
                <w:sz w:val="18"/>
                <w:szCs w:val="18"/>
              </w:rPr>
            </w:pPr>
            <w:r w:rsidRPr="00FE2D91">
              <w:rPr>
                <w:rFonts w:cs="Arial Narrow"/>
                <w:sz w:val="18"/>
                <w:szCs w:val="18"/>
              </w:rPr>
              <w:t>realistická</w:t>
            </w:r>
          </w:p>
        </w:tc>
      </w:tr>
    </w:tbl>
    <w:p w14:paraId="281311A5" w14:textId="77777777" w:rsidR="000F6636" w:rsidRPr="00FE2D91" w:rsidRDefault="000F6636" w:rsidP="000F6636"/>
    <w:p w14:paraId="7E98BA55" w14:textId="77777777" w:rsidR="000F6636" w:rsidRPr="002F5BE5" w:rsidRDefault="000F6636" w:rsidP="000F6636">
      <w:r w:rsidRPr="007C2DC9">
        <w:rPr>
          <w:highlight w:val="yellow"/>
        </w:rPr>
        <w:br w:type="page"/>
      </w:r>
      <w:r w:rsidRPr="002F5BE5">
        <w:rPr>
          <w:b/>
          <w:color w:val="2C9ADC"/>
          <w:sz w:val="24"/>
          <w:szCs w:val="24"/>
        </w:rPr>
        <w:lastRenderedPageBreak/>
        <w:t>Príloha 3 – Prognóza hrubého dlhu verejnej správy podľa hotovostných tokov</w:t>
      </w:r>
      <w:r w:rsidRPr="002F5BE5">
        <w:t xml:space="preserve"> </w:t>
      </w:r>
    </w:p>
    <w:p w14:paraId="44315573" w14:textId="77777777" w:rsidR="000F6636" w:rsidRPr="002F5BE5" w:rsidRDefault="000F6636" w:rsidP="000F6636">
      <w:pPr>
        <w:jc w:val="both"/>
      </w:pPr>
      <w:bookmarkStart w:id="222" w:name="_Toc526783488"/>
      <w:bookmarkStart w:id="223" w:name="_Toc53500236"/>
      <w:r w:rsidRPr="002F5BE5">
        <w:t>Vývoj nominálneho dlhu bude na celom horizonte rozpočtu ovplyvnený predovšetkým potrebou krytia hotovostných schodkov štátneho rozpočtu. K rastu zadlženia verejnej správy prispeje aj úverová aktivita ostatných subjektov verejnej správy, najmä dopravn</w:t>
      </w:r>
      <w:r>
        <w:t>ých</w:t>
      </w:r>
      <w:r w:rsidRPr="002F5BE5">
        <w:t xml:space="preserve"> spoločnost</w:t>
      </w:r>
      <w:r>
        <w:t>í</w:t>
      </w:r>
      <w:r w:rsidRPr="002F5BE5">
        <w:t xml:space="preserve">. Na rast zadlženia budú vplývať aj diskonty pri emisii dlhopisov. Súčasné prostredie vyšších úrokových sadzieb </w:t>
      </w:r>
      <w:r>
        <w:t xml:space="preserve">totiž </w:t>
      </w:r>
      <w:r w:rsidRPr="002F5BE5">
        <w:t>pri nízkych kupónoch štátnych dlhopisov zvyšuje požadované diskonty pri emisiách</w:t>
      </w:r>
      <w:r>
        <w:t>, teda rozdiel medzi nominálnym zadlžením a získanou likviditou</w:t>
      </w:r>
      <w:r w:rsidRPr="002F5BE5">
        <w:t>.</w:t>
      </w:r>
      <w:bookmarkStart w:id="224" w:name="_Toc85887947"/>
      <w:bookmarkStart w:id="225" w:name="_Toc117765236"/>
    </w:p>
    <w:p w14:paraId="33A7FF4F" w14:textId="77777777" w:rsidR="000F6636" w:rsidRPr="007C2DC9" w:rsidRDefault="000F6636" w:rsidP="000F6636">
      <w:pPr>
        <w:jc w:val="both"/>
        <w:rPr>
          <w:sz w:val="8"/>
          <w:highlight w:val="yellow"/>
        </w:rPr>
      </w:pPr>
    </w:p>
    <w:p w14:paraId="4EFA4E11" w14:textId="22E07853" w:rsidR="000F6636" w:rsidRPr="00DF1E3B" w:rsidRDefault="000F6636" w:rsidP="000F6636">
      <w:pPr>
        <w:pStyle w:val="Tabuka"/>
      </w:pPr>
      <w:bookmarkStart w:id="226" w:name="_Toc153185521"/>
      <w:bookmarkStart w:id="227" w:name="_Toc164684561"/>
      <w:r w:rsidRPr="00DF1E3B">
        <w:t xml:space="preserve">TABUĽKA </w:t>
      </w:r>
      <w:fldSimple w:instr=" SEQ TABUĽKA \* ARABIC ">
        <w:r w:rsidR="007435E9">
          <w:rPr>
            <w:noProof/>
          </w:rPr>
          <w:t>12</w:t>
        </w:r>
      </w:fldSimple>
      <w:r w:rsidRPr="00DF1E3B">
        <w:t xml:space="preserve"> – Hotovostné vplyvy na zmenu nominálneho hrubého dlhu (</w:t>
      </w:r>
      <w:r w:rsidR="00C70243">
        <w:t xml:space="preserve">aktuálny návrh rozpočtu, </w:t>
      </w:r>
      <w:r w:rsidRPr="00DF1E3B">
        <w:t>v mil. eur)</w:t>
      </w:r>
      <w:bookmarkEnd w:id="222"/>
      <w:bookmarkEnd w:id="223"/>
      <w:bookmarkEnd w:id="224"/>
      <w:bookmarkEnd w:id="225"/>
      <w:bookmarkEnd w:id="226"/>
      <w:bookmarkEnd w:id="227"/>
    </w:p>
    <w:tbl>
      <w:tblPr>
        <w:tblW w:w="5000" w:type="pct"/>
        <w:tblLayout w:type="fixed"/>
        <w:tblCellMar>
          <w:left w:w="70" w:type="dxa"/>
          <w:right w:w="70" w:type="dxa"/>
        </w:tblCellMar>
        <w:tblLook w:val="0400" w:firstRow="0" w:lastRow="0" w:firstColumn="0" w:lastColumn="0" w:noHBand="0" w:noVBand="1"/>
      </w:tblPr>
      <w:tblGrid>
        <w:gridCol w:w="3970"/>
        <w:gridCol w:w="725"/>
        <w:gridCol w:w="726"/>
        <w:gridCol w:w="726"/>
        <w:gridCol w:w="726"/>
        <w:gridCol w:w="444"/>
        <w:gridCol w:w="281"/>
        <w:gridCol w:w="726"/>
        <w:gridCol w:w="80"/>
        <w:gridCol w:w="646"/>
        <w:gridCol w:w="20"/>
      </w:tblGrid>
      <w:tr w:rsidR="000F6636" w:rsidRPr="00741F8C" w14:paraId="1EB3C05B" w14:textId="77777777" w:rsidTr="00484DB0">
        <w:trPr>
          <w:gridAfter w:val="1"/>
          <w:wAfter w:w="11" w:type="pct"/>
          <w:trHeight w:val="249"/>
        </w:trPr>
        <w:tc>
          <w:tcPr>
            <w:tcW w:w="2189" w:type="pct"/>
            <w:tcBorders>
              <w:left w:val="nil"/>
              <w:bottom w:val="single" w:sz="4" w:space="0" w:color="auto"/>
            </w:tcBorders>
            <w:shd w:val="clear" w:color="auto" w:fill="auto"/>
          </w:tcPr>
          <w:p w14:paraId="7391D03E" w14:textId="77777777" w:rsidR="000F6636" w:rsidRPr="002F5BE5" w:rsidRDefault="000F6636" w:rsidP="00484DB0">
            <w:pPr>
              <w:rPr>
                <w:sz w:val="16"/>
                <w:szCs w:val="16"/>
              </w:rPr>
            </w:pPr>
          </w:p>
        </w:tc>
        <w:tc>
          <w:tcPr>
            <w:tcW w:w="400" w:type="pct"/>
            <w:tcBorders>
              <w:bottom w:val="single" w:sz="4" w:space="0" w:color="auto"/>
            </w:tcBorders>
            <w:shd w:val="clear" w:color="auto" w:fill="auto"/>
          </w:tcPr>
          <w:p w14:paraId="3BEED435" w14:textId="77777777" w:rsidR="000F6636" w:rsidRPr="00741F8C" w:rsidRDefault="000F6636" w:rsidP="00484DB0">
            <w:pPr>
              <w:jc w:val="right"/>
              <w:rPr>
                <w:rFonts w:cs="Arial"/>
                <w:b/>
                <w:bCs/>
                <w:sz w:val="18"/>
                <w:szCs w:val="18"/>
              </w:rPr>
            </w:pPr>
            <w:r w:rsidRPr="00741F8C">
              <w:rPr>
                <w:rFonts w:cs="Times New Roman"/>
                <w:b/>
                <w:sz w:val="18"/>
                <w:szCs w:val="18"/>
              </w:rPr>
              <w:t>2021</w:t>
            </w:r>
          </w:p>
        </w:tc>
        <w:tc>
          <w:tcPr>
            <w:tcW w:w="400" w:type="pct"/>
            <w:tcBorders>
              <w:bottom w:val="single" w:sz="4" w:space="0" w:color="auto"/>
            </w:tcBorders>
            <w:shd w:val="clear" w:color="auto" w:fill="auto"/>
          </w:tcPr>
          <w:p w14:paraId="544FCE7E" w14:textId="77777777" w:rsidR="000F6636" w:rsidRPr="00741F8C" w:rsidRDefault="000F6636" w:rsidP="00484DB0">
            <w:pPr>
              <w:jc w:val="right"/>
              <w:rPr>
                <w:rFonts w:cs="Arial"/>
                <w:b/>
                <w:bCs/>
                <w:sz w:val="18"/>
                <w:szCs w:val="18"/>
              </w:rPr>
            </w:pPr>
            <w:r w:rsidRPr="00741F8C">
              <w:rPr>
                <w:rFonts w:cs="Times New Roman"/>
                <w:b/>
                <w:sz w:val="18"/>
                <w:szCs w:val="18"/>
              </w:rPr>
              <w:t>2022</w:t>
            </w:r>
          </w:p>
        </w:tc>
        <w:tc>
          <w:tcPr>
            <w:tcW w:w="400" w:type="pct"/>
            <w:tcBorders>
              <w:bottom w:val="single" w:sz="4" w:space="0" w:color="auto"/>
            </w:tcBorders>
            <w:shd w:val="clear" w:color="auto" w:fill="auto"/>
          </w:tcPr>
          <w:p w14:paraId="14B19E6E" w14:textId="77777777" w:rsidR="000F6636" w:rsidRPr="00741F8C" w:rsidRDefault="000F6636" w:rsidP="00484DB0">
            <w:pPr>
              <w:jc w:val="right"/>
              <w:rPr>
                <w:rFonts w:cs="Arial"/>
                <w:b/>
                <w:bCs/>
                <w:sz w:val="18"/>
                <w:szCs w:val="18"/>
              </w:rPr>
            </w:pPr>
            <w:r w:rsidRPr="00741F8C">
              <w:rPr>
                <w:rFonts w:cs="Times New Roman"/>
                <w:b/>
                <w:sz w:val="18"/>
                <w:szCs w:val="18"/>
              </w:rPr>
              <w:t>2023</w:t>
            </w:r>
          </w:p>
        </w:tc>
        <w:tc>
          <w:tcPr>
            <w:tcW w:w="400" w:type="pct"/>
            <w:tcBorders>
              <w:bottom w:val="single" w:sz="4" w:space="0" w:color="auto"/>
            </w:tcBorders>
            <w:shd w:val="clear" w:color="auto" w:fill="auto"/>
          </w:tcPr>
          <w:p w14:paraId="7D178F97" w14:textId="77777777" w:rsidR="000F6636" w:rsidRPr="00741F8C" w:rsidRDefault="000F6636" w:rsidP="00484DB0">
            <w:pPr>
              <w:jc w:val="right"/>
              <w:rPr>
                <w:rFonts w:cs="Arial"/>
                <w:b/>
                <w:bCs/>
                <w:sz w:val="18"/>
                <w:szCs w:val="18"/>
              </w:rPr>
            </w:pPr>
            <w:r w:rsidRPr="00741F8C">
              <w:rPr>
                <w:rFonts w:cs="Times New Roman"/>
                <w:b/>
                <w:sz w:val="18"/>
                <w:szCs w:val="18"/>
              </w:rPr>
              <w:t>2024 OS</w:t>
            </w:r>
          </w:p>
        </w:tc>
        <w:tc>
          <w:tcPr>
            <w:tcW w:w="400" w:type="pct"/>
            <w:gridSpan w:val="2"/>
            <w:tcBorders>
              <w:bottom w:val="single" w:sz="4" w:space="0" w:color="auto"/>
            </w:tcBorders>
            <w:shd w:val="clear" w:color="auto" w:fill="auto"/>
          </w:tcPr>
          <w:p w14:paraId="0BEC8573" w14:textId="77777777" w:rsidR="000F6636" w:rsidRPr="00741F8C" w:rsidRDefault="000F6636" w:rsidP="00484DB0">
            <w:pPr>
              <w:jc w:val="right"/>
              <w:rPr>
                <w:rFonts w:cs="Arial"/>
                <w:b/>
                <w:bCs/>
                <w:sz w:val="18"/>
                <w:szCs w:val="18"/>
              </w:rPr>
            </w:pPr>
            <w:r w:rsidRPr="00741F8C">
              <w:rPr>
                <w:rFonts w:cs="Times New Roman"/>
                <w:b/>
                <w:sz w:val="18"/>
                <w:szCs w:val="18"/>
              </w:rPr>
              <w:t>2025 N</w:t>
            </w:r>
          </w:p>
        </w:tc>
        <w:tc>
          <w:tcPr>
            <w:tcW w:w="400" w:type="pct"/>
            <w:tcBorders>
              <w:bottom w:val="single" w:sz="4" w:space="0" w:color="auto"/>
            </w:tcBorders>
            <w:shd w:val="clear" w:color="auto" w:fill="auto"/>
          </w:tcPr>
          <w:p w14:paraId="0BC84E58" w14:textId="77777777" w:rsidR="000F6636" w:rsidRPr="00741F8C" w:rsidRDefault="000F6636" w:rsidP="00484DB0">
            <w:pPr>
              <w:jc w:val="right"/>
              <w:rPr>
                <w:rFonts w:cs="Arial"/>
                <w:b/>
                <w:bCs/>
                <w:sz w:val="18"/>
                <w:szCs w:val="18"/>
              </w:rPr>
            </w:pPr>
            <w:r w:rsidRPr="00741F8C">
              <w:rPr>
                <w:rFonts w:cs="Times New Roman"/>
                <w:b/>
                <w:sz w:val="18"/>
                <w:szCs w:val="18"/>
              </w:rPr>
              <w:t>2026 N</w:t>
            </w:r>
          </w:p>
        </w:tc>
        <w:tc>
          <w:tcPr>
            <w:tcW w:w="400" w:type="pct"/>
            <w:gridSpan w:val="2"/>
            <w:tcBorders>
              <w:bottom w:val="single" w:sz="4" w:space="0" w:color="auto"/>
            </w:tcBorders>
          </w:tcPr>
          <w:p w14:paraId="1E7236F9" w14:textId="77777777" w:rsidR="000F6636" w:rsidRPr="00741F8C" w:rsidRDefault="000F6636" w:rsidP="00484DB0">
            <w:pPr>
              <w:jc w:val="right"/>
              <w:rPr>
                <w:rFonts w:cs="Arial"/>
                <w:b/>
                <w:bCs/>
                <w:sz w:val="18"/>
                <w:szCs w:val="18"/>
              </w:rPr>
            </w:pPr>
            <w:r w:rsidRPr="00741F8C">
              <w:rPr>
                <w:rFonts w:cs="Times New Roman"/>
                <w:b/>
                <w:sz w:val="18"/>
                <w:szCs w:val="18"/>
              </w:rPr>
              <w:t>2027 N</w:t>
            </w:r>
          </w:p>
        </w:tc>
      </w:tr>
      <w:tr w:rsidR="000F6636" w:rsidRPr="00741F8C" w14:paraId="15909A75" w14:textId="77777777" w:rsidTr="00484DB0">
        <w:trPr>
          <w:gridAfter w:val="1"/>
          <w:wAfter w:w="11" w:type="pct"/>
          <w:trHeight w:val="251"/>
        </w:trPr>
        <w:tc>
          <w:tcPr>
            <w:tcW w:w="2189" w:type="pct"/>
            <w:tcBorders>
              <w:top w:val="single" w:sz="4" w:space="0" w:color="auto"/>
              <w:left w:val="nil"/>
              <w:bottom w:val="single" w:sz="4" w:space="0" w:color="auto"/>
            </w:tcBorders>
            <w:shd w:val="clear" w:color="auto" w:fill="auto"/>
            <w:vAlign w:val="center"/>
          </w:tcPr>
          <w:p w14:paraId="70E72AFD" w14:textId="77777777" w:rsidR="000F6636" w:rsidRPr="00741F8C" w:rsidRDefault="000F6636" w:rsidP="00484DB0">
            <w:pPr>
              <w:rPr>
                <w:b/>
                <w:sz w:val="18"/>
                <w:szCs w:val="18"/>
              </w:rPr>
            </w:pPr>
            <w:r w:rsidRPr="00741F8C">
              <w:rPr>
                <w:b/>
                <w:sz w:val="18"/>
                <w:szCs w:val="18"/>
              </w:rPr>
              <w:t>A. Hrubý dlh verejnej správy (k 1.1.)</w:t>
            </w:r>
          </w:p>
        </w:tc>
        <w:tc>
          <w:tcPr>
            <w:tcW w:w="400" w:type="pct"/>
            <w:tcBorders>
              <w:top w:val="single" w:sz="4" w:space="0" w:color="auto"/>
              <w:bottom w:val="single" w:sz="4" w:space="0" w:color="auto"/>
            </w:tcBorders>
            <w:shd w:val="clear" w:color="auto" w:fill="auto"/>
            <w:vAlign w:val="center"/>
          </w:tcPr>
          <w:p w14:paraId="6F691422" w14:textId="77777777" w:rsidR="000F6636" w:rsidRPr="00741F8C" w:rsidRDefault="000F6636" w:rsidP="00484DB0">
            <w:pPr>
              <w:jc w:val="right"/>
              <w:rPr>
                <w:rFonts w:cs="Arial"/>
                <w:b/>
                <w:bCs/>
                <w:sz w:val="18"/>
                <w:szCs w:val="18"/>
              </w:rPr>
            </w:pPr>
            <w:r w:rsidRPr="00741F8C">
              <w:rPr>
                <w:rFonts w:cs="Arial"/>
                <w:b/>
                <w:bCs/>
                <w:sz w:val="18"/>
                <w:szCs w:val="18"/>
              </w:rPr>
              <w:t>54 993</w:t>
            </w:r>
          </w:p>
        </w:tc>
        <w:tc>
          <w:tcPr>
            <w:tcW w:w="400" w:type="pct"/>
            <w:tcBorders>
              <w:top w:val="single" w:sz="4" w:space="0" w:color="auto"/>
              <w:bottom w:val="single" w:sz="4" w:space="0" w:color="auto"/>
            </w:tcBorders>
            <w:shd w:val="clear" w:color="auto" w:fill="auto"/>
            <w:vAlign w:val="center"/>
          </w:tcPr>
          <w:p w14:paraId="2D364FAB" w14:textId="77777777" w:rsidR="000F6636" w:rsidRPr="00741F8C" w:rsidRDefault="000F6636" w:rsidP="00484DB0">
            <w:pPr>
              <w:jc w:val="right"/>
              <w:rPr>
                <w:rFonts w:cs="Arial"/>
                <w:b/>
                <w:bCs/>
                <w:sz w:val="18"/>
                <w:szCs w:val="18"/>
              </w:rPr>
            </w:pPr>
            <w:r w:rsidRPr="00741F8C">
              <w:rPr>
                <w:rFonts w:cs="Arial"/>
                <w:b/>
                <w:bCs/>
                <w:sz w:val="18"/>
                <w:szCs w:val="18"/>
              </w:rPr>
              <w:t>61 238</w:t>
            </w:r>
          </w:p>
        </w:tc>
        <w:tc>
          <w:tcPr>
            <w:tcW w:w="400" w:type="pct"/>
            <w:tcBorders>
              <w:top w:val="single" w:sz="4" w:space="0" w:color="auto"/>
              <w:bottom w:val="single" w:sz="4" w:space="0" w:color="auto"/>
            </w:tcBorders>
            <w:shd w:val="clear" w:color="auto" w:fill="auto"/>
            <w:vAlign w:val="center"/>
          </w:tcPr>
          <w:p w14:paraId="179B1B94" w14:textId="77777777" w:rsidR="000F6636" w:rsidRPr="00741F8C" w:rsidRDefault="000F6636" w:rsidP="00484DB0">
            <w:pPr>
              <w:jc w:val="right"/>
              <w:rPr>
                <w:rFonts w:cs="Arial"/>
                <w:b/>
                <w:bCs/>
                <w:sz w:val="18"/>
                <w:szCs w:val="18"/>
              </w:rPr>
            </w:pPr>
            <w:r w:rsidRPr="00741F8C">
              <w:rPr>
                <w:rFonts w:cs="Arial"/>
                <w:b/>
                <w:bCs/>
                <w:sz w:val="18"/>
                <w:szCs w:val="18"/>
              </w:rPr>
              <w:t>63 378</w:t>
            </w:r>
          </w:p>
        </w:tc>
        <w:tc>
          <w:tcPr>
            <w:tcW w:w="400" w:type="pct"/>
            <w:tcBorders>
              <w:top w:val="single" w:sz="4" w:space="0" w:color="auto"/>
              <w:bottom w:val="single" w:sz="4" w:space="0" w:color="auto"/>
            </w:tcBorders>
            <w:shd w:val="clear" w:color="auto" w:fill="auto"/>
            <w:vAlign w:val="center"/>
          </w:tcPr>
          <w:p w14:paraId="347DC90B" w14:textId="77777777" w:rsidR="000F6636" w:rsidRPr="00741F8C" w:rsidRDefault="000F6636" w:rsidP="00484DB0">
            <w:pPr>
              <w:jc w:val="right"/>
              <w:rPr>
                <w:rFonts w:cs="Arial"/>
                <w:b/>
                <w:bCs/>
                <w:sz w:val="18"/>
                <w:szCs w:val="18"/>
              </w:rPr>
            </w:pPr>
            <w:r w:rsidRPr="00741F8C">
              <w:rPr>
                <w:rFonts w:cs="Arial"/>
                <w:b/>
                <w:bCs/>
                <w:sz w:val="18"/>
                <w:szCs w:val="18"/>
              </w:rPr>
              <w:t>68 830</w:t>
            </w:r>
          </w:p>
        </w:tc>
        <w:tc>
          <w:tcPr>
            <w:tcW w:w="400" w:type="pct"/>
            <w:gridSpan w:val="2"/>
            <w:tcBorders>
              <w:top w:val="single" w:sz="4" w:space="0" w:color="auto"/>
              <w:bottom w:val="single" w:sz="4" w:space="0" w:color="auto"/>
            </w:tcBorders>
            <w:shd w:val="clear" w:color="auto" w:fill="auto"/>
            <w:vAlign w:val="center"/>
          </w:tcPr>
          <w:p w14:paraId="58968163" w14:textId="77777777" w:rsidR="000F6636" w:rsidRPr="00741F8C" w:rsidRDefault="000F6636" w:rsidP="00484DB0">
            <w:pPr>
              <w:jc w:val="right"/>
              <w:rPr>
                <w:rFonts w:cs="Arial"/>
                <w:b/>
                <w:bCs/>
                <w:sz w:val="18"/>
                <w:szCs w:val="18"/>
              </w:rPr>
            </w:pPr>
            <w:r w:rsidRPr="00741F8C">
              <w:rPr>
                <w:rFonts w:cs="Arial"/>
                <w:b/>
                <w:bCs/>
                <w:sz w:val="18"/>
                <w:szCs w:val="18"/>
              </w:rPr>
              <w:t>77 048</w:t>
            </w:r>
          </w:p>
        </w:tc>
        <w:tc>
          <w:tcPr>
            <w:tcW w:w="400" w:type="pct"/>
            <w:tcBorders>
              <w:top w:val="single" w:sz="4" w:space="0" w:color="auto"/>
              <w:bottom w:val="single" w:sz="4" w:space="0" w:color="auto"/>
            </w:tcBorders>
            <w:shd w:val="clear" w:color="auto" w:fill="auto"/>
            <w:vAlign w:val="center"/>
          </w:tcPr>
          <w:p w14:paraId="20EE9D5E" w14:textId="77777777" w:rsidR="000F6636" w:rsidRPr="00741F8C" w:rsidRDefault="000F6636" w:rsidP="00484DB0">
            <w:pPr>
              <w:jc w:val="right"/>
              <w:rPr>
                <w:rFonts w:cs="Arial"/>
                <w:b/>
                <w:bCs/>
                <w:sz w:val="18"/>
                <w:szCs w:val="18"/>
              </w:rPr>
            </w:pPr>
            <w:r w:rsidRPr="00741F8C">
              <w:rPr>
                <w:rFonts w:cs="Arial"/>
                <w:b/>
                <w:bCs/>
                <w:sz w:val="18"/>
                <w:szCs w:val="18"/>
              </w:rPr>
              <w:t>83 974</w:t>
            </w:r>
          </w:p>
        </w:tc>
        <w:tc>
          <w:tcPr>
            <w:tcW w:w="400" w:type="pct"/>
            <w:gridSpan w:val="2"/>
            <w:tcBorders>
              <w:top w:val="single" w:sz="4" w:space="0" w:color="auto"/>
              <w:bottom w:val="single" w:sz="4" w:space="0" w:color="auto"/>
            </w:tcBorders>
            <w:vAlign w:val="center"/>
          </w:tcPr>
          <w:p w14:paraId="7D17CFEC" w14:textId="77777777" w:rsidR="000F6636" w:rsidRPr="00741F8C" w:rsidRDefault="000F6636" w:rsidP="00484DB0">
            <w:pPr>
              <w:jc w:val="right"/>
              <w:rPr>
                <w:rFonts w:cs="Arial"/>
                <w:b/>
                <w:bCs/>
                <w:sz w:val="18"/>
                <w:szCs w:val="18"/>
              </w:rPr>
            </w:pPr>
            <w:r w:rsidRPr="00741F8C">
              <w:rPr>
                <w:rFonts w:cs="Arial"/>
                <w:b/>
                <w:bCs/>
                <w:sz w:val="18"/>
                <w:szCs w:val="18"/>
              </w:rPr>
              <w:t>93 453</w:t>
            </w:r>
          </w:p>
        </w:tc>
      </w:tr>
      <w:tr w:rsidR="000F6636" w:rsidRPr="00741F8C" w14:paraId="64D7D5D6" w14:textId="77777777" w:rsidTr="00484DB0">
        <w:trPr>
          <w:gridAfter w:val="1"/>
          <w:wAfter w:w="11" w:type="pct"/>
          <w:trHeight w:val="251"/>
        </w:trPr>
        <w:tc>
          <w:tcPr>
            <w:tcW w:w="2189" w:type="pct"/>
            <w:tcBorders>
              <w:top w:val="single" w:sz="4" w:space="0" w:color="auto"/>
              <w:left w:val="nil"/>
            </w:tcBorders>
            <w:shd w:val="clear" w:color="auto" w:fill="auto"/>
            <w:vAlign w:val="center"/>
          </w:tcPr>
          <w:p w14:paraId="67822895" w14:textId="77777777" w:rsidR="000F6636" w:rsidRPr="00741F8C" w:rsidRDefault="000F6636" w:rsidP="00484DB0">
            <w:pPr>
              <w:rPr>
                <w:b/>
                <w:sz w:val="18"/>
                <w:szCs w:val="18"/>
              </w:rPr>
            </w:pPr>
            <w:r w:rsidRPr="00741F8C">
              <w:rPr>
                <w:b/>
                <w:sz w:val="18"/>
                <w:szCs w:val="18"/>
              </w:rPr>
              <w:t>B. Celková medziročná zmena hrubého dlhu VS</w:t>
            </w:r>
          </w:p>
        </w:tc>
        <w:tc>
          <w:tcPr>
            <w:tcW w:w="400" w:type="pct"/>
            <w:tcBorders>
              <w:top w:val="single" w:sz="4" w:space="0" w:color="auto"/>
            </w:tcBorders>
            <w:shd w:val="clear" w:color="auto" w:fill="auto"/>
            <w:vAlign w:val="center"/>
          </w:tcPr>
          <w:p w14:paraId="075BD12C" w14:textId="77777777" w:rsidR="000F6636" w:rsidRPr="00741F8C" w:rsidRDefault="000F6636" w:rsidP="00484DB0">
            <w:pPr>
              <w:jc w:val="right"/>
              <w:rPr>
                <w:rFonts w:cs="Arial"/>
                <w:b/>
                <w:bCs/>
                <w:sz w:val="18"/>
                <w:szCs w:val="18"/>
              </w:rPr>
            </w:pPr>
            <w:r w:rsidRPr="00741F8C">
              <w:rPr>
                <w:rFonts w:cs="Arial"/>
                <w:b/>
                <w:bCs/>
                <w:sz w:val="18"/>
                <w:szCs w:val="18"/>
              </w:rPr>
              <w:t>6 245</w:t>
            </w:r>
          </w:p>
        </w:tc>
        <w:tc>
          <w:tcPr>
            <w:tcW w:w="400" w:type="pct"/>
            <w:tcBorders>
              <w:top w:val="single" w:sz="4" w:space="0" w:color="auto"/>
            </w:tcBorders>
            <w:shd w:val="clear" w:color="auto" w:fill="auto"/>
            <w:vAlign w:val="center"/>
          </w:tcPr>
          <w:p w14:paraId="68742DD1" w14:textId="77777777" w:rsidR="000F6636" w:rsidRPr="00741F8C" w:rsidRDefault="000F6636" w:rsidP="00484DB0">
            <w:pPr>
              <w:jc w:val="right"/>
              <w:rPr>
                <w:rFonts w:cs="Arial"/>
                <w:b/>
                <w:bCs/>
                <w:sz w:val="18"/>
                <w:szCs w:val="18"/>
              </w:rPr>
            </w:pPr>
            <w:r w:rsidRPr="00741F8C">
              <w:rPr>
                <w:rFonts w:cs="Arial"/>
                <w:b/>
                <w:bCs/>
                <w:sz w:val="18"/>
                <w:szCs w:val="18"/>
              </w:rPr>
              <w:t>2 140</w:t>
            </w:r>
          </w:p>
        </w:tc>
        <w:tc>
          <w:tcPr>
            <w:tcW w:w="400" w:type="pct"/>
            <w:tcBorders>
              <w:top w:val="single" w:sz="4" w:space="0" w:color="auto"/>
            </w:tcBorders>
            <w:shd w:val="clear" w:color="auto" w:fill="auto"/>
            <w:vAlign w:val="center"/>
          </w:tcPr>
          <w:p w14:paraId="4C0EAAE7" w14:textId="77777777" w:rsidR="000F6636" w:rsidRPr="00741F8C" w:rsidRDefault="000F6636" w:rsidP="00484DB0">
            <w:pPr>
              <w:jc w:val="right"/>
              <w:rPr>
                <w:rFonts w:cs="Arial"/>
                <w:b/>
                <w:bCs/>
                <w:sz w:val="18"/>
                <w:szCs w:val="18"/>
              </w:rPr>
            </w:pPr>
            <w:r w:rsidRPr="00741F8C">
              <w:rPr>
                <w:rFonts w:cs="Arial"/>
                <w:b/>
                <w:bCs/>
                <w:sz w:val="18"/>
                <w:szCs w:val="18"/>
              </w:rPr>
              <w:t>5 452</w:t>
            </w:r>
          </w:p>
        </w:tc>
        <w:tc>
          <w:tcPr>
            <w:tcW w:w="400" w:type="pct"/>
            <w:tcBorders>
              <w:top w:val="single" w:sz="4" w:space="0" w:color="auto"/>
            </w:tcBorders>
            <w:shd w:val="clear" w:color="auto" w:fill="auto"/>
            <w:vAlign w:val="center"/>
          </w:tcPr>
          <w:p w14:paraId="69BF430C" w14:textId="77777777" w:rsidR="000F6636" w:rsidRPr="00741F8C" w:rsidRDefault="000F6636" w:rsidP="00484DB0">
            <w:pPr>
              <w:jc w:val="right"/>
              <w:rPr>
                <w:rFonts w:cs="Arial"/>
                <w:b/>
                <w:bCs/>
                <w:sz w:val="18"/>
                <w:szCs w:val="18"/>
              </w:rPr>
            </w:pPr>
            <w:r w:rsidRPr="00741F8C">
              <w:rPr>
                <w:rFonts w:cs="Arial"/>
                <w:b/>
                <w:bCs/>
                <w:sz w:val="18"/>
                <w:szCs w:val="18"/>
              </w:rPr>
              <w:t>8 218</w:t>
            </w:r>
          </w:p>
        </w:tc>
        <w:tc>
          <w:tcPr>
            <w:tcW w:w="400" w:type="pct"/>
            <w:gridSpan w:val="2"/>
            <w:tcBorders>
              <w:top w:val="single" w:sz="4" w:space="0" w:color="auto"/>
            </w:tcBorders>
            <w:shd w:val="clear" w:color="auto" w:fill="auto"/>
            <w:vAlign w:val="center"/>
          </w:tcPr>
          <w:p w14:paraId="697C091C" w14:textId="77777777" w:rsidR="000F6636" w:rsidRPr="00741F8C" w:rsidRDefault="000F6636" w:rsidP="00484DB0">
            <w:pPr>
              <w:jc w:val="right"/>
              <w:rPr>
                <w:rFonts w:cs="Arial"/>
                <w:b/>
                <w:bCs/>
                <w:sz w:val="18"/>
                <w:szCs w:val="18"/>
              </w:rPr>
            </w:pPr>
            <w:r w:rsidRPr="00741F8C">
              <w:rPr>
                <w:rFonts w:cs="Arial"/>
                <w:b/>
                <w:bCs/>
                <w:sz w:val="18"/>
                <w:szCs w:val="18"/>
              </w:rPr>
              <w:t>6 926</w:t>
            </w:r>
          </w:p>
        </w:tc>
        <w:tc>
          <w:tcPr>
            <w:tcW w:w="400" w:type="pct"/>
            <w:tcBorders>
              <w:top w:val="single" w:sz="4" w:space="0" w:color="auto"/>
            </w:tcBorders>
            <w:shd w:val="clear" w:color="auto" w:fill="auto"/>
            <w:vAlign w:val="center"/>
          </w:tcPr>
          <w:p w14:paraId="56766AA3" w14:textId="77777777" w:rsidR="000F6636" w:rsidRPr="00741F8C" w:rsidRDefault="000F6636" w:rsidP="00484DB0">
            <w:pPr>
              <w:jc w:val="right"/>
              <w:rPr>
                <w:rFonts w:cs="Arial"/>
                <w:b/>
                <w:bCs/>
                <w:sz w:val="18"/>
                <w:szCs w:val="18"/>
              </w:rPr>
            </w:pPr>
            <w:r w:rsidRPr="00741F8C">
              <w:rPr>
                <w:rFonts w:cs="Arial"/>
                <w:b/>
                <w:bCs/>
                <w:sz w:val="18"/>
                <w:szCs w:val="18"/>
              </w:rPr>
              <w:t>9 479</w:t>
            </w:r>
          </w:p>
        </w:tc>
        <w:tc>
          <w:tcPr>
            <w:tcW w:w="400" w:type="pct"/>
            <w:gridSpan w:val="2"/>
            <w:tcBorders>
              <w:top w:val="single" w:sz="4" w:space="0" w:color="auto"/>
            </w:tcBorders>
            <w:vAlign w:val="center"/>
          </w:tcPr>
          <w:p w14:paraId="17E5C589" w14:textId="77777777" w:rsidR="000F6636" w:rsidRPr="00741F8C" w:rsidRDefault="000F6636" w:rsidP="00484DB0">
            <w:pPr>
              <w:jc w:val="right"/>
              <w:rPr>
                <w:rFonts w:cs="Arial"/>
                <w:b/>
                <w:bCs/>
                <w:sz w:val="18"/>
                <w:szCs w:val="18"/>
              </w:rPr>
            </w:pPr>
            <w:r w:rsidRPr="00741F8C">
              <w:rPr>
                <w:rFonts w:cs="Arial"/>
                <w:b/>
                <w:bCs/>
                <w:sz w:val="18"/>
                <w:szCs w:val="18"/>
              </w:rPr>
              <w:t>10 104</w:t>
            </w:r>
          </w:p>
        </w:tc>
      </w:tr>
      <w:tr w:rsidR="000F6636" w:rsidRPr="00741F8C" w14:paraId="779DB45D" w14:textId="77777777" w:rsidTr="00484DB0">
        <w:trPr>
          <w:gridAfter w:val="1"/>
          <w:wAfter w:w="11" w:type="pct"/>
          <w:trHeight w:val="251"/>
        </w:trPr>
        <w:tc>
          <w:tcPr>
            <w:tcW w:w="2189" w:type="pct"/>
            <w:tcBorders>
              <w:top w:val="nil"/>
              <w:left w:val="nil"/>
            </w:tcBorders>
            <w:shd w:val="clear" w:color="auto" w:fill="auto"/>
            <w:vAlign w:val="center"/>
          </w:tcPr>
          <w:p w14:paraId="47334E01" w14:textId="77777777" w:rsidR="000F6636" w:rsidRPr="00741F8C" w:rsidRDefault="000F6636" w:rsidP="00484DB0">
            <w:pPr>
              <w:rPr>
                <w:sz w:val="18"/>
                <w:szCs w:val="18"/>
              </w:rPr>
            </w:pPr>
            <w:r w:rsidRPr="00741F8C">
              <w:rPr>
                <w:sz w:val="18"/>
                <w:szCs w:val="18"/>
              </w:rPr>
              <w:t>- hotovostný deficit ŠR</w:t>
            </w:r>
          </w:p>
        </w:tc>
        <w:tc>
          <w:tcPr>
            <w:tcW w:w="400" w:type="pct"/>
            <w:tcBorders>
              <w:top w:val="nil"/>
            </w:tcBorders>
            <w:shd w:val="clear" w:color="auto" w:fill="auto"/>
            <w:vAlign w:val="center"/>
          </w:tcPr>
          <w:p w14:paraId="16445F59" w14:textId="77777777" w:rsidR="000F6636" w:rsidRPr="00741F8C" w:rsidRDefault="000F6636" w:rsidP="00484DB0">
            <w:pPr>
              <w:jc w:val="right"/>
              <w:rPr>
                <w:rFonts w:cs="Arial"/>
                <w:sz w:val="18"/>
                <w:szCs w:val="18"/>
              </w:rPr>
            </w:pPr>
            <w:r w:rsidRPr="00741F8C">
              <w:rPr>
                <w:rFonts w:cs="Arial"/>
                <w:sz w:val="18"/>
                <w:szCs w:val="18"/>
              </w:rPr>
              <w:t>7 014</w:t>
            </w:r>
          </w:p>
        </w:tc>
        <w:tc>
          <w:tcPr>
            <w:tcW w:w="400" w:type="pct"/>
            <w:tcBorders>
              <w:top w:val="nil"/>
            </w:tcBorders>
            <w:shd w:val="clear" w:color="auto" w:fill="auto"/>
            <w:vAlign w:val="center"/>
          </w:tcPr>
          <w:p w14:paraId="580A8AC9" w14:textId="77777777" w:rsidR="000F6636" w:rsidRPr="00741F8C" w:rsidRDefault="000F6636" w:rsidP="00484DB0">
            <w:pPr>
              <w:jc w:val="right"/>
              <w:rPr>
                <w:rFonts w:cs="Arial"/>
                <w:sz w:val="18"/>
                <w:szCs w:val="18"/>
              </w:rPr>
            </w:pPr>
            <w:r w:rsidRPr="00741F8C">
              <w:rPr>
                <w:rFonts w:cs="Arial"/>
                <w:sz w:val="18"/>
                <w:szCs w:val="18"/>
              </w:rPr>
              <w:t>4 525</w:t>
            </w:r>
          </w:p>
        </w:tc>
        <w:tc>
          <w:tcPr>
            <w:tcW w:w="400" w:type="pct"/>
            <w:tcBorders>
              <w:top w:val="nil"/>
            </w:tcBorders>
            <w:shd w:val="clear" w:color="auto" w:fill="auto"/>
            <w:vAlign w:val="center"/>
          </w:tcPr>
          <w:p w14:paraId="277B165D" w14:textId="77777777" w:rsidR="000F6636" w:rsidRPr="00741F8C" w:rsidRDefault="000F6636" w:rsidP="00484DB0">
            <w:pPr>
              <w:jc w:val="right"/>
              <w:rPr>
                <w:rFonts w:cs="Arial"/>
                <w:sz w:val="18"/>
                <w:szCs w:val="18"/>
              </w:rPr>
            </w:pPr>
            <w:r w:rsidRPr="00741F8C">
              <w:rPr>
                <w:rFonts w:cs="Arial"/>
                <w:sz w:val="18"/>
                <w:szCs w:val="18"/>
              </w:rPr>
              <w:t>7 675</w:t>
            </w:r>
          </w:p>
        </w:tc>
        <w:tc>
          <w:tcPr>
            <w:tcW w:w="400" w:type="pct"/>
            <w:tcBorders>
              <w:top w:val="nil"/>
            </w:tcBorders>
            <w:shd w:val="clear" w:color="auto" w:fill="auto"/>
            <w:vAlign w:val="center"/>
          </w:tcPr>
          <w:p w14:paraId="3815C35B" w14:textId="77777777" w:rsidR="000F6636" w:rsidRPr="00741F8C" w:rsidRDefault="000F6636" w:rsidP="00484DB0">
            <w:pPr>
              <w:jc w:val="right"/>
              <w:rPr>
                <w:rFonts w:cs="Arial"/>
                <w:sz w:val="18"/>
                <w:szCs w:val="18"/>
              </w:rPr>
            </w:pPr>
            <w:r w:rsidRPr="00741F8C">
              <w:rPr>
                <w:rFonts w:cs="Arial"/>
                <w:sz w:val="18"/>
                <w:szCs w:val="18"/>
              </w:rPr>
              <w:t>6 628</w:t>
            </w:r>
          </w:p>
        </w:tc>
        <w:tc>
          <w:tcPr>
            <w:tcW w:w="400" w:type="pct"/>
            <w:gridSpan w:val="2"/>
            <w:tcBorders>
              <w:top w:val="nil"/>
            </w:tcBorders>
            <w:shd w:val="clear" w:color="auto" w:fill="auto"/>
            <w:vAlign w:val="center"/>
          </w:tcPr>
          <w:p w14:paraId="35F43E2B" w14:textId="77777777" w:rsidR="000F6636" w:rsidRPr="00741F8C" w:rsidRDefault="000F6636" w:rsidP="00484DB0">
            <w:pPr>
              <w:jc w:val="right"/>
              <w:rPr>
                <w:rFonts w:cs="Arial"/>
                <w:sz w:val="18"/>
                <w:szCs w:val="18"/>
              </w:rPr>
            </w:pPr>
            <w:r w:rsidRPr="00741F8C">
              <w:rPr>
                <w:rFonts w:cs="Arial"/>
                <w:sz w:val="18"/>
                <w:szCs w:val="18"/>
              </w:rPr>
              <w:t>6 558</w:t>
            </w:r>
          </w:p>
        </w:tc>
        <w:tc>
          <w:tcPr>
            <w:tcW w:w="400" w:type="pct"/>
            <w:tcBorders>
              <w:top w:val="nil"/>
            </w:tcBorders>
            <w:shd w:val="clear" w:color="auto" w:fill="auto"/>
            <w:vAlign w:val="center"/>
          </w:tcPr>
          <w:p w14:paraId="7601D5BA" w14:textId="77777777" w:rsidR="000F6636" w:rsidRPr="00741F8C" w:rsidRDefault="000F6636" w:rsidP="00484DB0">
            <w:pPr>
              <w:jc w:val="right"/>
              <w:rPr>
                <w:rFonts w:cs="Arial"/>
                <w:sz w:val="18"/>
                <w:szCs w:val="18"/>
              </w:rPr>
            </w:pPr>
            <w:r w:rsidRPr="00741F8C">
              <w:rPr>
                <w:rFonts w:cs="Arial"/>
                <w:sz w:val="18"/>
                <w:szCs w:val="18"/>
              </w:rPr>
              <w:t>8 348</w:t>
            </w:r>
          </w:p>
        </w:tc>
        <w:tc>
          <w:tcPr>
            <w:tcW w:w="400" w:type="pct"/>
            <w:gridSpan w:val="2"/>
            <w:tcBorders>
              <w:top w:val="nil"/>
            </w:tcBorders>
            <w:vAlign w:val="center"/>
          </w:tcPr>
          <w:p w14:paraId="3F71462B" w14:textId="77777777" w:rsidR="000F6636" w:rsidRPr="00741F8C" w:rsidRDefault="000F6636" w:rsidP="00484DB0">
            <w:pPr>
              <w:jc w:val="right"/>
              <w:rPr>
                <w:rFonts w:cs="Arial"/>
                <w:sz w:val="18"/>
                <w:szCs w:val="18"/>
              </w:rPr>
            </w:pPr>
            <w:r w:rsidRPr="00741F8C">
              <w:rPr>
                <w:rFonts w:cs="Arial"/>
                <w:sz w:val="18"/>
                <w:szCs w:val="18"/>
              </w:rPr>
              <w:t>9 138</w:t>
            </w:r>
          </w:p>
        </w:tc>
      </w:tr>
      <w:tr w:rsidR="000F6636" w:rsidRPr="00741F8C" w14:paraId="1DA3BCF8" w14:textId="77777777" w:rsidTr="00484DB0">
        <w:trPr>
          <w:gridAfter w:val="1"/>
          <w:wAfter w:w="11" w:type="pct"/>
          <w:trHeight w:val="251"/>
        </w:trPr>
        <w:tc>
          <w:tcPr>
            <w:tcW w:w="2189" w:type="pct"/>
            <w:tcBorders>
              <w:top w:val="nil"/>
              <w:left w:val="nil"/>
            </w:tcBorders>
            <w:shd w:val="clear" w:color="auto" w:fill="auto"/>
            <w:vAlign w:val="center"/>
          </w:tcPr>
          <w:p w14:paraId="781D3E55" w14:textId="77777777" w:rsidR="000F6636" w:rsidRPr="00741F8C" w:rsidRDefault="000F6636" w:rsidP="00484DB0">
            <w:pPr>
              <w:rPr>
                <w:sz w:val="18"/>
                <w:szCs w:val="18"/>
              </w:rPr>
            </w:pPr>
            <w:r w:rsidRPr="00741F8C">
              <w:rPr>
                <w:sz w:val="18"/>
                <w:szCs w:val="18"/>
              </w:rPr>
              <w:t>- prostriedky ŠP využité na financovanie hotovostného deficitu ŠR</w:t>
            </w:r>
          </w:p>
        </w:tc>
        <w:tc>
          <w:tcPr>
            <w:tcW w:w="400" w:type="pct"/>
            <w:tcBorders>
              <w:top w:val="nil"/>
            </w:tcBorders>
            <w:shd w:val="clear" w:color="auto" w:fill="auto"/>
            <w:vAlign w:val="center"/>
          </w:tcPr>
          <w:p w14:paraId="14ED281C" w14:textId="77777777" w:rsidR="000F6636" w:rsidRPr="00741F8C" w:rsidRDefault="000F6636" w:rsidP="00484DB0">
            <w:pPr>
              <w:jc w:val="right"/>
              <w:rPr>
                <w:rFonts w:cs="Arial"/>
                <w:sz w:val="18"/>
                <w:szCs w:val="18"/>
              </w:rPr>
            </w:pPr>
            <w:r w:rsidRPr="00741F8C">
              <w:rPr>
                <w:rFonts w:cs="Arial"/>
                <w:sz w:val="18"/>
                <w:szCs w:val="18"/>
              </w:rPr>
              <w:t>-2 365</w:t>
            </w:r>
          </w:p>
        </w:tc>
        <w:tc>
          <w:tcPr>
            <w:tcW w:w="400" w:type="pct"/>
            <w:tcBorders>
              <w:top w:val="nil"/>
            </w:tcBorders>
            <w:shd w:val="clear" w:color="auto" w:fill="auto"/>
            <w:vAlign w:val="center"/>
          </w:tcPr>
          <w:p w14:paraId="69287CEE" w14:textId="77777777" w:rsidR="000F6636" w:rsidRPr="00741F8C" w:rsidRDefault="000F6636" w:rsidP="00484DB0">
            <w:pPr>
              <w:jc w:val="right"/>
              <w:rPr>
                <w:rFonts w:cs="Arial"/>
                <w:sz w:val="18"/>
                <w:szCs w:val="18"/>
              </w:rPr>
            </w:pPr>
            <w:r w:rsidRPr="00741F8C">
              <w:rPr>
                <w:rFonts w:cs="Arial"/>
                <w:sz w:val="18"/>
                <w:szCs w:val="18"/>
              </w:rPr>
              <w:t>-1 150</w:t>
            </w:r>
          </w:p>
        </w:tc>
        <w:tc>
          <w:tcPr>
            <w:tcW w:w="400" w:type="pct"/>
            <w:tcBorders>
              <w:top w:val="nil"/>
            </w:tcBorders>
            <w:shd w:val="clear" w:color="auto" w:fill="auto"/>
            <w:vAlign w:val="center"/>
          </w:tcPr>
          <w:p w14:paraId="514DB098" w14:textId="77777777" w:rsidR="000F6636" w:rsidRPr="00741F8C" w:rsidRDefault="000F6636" w:rsidP="00484DB0">
            <w:pPr>
              <w:jc w:val="right"/>
              <w:rPr>
                <w:rFonts w:cs="Arial"/>
                <w:sz w:val="18"/>
                <w:szCs w:val="18"/>
              </w:rPr>
            </w:pPr>
            <w:r w:rsidRPr="00741F8C">
              <w:rPr>
                <w:rFonts w:cs="Arial"/>
                <w:sz w:val="18"/>
                <w:szCs w:val="18"/>
              </w:rPr>
              <w:t>-2 587</w:t>
            </w:r>
          </w:p>
        </w:tc>
        <w:tc>
          <w:tcPr>
            <w:tcW w:w="400" w:type="pct"/>
            <w:tcBorders>
              <w:top w:val="nil"/>
            </w:tcBorders>
            <w:shd w:val="clear" w:color="auto" w:fill="auto"/>
            <w:vAlign w:val="center"/>
          </w:tcPr>
          <w:p w14:paraId="2C7C93E8" w14:textId="77777777" w:rsidR="000F6636" w:rsidRPr="00741F8C" w:rsidRDefault="000F6636" w:rsidP="00484DB0">
            <w:pPr>
              <w:jc w:val="right"/>
              <w:rPr>
                <w:rFonts w:cs="Arial"/>
                <w:sz w:val="18"/>
                <w:szCs w:val="18"/>
              </w:rPr>
            </w:pPr>
            <w:r w:rsidRPr="00741F8C">
              <w:rPr>
                <w:rFonts w:cs="Arial"/>
                <w:sz w:val="18"/>
                <w:szCs w:val="18"/>
              </w:rPr>
              <w:t>697</w:t>
            </w:r>
          </w:p>
        </w:tc>
        <w:tc>
          <w:tcPr>
            <w:tcW w:w="400" w:type="pct"/>
            <w:gridSpan w:val="2"/>
            <w:tcBorders>
              <w:top w:val="nil"/>
            </w:tcBorders>
            <w:shd w:val="clear" w:color="auto" w:fill="auto"/>
            <w:vAlign w:val="center"/>
          </w:tcPr>
          <w:p w14:paraId="4242F935" w14:textId="77777777" w:rsidR="000F6636" w:rsidRPr="00741F8C" w:rsidRDefault="000F6636" w:rsidP="00484DB0">
            <w:pPr>
              <w:jc w:val="right"/>
              <w:rPr>
                <w:rFonts w:cs="Arial"/>
                <w:sz w:val="18"/>
                <w:szCs w:val="18"/>
              </w:rPr>
            </w:pPr>
            <w:r w:rsidRPr="00741F8C">
              <w:rPr>
                <w:rFonts w:cs="Arial"/>
                <w:sz w:val="18"/>
                <w:szCs w:val="18"/>
              </w:rPr>
              <w:t>-447</w:t>
            </w:r>
          </w:p>
        </w:tc>
        <w:tc>
          <w:tcPr>
            <w:tcW w:w="400" w:type="pct"/>
            <w:tcBorders>
              <w:top w:val="nil"/>
            </w:tcBorders>
            <w:shd w:val="clear" w:color="auto" w:fill="auto"/>
            <w:vAlign w:val="center"/>
          </w:tcPr>
          <w:p w14:paraId="1E5F3C80" w14:textId="77777777" w:rsidR="000F6636" w:rsidRPr="00741F8C" w:rsidRDefault="000F6636" w:rsidP="00484DB0">
            <w:pPr>
              <w:jc w:val="right"/>
              <w:rPr>
                <w:rFonts w:cs="Arial"/>
                <w:sz w:val="18"/>
                <w:szCs w:val="18"/>
              </w:rPr>
            </w:pPr>
            <w:r w:rsidRPr="00741F8C">
              <w:rPr>
                <w:rFonts w:cs="Arial"/>
                <w:sz w:val="18"/>
                <w:szCs w:val="18"/>
              </w:rPr>
              <w:t>-45</w:t>
            </w:r>
          </w:p>
        </w:tc>
        <w:tc>
          <w:tcPr>
            <w:tcW w:w="400" w:type="pct"/>
            <w:gridSpan w:val="2"/>
            <w:tcBorders>
              <w:top w:val="nil"/>
            </w:tcBorders>
            <w:vAlign w:val="center"/>
          </w:tcPr>
          <w:p w14:paraId="46A0B099" w14:textId="77777777" w:rsidR="000F6636" w:rsidRPr="00741F8C" w:rsidRDefault="000F6636" w:rsidP="00484DB0">
            <w:pPr>
              <w:jc w:val="right"/>
              <w:rPr>
                <w:rFonts w:cs="Arial"/>
                <w:sz w:val="18"/>
                <w:szCs w:val="18"/>
              </w:rPr>
            </w:pPr>
            <w:r w:rsidRPr="00741F8C">
              <w:rPr>
                <w:rFonts w:cs="Arial"/>
                <w:sz w:val="18"/>
                <w:szCs w:val="18"/>
              </w:rPr>
              <w:t>456</w:t>
            </w:r>
          </w:p>
        </w:tc>
      </w:tr>
      <w:tr w:rsidR="000F6636" w:rsidRPr="00741F8C" w14:paraId="38241F98" w14:textId="77777777" w:rsidTr="00484DB0">
        <w:trPr>
          <w:gridAfter w:val="1"/>
          <w:wAfter w:w="11" w:type="pct"/>
          <w:trHeight w:val="251"/>
        </w:trPr>
        <w:tc>
          <w:tcPr>
            <w:tcW w:w="2189" w:type="pct"/>
            <w:tcBorders>
              <w:top w:val="nil"/>
              <w:left w:val="nil"/>
            </w:tcBorders>
            <w:shd w:val="clear" w:color="auto" w:fill="auto"/>
            <w:vAlign w:val="center"/>
          </w:tcPr>
          <w:p w14:paraId="2D953256" w14:textId="77777777" w:rsidR="000F6636" w:rsidRPr="00741F8C" w:rsidRDefault="000F6636" w:rsidP="00484DB0">
            <w:pPr>
              <w:rPr>
                <w:sz w:val="18"/>
                <w:szCs w:val="18"/>
              </w:rPr>
            </w:pPr>
            <w:r w:rsidRPr="00741F8C">
              <w:rPr>
                <w:sz w:val="18"/>
                <w:szCs w:val="18"/>
              </w:rPr>
              <w:t>- zadlženie ostatných subjektov VS</w:t>
            </w:r>
          </w:p>
        </w:tc>
        <w:tc>
          <w:tcPr>
            <w:tcW w:w="400" w:type="pct"/>
            <w:tcBorders>
              <w:top w:val="nil"/>
            </w:tcBorders>
            <w:shd w:val="clear" w:color="auto" w:fill="auto"/>
            <w:vAlign w:val="center"/>
          </w:tcPr>
          <w:p w14:paraId="4FB8E894" w14:textId="77777777" w:rsidR="000F6636" w:rsidRPr="00741F8C" w:rsidRDefault="000F6636" w:rsidP="00484DB0">
            <w:pPr>
              <w:jc w:val="right"/>
              <w:rPr>
                <w:rFonts w:cs="Arial"/>
                <w:sz w:val="18"/>
                <w:szCs w:val="18"/>
              </w:rPr>
            </w:pPr>
            <w:r w:rsidRPr="00741F8C">
              <w:rPr>
                <w:rFonts w:cs="Arial"/>
                <w:sz w:val="18"/>
                <w:szCs w:val="18"/>
              </w:rPr>
              <w:t>-152</w:t>
            </w:r>
          </w:p>
        </w:tc>
        <w:tc>
          <w:tcPr>
            <w:tcW w:w="400" w:type="pct"/>
            <w:tcBorders>
              <w:top w:val="nil"/>
            </w:tcBorders>
            <w:shd w:val="clear" w:color="auto" w:fill="auto"/>
            <w:vAlign w:val="center"/>
          </w:tcPr>
          <w:p w14:paraId="03BF5FB8" w14:textId="77777777" w:rsidR="000F6636" w:rsidRPr="00741F8C" w:rsidRDefault="000F6636" w:rsidP="00484DB0">
            <w:pPr>
              <w:jc w:val="right"/>
              <w:rPr>
                <w:rFonts w:cs="Arial"/>
                <w:sz w:val="18"/>
                <w:szCs w:val="18"/>
              </w:rPr>
            </w:pPr>
            <w:r w:rsidRPr="00741F8C">
              <w:rPr>
                <w:rFonts w:cs="Arial"/>
                <w:sz w:val="18"/>
                <w:szCs w:val="18"/>
              </w:rPr>
              <w:t>116</w:t>
            </w:r>
          </w:p>
        </w:tc>
        <w:tc>
          <w:tcPr>
            <w:tcW w:w="400" w:type="pct"/>
            <w:tcBorders>
              <w:top w:val="nil"/>
            </w:tcBorders>
            <w:shd w:val="clear" w:color="auto" w:fill="auto"/>
            <w:vAlign w:val="center"/>
          </w:tcPr>
          <w:p w14:paraId="5FC7C32C" w14:textId="77777777" w:rsidR="000F6636" w:rsidRPr="00741F8C" w:rsidRDefault="000F6636" w:rsidP="00484DB0">
            <w:pPr>
              <w:jc w:val="right"/>
              <w:rPr>
                <w:rFonts w:cs="Arial"/>
                <w:sz w:val="18"/>
                <w:szCs w:val="18"/>
              </w:rPr>
            </w:pPr>
            <w:r w:rsidRPr="00741F8C">
              <w:rPr>
                <w:rFonts w:cs="Arial"/>
                <w:sz w:val="18"/>
                <w:szCs w:val="18"/>
              </w:rPr>
              <w:t>201</w:t>
            </w:r>
          </w:p>
        </w:tc>
        <w:tc>
          <w:tcPr>
            <w:tcW w:w="400" w:type="pct"/>
            <w:tcBorders>
              <w:top w:val="nil"/>
            </w:tcBorders>
            <w:shd w:val="clear" w:color="auto" w:fill="auto"/>
            <w:vAlign w:val="center"/>
          </w:tcPr>
          <w:p w14:paraId="0D976B12" w14:textId="77777777" w:rsidR="000F6636" w:rsidRPr="00741F8C" w:rsidRDefault="000F6636" w:rsidP="00484DB0">
            <w:pPr>
              <w:jc w:val="right"/>
              <w:rPr>
                <w:rFonts w:cs="Arial"/>
                <w:sz w:val="18"/>
                <w:szCs w:val="18"/>
              </w:rPr>
            </w:pPr>
            <w:r w:rsidRPr="00741F8C">
              <w:rPr>
                <w:rFonts w:cs="Arial"/>
                <w:sz w:val="18"/>
                <w:szCs w:val="18"/>
              </w:rPr>
              <w:t>167</w:t>
            </w:r>
          </w:p>
        </w:tc>
        <w:tc>
          <w:tcPr>
            <w:tcW w:w="400" w:type="pct"/>
            <w:gridSpan w:val="2"/>
            <w:tcBorders>
              <w:top w:val="nil"/>
            </w:tcBorders>
            <w:shd w:val="clear" w:color="auto" w:fill="auto"/>
            <w:vAlign w:val="center"/>
          </w:tcPr>
          <w:p w14:paraId="04F33D3A" w14:textId="77777777" w:rsidR="000F6636" w:rsidRPr="00741F8C" w:rsidRDefault="000F6636" w:rsidP="00484DB0">
            <w:pPr>
              <w:jc w:val="right"/>
              <w:rPr>
                <w:rFonts w:cs="Arial"/>
                <w:sz w:val="18"/>
                <w:szCs w:val="18"/>
              </w:rPr>
            </w:pPr>
            <w:r w:rsidRPr="00741F8C">
              <w:rPr>
                <w:rFonts w:cs="Arial"/>
                <w:sz w:val="18"/>
                <w:szCs w:val="18"/>
              </w:rPr>
              <w:t>180</w:t>
            </w:r>
          </w:p>
        </w:tc>
        <w:tc>
          <w:tcPr>
            <w:tcW w:w="400" w:type="pct"/>
            <w:tcBorders>
              <w:top w:val="nil"/>
            </w:tcBorders>
            <w:shd w:val="clear" w:color="auto" w:fill="auto"/>
            <w:vAlign w:val="center"/>
          </w:tcPr>
          <w:p w14:paraId="02808994" w14:textId="77777777" w:rsidR="000F6636" w:rsidRPr="00741F8C" w:rsidRDefault="000F6636" w:rsidP="00484DB0">
            <w:pPr>
              <w:jc w:val="right"/>
              <w:rPr>
                <w:rFonts w:cs="Arial"/>
                <w:sz w:val="18"/>
                <w:szCs w:val="18"/>
              </w:rPr>
            </w:pPr>
            <w:r w:rsidRPr="00741F8C">
              <w:rPr>
                <w:rFonts w:cs="Arial"/>
                <w:sz w:val="18"/>
                <w:szCs w:val="18"/>
              </w:rPr>
              <w:t>217</w:t>
            </w:r>
          </w:p>
        </w:tc>
        <w:tc>
          <w:tcPr>
            <w:tcW w:w="400" w:type="pct"/>
            <w:gridSpan w:val="2"/>
            <w:tcBorders>
              <w:top w:val="nil"/>
            </w:tcBorders>
            <w:vAlign w:val="center"/>
          </w:tcPr>
          <w:p w14:paraId="182AAC63" w14:textId="77777777" w:rsidR="000F6636" w:rsidRPr="00741F8C" w:rsidRDefault="000F6636" w:rsidP="00484DB0">
            <w:pPr>
              <w:jc w:val="right"/>
              <w:rPr>
                <w:rFonts w:cs="Arial"/>
                <w:sz w:val="18"/>
                <w:szCs w:val="18"/>
              </w:rPr>
            </w:pPr>
            <w:r w:rsidRPr="00741F8C">
              <w:rPr>
                <w:rFonts w:cs="Arial"/>
                <w:sz w:val="18"/>
                <w:szCs w:val="18"/>
              </w:rPr>
              <w:t>233</w:t>
            </w:r>
          </w:p>
        </w:tc>
      </w:tr>
      <w:tr w:rsidR="000F6636" w:rsidRPr="00741F8C" w14:paraId="15310B1D" w14:textId="77777777" w:rsidTr="00484DB0">
        <w:trPr>
          <w:gridAfter w:val="1"/>
          <w:wAfter w:w="11" w:type="pct"/>
          <w:trHeight w:val="251"/>
        </w:trPr>
        <w:tc>
          <w:tcPr>
            <w:tcW w:w="2189" w:type="pct"/>
            <w:tcBorders>
              <w:top w:val="nil"/>
              <w:left w:val="nil"/>
            </w:tcBorders>
            <w:shd w:val="clear" w:color="auto" w:fill="auto"/>
            <w:vAlign w:val="center"/>
          </w:tcPr>
          <w:p w14:paraId="5CDCDB97" w14:textId="77777777" w:rsidR="000F6636" w:rsidRPr="00741F8C" w:rsidRDefault="000F6636" w:rsidP="00484DB0">
            <w:pPr>
              <w:ind w:left="356"/>
              <w:rPr>
                <w:sz w:val="18"/>
                <w:szCs w:val="18"/>
              </w:rPr>
            </w:pPr>
            <w:r w:rsidRPr="00741F8C">
              <w:rPr>
                <w:sz w:val="18"/>
                <w:szCs w:val="18"/>
              </w:rPr>
              <w:t>z toho: ŽSR + ŽSSK</w:t>
            </w:r>
          </w:p>
        </w:tc>
        <w:tc>
          <w:tcPr>
            <w:tcW w:w="400" w:type="pct"/>
            <w:tcBorders>
              <w:top w:val="nil"/>
            </w:tcBorders>
            <w:shd w:val="clear" w:color="auto" w:fill="auto"/>
            <w:vAlign w:val="center"/>
          </w:tcPr>
          <w:p w14:paraId="1FE113BD" w14:textId="77777777" w:rsidR="000F6636" w:rsidRPr="00741F8C" w:rsidRDefault="000F6636" w:rsidP="00484DB0">
            <w:pPr>
              <w:jc w:val="right"/>
              <w:rPr>
                <w:rFonts w:cs="Arial"/>
                <w:sz w:val="18"/>
                <w:szCs w:val="18"/>
              </w:rPr>
            </w:pPr>
            <w:r w:rsidRPr="00741F8C">
              <w:rPr>
                <w:rFonts w:cs="Arial"/>
                <w:sz w:val="18"/>
                <w:szCs w:val="18"/>
              </w:rPr>
              <w:t>-140</w:t>
            </w:r>
          </w:p>
        </w:tc>
        <w:tc>
          <w:tcPr>
            <w:tcW w:w="400" w:type="pct"/>
            <w:tcBorders>
              <w:top w:val="nil"/>
            </w:tcBorders>
            <w:shd w:val="clear" w:color="auto" w:fill="auto"/>
            <w:vAlign w:val="center"/>
          </w:tcPr>
          <w:p w14:paraId="18BEF202" w14:textId="77777777" w:rsidR="000F6636" w:rsidRPr="00741F8C" w:rsidRDefault="000F6636" w:rsidP="00484DB0">
            <w:pPr>
              <w:jc w:val="right"/>
              <w:rPr>
                <w:rFonts w:cs="Arial"/>
                <w:sz w:val="18"/>
                <w:szCs w:val="18"/>
              </w:rPr>
            </w:pPr>
            <w:r w:rsidRPr="00741F8C">
              <w:rPr>
                <w:rFonts w:cs="Arial"/>
                <w:sz w:val="18"/>
                <w:szCs w:val="18"/>
              </w:rPr>
              <w:t>-62</w:t>
            </w:r>
          </w:p>
        </w:tc>
        <w:tc>
          <w:tcPr>
            <w:tcW w:w="400" w:type="pct"/>
            <w:tcBorders>
              <w:top w:val="nil"/>
            </w:tcBorders>
            <w:shd w:val="clear" w:color="auto" w:fill="auto"/>
            <w:vAlign w:val="center"/>
          </w:tcPr>
          <w:p w14:paraId="705700FA" w14:textId="77777777" w:rsidR="000F6636" w:rsidRPr="00741F8C" w:rsidRDefault="000F6636" w:rsidP="00484DB0">
            <w:pPr>
              <w:jc w:val="right"/>
              <w:rPr>
                <w:rFonts w:cs="Arial"/>
                <w:sz w:val="18"/>
                <w:szCs w:val="18"/>
              </w:rPr>
            </w:pPr>
            <w:r w:rsidRPr="00741F8C">
              <w:rPr>
                <w:rFonts w:cs="Arial"/>
                <w:sz w:val="18"/>
                <w:szCs w:val="18"/>
              </w:rPr>
              <w:t>-9</w:t>
            </w:r>
          </w:p>
        </w:tc>
        <w:tc>
          <w:tcPr>
            <w:tcW w:w="400" w:type="pct"/>
            <w:tcBorders>
              <w:top w:val="nil"/>
            </w:tcBorders>
            <w:shd w:val="clear" w:color="auto" w:fill="auto"/>
            <w:vAlign w:val="center"/>
          </w:tcPr>
          <w:p w14:paraId="54CD773F" w14:textId="77777777" w:rsidR="000F6636" w:rsidRPr="00741F8C" w:rsidRDefault="000F6636" w:rsidP="00484DB0">
            <w:pPr>
              <w:jc w:val="right"/>
              <w:rPr>
                <w:rFonts w:cs="Arial"/>
                <w:sz w:val="18"/>
                <w:szCs w:val="18"/>
              </w:rPr>
            </w:pPr>
            <w:r w:rsidRPr="00741F8C">
              <w:rPr>
                <w:rFonts w:cs="Arial"/>
                <w:sz w:val="18"/>
                <w:szCs w:val="18"/>
              </w:rPr>
              <w:t>65</w:t>
            </w:r>
          </w:p>
        </w:tc>
        <w:tc>
          <w:tcPr>
            <w:tcW w:w="400" w:type="pct"/>
            <w:gridSpan w:val="2"/>
            <w:tcBorders>
              <w:top w:val="nil"/>
            </w:tcBorders>
            <w:shd w:val="clear" w:color="auto" w:fill="auto"/>
            <w:vAlign w:val="center"/>
          </w:tcPr>
          <w:p w14:paraId="6964929C" w14:textId="77777777" w:rsidR="000F6636" w:rsidRPr="00741F8C" w:rsidRDefault="000F6636" w:rsidP="00484DB0">
            <w:pPr>
              <w:jc w:val="right"/>
              <w:rPr>
                <w:rFonts w:cs="Arial"/>
                <w:sz w:val="18"/>
                <w:szCs w:val="18"/>
              </w:rPr>
            </w:pPr>
            <w:r w:rsidRPr="00741F8C">
              <w:rPr>
                <w:rFonts w:cs="Arial"/>
                <w:sz w:val="18"/>
                <w:szCs w:val="18"/>
              </w:rPr>
              <w:t>67</w:t>
            </w:r>
          </w:p>
        </w:tc>
        <w:tc>
          <w:tcPr>
            <w:tcW w:w="400" w:type="pct"/>
            <w:tcBorders>
              <w:top w:val="nil"/>
            </w:tcBorders>
            <w:shd w:val="clear" w:color="auto" w:fill="auto"/>
            <w:vAlign w:val="center"/>
          </w:tcPr>
          <w:p w14:paraId="52596BFF" w14:textId="77777777" w:rsidR="000F6636" w:rsidRPr="00741F8C" w:rsidRDefault="000F6636" w:rsidP="00484DB0">
            <w:pPr>
              <w:jc w:val="right"/>
              <w:rPr>
                <w:rFonts w:cs="Arial"/>
                <w:sz w:val="18"/>
                <w:szCs w:val="18"/>
              </w:rPr>
            </w:pPr>
            <w:r w:rsidRPr="00741F8C">
              <w:rPr>
                <w:rFonts w:cs="Arial"/>
                <w:sz w:val="18"/>
                <w:szCs w:val="18"/>
              </w:rPr>
              <w:t>100</w:t>
            </w:r>
          </w:p>
        </w:tc>
        <w:tc>
          <w:tcPr>
            <w:tcW w:w="400" w:type="pct"/>
            <w:gridSpan w:val="2"/>
            <w:tcBorders>
              <w:top w:val="nil"/>
            </w:tcBorders>
            <w:vAlign w:val="center"/>
          </w:tcPr>
          <w:p w14:paraId="4B91031B" w14:textId="77777777" w:rsidR="000F6636" w:rsidRPr="00741F8C" w:rsidRDefault="000F6636" w:rsidP="00484DB0">
            <w:pPr>
              <w:jc w:val="right"/>
              <w:rPr>
                <w:rFonts w:cs="Arial"/>
                <w:sz w:val="18"/>
                <w:szCs w:val="18"/>
              </w:rPr>
            </w:pPr>
            <w:r w:rsidRPr="00741F8C">
              <w:rPr>
                <w:rFonts w:cs="Arial"/>
                <w:sz w:val="18"/>
                <w:szCs w:val="18"/>
              </w:rPr>
              <w:t>100</w:t>
            </w:r>
          </w:p>
        </w:tc>
      </w:tr>
      <w:tr w:rsidR="000F6636" w:rsidRPr="00741F8C" w14:paraId="7363697B" w14:textId="77777777" w:rsidTr="00484DB0">
        <w:trPr>
          <w:gridAfter w:val="1"/>
          <w:wAfter w:w="11" w:type="pct"/>
          <w:trHeight w:val="251"/>
        </w:trPr>
        <w:tc>
          <w:tcPr>
            <w:tcW w:w="2189" w:type="pct"/>
            <w:tcBorders>
              <w:top w:val="nil"/>
              <w:left w:val="nil"/>
            </w:tcBorders>
            <w:shd w:val="clear" w:color="auto" w:fill="auto"/>
            <w:vAlign w:val="center"/>
          </w:tcPr>
          <w:p w14:paraId="15840505" w14:textId="77777777" w:rsidR="000F6636" w:rsidRPr="00741F8C" w:rsidRDefault="000F6636" w:rsidP="00484DB0">
            <w:pPr>
              <w:ind w:left="356"/>
              <w:rPr>
                <w:sz w:val="18"/>
                <w:szCs w:val="18"/>
              </w:rPr>
            </w:pPr>
            <w:r w:rsidRPr="00741F8C">
              <w:rPr>
                <w:sz w:val="18"/>
                <w:szCs w:val="18"/>
              </w:rPr>
              <w:t>z toho: Dopravné podniky obcí</w:t>
            </w:r>
          </w:p>
        </w:tc>
        <w:tc>
          <w:tcPr>
            <w:tcW w:w="400" w:type="pct"/>
            <w:tcBorders>
              <w:top w:val="nil"/>
            </w:tcBorders>
            <w:shd w:val="clear" w:color="auto" w:fill="auto"/>
            <w:vAlign w:val="center"/>
          </w:tcPr>
          <w:p w14:paraId="04C14E1D" w14:textId="77777777" w:rsidR="000F6636" w:rsidRPr="00741F8C" w:rsidRDefault="000F6636" w:rsidP="00484DB0">
            <w:pPr>
              <w:jc w:val="right"/>
              <w:rPr>
                <w:rFonts w:cs="Arial"/>
                <w:sz w:val="18"/>
                <w:szCs w:val="18"/>
              </w:rPr>
            </w:pPr>
            <w:r w:rsidRPr="00741F8C">
              <w:rPr>
                <w:rFonts w:cs="Arial"/>
                <w:sz w:val="18"/>
                <w:szCs w:val="18"/>
              </w:rPr>
              <w:t>-6</w:t>
            </w:r>
          </w:p>
        </w:tc>
        <w:tc>
          <w:tcPr>
            <w:tcW w:w="400" w:type="pct"/>
            <w:tcBorders>
              <w:top w:val="nil"/>
            </w:tcBorders>
            <w:shd w:val="clear" w:color="auto" w:fill="auto"/>
            <w:vAlign w:val="center"/>
          </w:tcPr>
          <w:p w14:paraId="06DE51FB" w14:textId="77777777" w:rsidR="000F6636" w:rsidRPr="00741F8C" w:rsidRDefault="000F6636" w:rsidP="00484DB0">
            <w:pPr>
              <w:jc w:val="right"/>
              <w:rPr>
                <w:rFonts w:cs="Arial"/>
                <w:sz w:val="18"/>
                <w:szCs w:val="18"/>
              </w:rPr>
            </w:pPr>
            <w:r w:rsidRPr="00741F8C">
              <w:rPr>
                <w:rFonts w:cs="Arial"/>
                <w:sz w:val="18"/>
                <w:szCs w:val="18"/>
              </w:rPr>
              <w:t>41</w:t>
            </w:r>
          </w:p>
        </w:tc>
        <w:tc>
          <w:tcPr>
            <w:tcW w:w="400" w:type="pct"/>
            <w:tcBorders>
              <w:top w:val="nil"/>
            </w:tcBorders>
            <w:shd w:val="clear" w:color="auto" w:fill="auto"/>
            <w:vAlign w:val="center"/>
          </w:tcPr>
          <w:p w14:paraId="19FBBA71" w14:textId="77777777" w:rsidR="000F6636" w:rsidRPr="00741F8C" w:rsidRDefault="000F6636" w:rsidP="00484DB0">
            <w:pPr>
              <w:jc w:val="right"/>
              <w:rPr>
                <w:rFonts w:cs="Arial"/>
                <w:sz w:val="18"/>
                <w:szCs w:val="18"/>
              </w:rPr>
            </w:pPr>
            <w:r w:rsidRPr="00741F8C">
              <w:rPr>
                <w:rFonts w:cs="Arial"/>
                <w:sz w:val="18"/>
                <w:szCs w:val="18"/>
              </w:rPr>
              <w:t>-10</w:t>
            </w:r>
          </w:p>
        </w:tc>
        <w:tc>
          <w:tcPr>
            <w:tcW w:w="400" w:type="pct"/>
            <w:tcBorders>
              <w:top w:val="nil"/>
            </w:tcBorders>
            <w:shd w:val="clear" w:color="auto" w:fill="auto"/>
            <w:vAlign w:val="center"/>
          </w:tcPr>
          <w:p w14:paraId="692C33A0"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gridSpan w:val="2"/>
            <w:tcBorders>
              <w:top w:val="nil"/>
            </w:tcBorders>
            <w:shd w:val="clear" w:color="auto" w:fill="auto"/>
            <w:vAlign w:val="center"/>
          </w:tcPr>
          <w:p w14:paraId="5FC57244" w14:textId="77777777" w:rsidR="000F6636" w:rsidRPr="00741F8C" w:rsidRDefault="000F6636" w:rsidP="00484DB0">
            <w:pPr>
              <w:jc w:val="right"/>
              <w:rPr>
                <w:rFonts w:cs="Arial"/>
                <w:sz w:val="18"/>
                <w:szCs w:val="18"/>
              </w:rPr>
            </w:pPr>
            <w:r w:rsidRPr="00741F8C">
              <w:rPr>
                <w:rFonts w:cs="Arial"/>
                <w:sz w:val="18"/>
                <w:szCs w:val="18"/>
              </w:rPr>
              <w:t>31</w:t>
            </w:r>
          </w:p>
        </w:tc>
        <w:tc>
          <w:tcPr>
            <w:tcW w:w="400" w:type="pct"/>
            <w:tcBorders>
              <w:top w:val="nil"/>
            </w:tcBorders>
            <w:shd w:val="clear" w:color="auto" w:fill="auto"/>
            <w:vAlign w:val="center"/>
          </w:tcPr>
          <w:p w14:paraId="34BD7F2F" w14:textId="77777777" w:rsidR="000F6636" w:rsidRPr="00741F8C" w:rsidRDefault="000F6636" w:rsidP="00484DB0">
            <w:pPr>
              <w:jc w:val="right"/>
              <w:rPr>
                <w:rFonts w:cs="Arial"/>
                <w:sz w:val="18"/>
                <w:szCs w:val="18"/>
              </w:rPr>
            </w:pPr>
            <w:r w:rsidRPr="00741F8C">
              <w:rPr>
                <w:rFonts w:cs="Arial"/>
                <w:sz w:val="18"/>
                <w:szCs w:val="18"/>
              </w:rPr>
              <w:t>35</w:t>
            </w:r>
          </w:p>
        </w:tc>
        <w:tc>
          <w:tcPr>
            <w:tcW w:w="400" w:type="pct"/>
            <w:gridSpan w:val="2"/>
            <w:tcBorders>
              <w:top w:val="nil"/>
            </w:tcBorders>
            <w:vAlign w:val="center"/>
          </w:tcPr>
          <w:p w14:paraId="64C4F7CD" w14:textId="77777777" w:rsidR="000F6636" w:rsidRPr="00741F8C" w:rsidRDefault="000F6636" w:rsidP="00484DB0">
            <w:pPr>
              <w:jc w:val="right"/>
              <w:rPr>
                <w:rFonts w:cs="Arial"/>
                <w:sz w:val="18"/>
                <w:szCs w:val="18"/>
              </w:rPr>
            </w:pPr>
            <w:r w:rsidRPr="00741F8C">
              <w:rPr>
                <w:rFonts w:cs="Arial"/>
                <w:sz w:val="18"/>
                <w:szCs w:val="18"/>
              </w:rPr>
              <w:t>27</w:t>
            </w:r>
          </w:p>
        </w:tc>
      </w:tr>
      <w:tr w:rsidR="000F6636" w:rsidRPr="00741F8C" w14:paraId="72539E85" w14:textId="77777777" w:rsidTr="00484DB0">
        <w:trPr>
          <w:gridAfter w:val="1"/>
          <w:wAfter w:w="11" w:type="pct"/>
          <w:trHeight w:val="251"/>
        </w:trPr>
        <w:tc>
          <w:tcPr>
            <w:tcW w:w="2189" w:type="pct"/>
            <w:tcBorders>
              <w:top w:val="nil"/>
              <w:left w:val="nil"/>
            </w:tcBorders>
            <w:shd w:val="clear" w:color="auto" w:fill="auto"/>
            <w:vAlign w:val="center"/>
          </w:tcPr>
          <w:p w14:paraId="47D2971C" w14:textId="77777777" w:rsidR="000F6636" w:rsidRPr="00741F8C" w:rsidRDefault="000F6636" w:rsidP="00484DB0">
            <w:pPr>
              <w:ind w:left="356"/>
              <w:rPr>
                <w:sz w:val="18"/>
                <w:szCs w:val="18"/>
              </w:rPr>
            </w:pPr>
            <w:r w:rsidRPr="00741F8C">
              <w:rPr>
                <w:sz w:val="18"/>
                <w:szCs w:val="18"/>
              </w:rPr>
              <w:t>z toho: Samospráva (obce a VÚC)</w:t>
            </w:r>
          </w:p>
        </w:tc>
        <w:tc>
          <w:tcPr>
            <w:tcW w:w="400" w:type="pct"/>
            <w:tcBorders>
              <w:top w:val="nil"/>
            </w:tcBorders>
            <w:shd w:val="clear" w:color="auto" w:fill="auto"/>
            <w:vAlign w:val="center"/>
          </w:tcPr>
          <w:p w14:paraId="74FBD7B9" w14:textId="77777777" w:rsidR="000F6636" w:rsidRPr="00741F8C" w:rsidRDefault="000F6636" w:rsidP="00484DB0">
            <w:pPr>
              <w:jc w:val="right"/>
              <w:rPr>
                <w:rFonts w:cs="Arial"/>
                <w:sz w:val="18"/>
                <w:szCs w:val="18"/>
              </w:rPr>
            </w:pPr>
            <w:r w:rsidRPr="00741F8C">
              <w:rPr>
                <w:rFonts w:cs="Arial"/>
                <w:sz w:val="18"/>
                <w:szCs w:val="18"/>
              </w:rPr>
              <w:t>18</w:t>
            </w:r>
          </w:p>
        </w:tc>
        <w:tc>
          <w:tcPr>
            <w:tcW w:w="400" w:type="pct"/>
            <w:tcBorders>
              <w:top w:val="nil"/>
            </w:tcBorders>
            <w:shd w:val="clear" w:color="auto" w:fill="auto"/>
            <w:vAlign w:val="center"/>
          </w:tcPr>
          <w:p w14:paraId="7C8FCA24" w14:textId="77777777" w:rsidR="000F6636" w:rsidRPr="00741F8C" w:rsidRDefault="000F6636" w:rsidP="00484DB0">
            <w:pPr>
              <w:jc w:val="right"/>
              <w:rPr>
                <w:rFonts w:cs="Arial"/>
                <w:sz w:val="18"/>
                <w:szCs w:val="18"/>
              </w:rPr>
            </w:pPr>
            <w:r w:rsidRPr="00741F8C">
              <w:rPr>
                <w:rFonts w:cs="Arial"/>
                <w:sz w:val="18"/>
                <w:szCs w:val="18"/>
              </w:rPr>
              <w:t>149</w:t>
            </w:r>
          </w:p>
        </w:tc>
        <w:tc>
          <w:tcPr>
            <w:tcW w:w="400" w:type="pct"/>
            <w:tcBorders>
              <w:top w:val="nil"/>
            </w:tcBorders>
            <w:shd w:val="clear" w:color="auto" w:fill="auto"/>
            <w:vAlign w:val="center"/>
          </w:tcPr>
          <w:p w14:paraId="334AC3AF" w14:textId="77777777" w:rsidR="000F6636" w:rsidRPr="00741F8C" w:rsidRDefault="000F6636" w:rsidP="00484DB0">
            <w:pPr>
              <w:jc w:val="right"/>
              <w:rPr>
                <w:rFonts w:cs="Arial"/>
                <w:sz w:val="18"/>
                <w:szCs w:val="18"/>
              </w:rPr>
            </w:pPr>
            <w:r w:rsidRPr="00741F8C">
              <w:rPr>
                <w:rFonts w:cs="Arial"/>
                <w:sz w:val="18"/>
                <w:szCs w:val="18"/>
              </w:rPr>
              <w:t>252</w:t>
            </w:r>
          </w:p>
        </w:tc>
        <w:tc>
          <w:tcPr>
            <w:tcW w:w="400" w:type="pct"/>
            <w:tcBorders>
              <w:top w:val="nil"/>
            </w:tcBorders>
            <w:shd w:val="clear" w:color="auto" w:fill="auto"/>
            <w:vAlign w:val="center"/>
          </w:tcPr>
          <w:p w14:paraId="5641ED1C" w14:textId="77777777" w:rsidR="000F6636" w:rsidRPr="00741F8C" w:rsidRDefault="000F6636" w:rsidP="00484DB0">
            <w:pPr>
              <w:jc w:val="right"/>
              <w:rPr>
                <w:rFonts w:cs="Arial"/>
                <w:sz w:val="18"/>
                <w:szCs w:val="18"/>
              </w:rPr>
            </w:pPr>
            <w:r w:rsidRPr="00741F8C">
              <w:rPr>
                <w:rFonts w:cs="Arial"/>
                <w:sz w:val="18"/>
                <w:szCs w:val="18"/>
              </w:rPr>
              <w:t>12</w:t>
            </w:r>
          </w:p>
        </w:tc>
        <w:tc>
          <w:tcPr>
            <w:tcW w:w="400" w:type="pct"/>
            <w:gridSpan w:val="2"/>
            <w:tcBorders>
              <w:top w:val="nil"/>
            </w:tcBorders>
            <w:shd w:val="clear" w:color="auto" w:fill="auto"/>
            <w:vAlign w:val="center"/>
          </w:tcPr>
          <w:p w14:paraId="3A323186" w14:textId="77777777" w:rsidR="000F6636" w:rsidRPr="00741F8C" w:rsidRDefault="000F6636" w:rsidP="00484DB0">
            <w:pPr>
              <w:jc w:val="right"/>
              <w:rPr>
                <w:rFonts w:cs="Arial"/>
                <w:sz w:val="18"/>
                <w:szCs w:val="18"/>
              </w:rPr>
            </w:pPr>
            <w:r w:rsidRPr="00741F8C">
              <w:rPr>
                <w:rFonts w:cs="Arial"/>
                <w:sz w:val="18"/>
                <w:szCs w:val="18"/>
              </w:rPr>
              <w:t>33</w:t>
            </w:r>
          </w:p>
        </w:tc>
        <w:tc>
          <w:tcPr>
            <w:tcW w:w="400" w:type="pct"/>
            <w:tcBorders>
              <w:top w:val="nil"/>
            </w:tcBorders>
            <w:shd w:val="clear" w:color="auto" w:fill="auto"/>
            <w:vAlign w:val="center"/>
          </w:tcPr>
          <w:p w14:paraId="32A2C02A" w14:textId="77777777" w:rsidR="000F6636" w:rsidRPr="00741F8C" w:rsidRDefault="000F6636" w:rsidP="00484DB0">
            <w:pPr>
              <w:jc w:val="right"/>
              <w:rPr>
                <w:rFonts w:cs="Arial"/>
                <w:sz w:val="18"/>
                <w:szCs w:val="18"/>
              </w:rPr>
            </w:pPr>
            <w:r w:rsidRPr="00741F8C">
              <w:rPr>
                <w:rFonts w:cs="Arial"/>
                <w:sz w:val="18"/>
                <w:szCs w:val="18"/>
              </w:rPr>
              <w:t>32</w:t>
            </w:r>
          </w:p>
        </w:tc>
        <w:tc>
          <w:tcPr>
            <w:tcW w:w="400" w:type="pct"/>
            <w:gridSpan w:val="2"/>
            <w:tcBorders>
              <w:top w:val="nil"/>
            </w:tcBorders>
            <w:vAlign w:val="center"/>
          </w:tcPr>
          <w:p w14:paraId="28B2E6F9" w14:textId="77777777" w:rsidR="000F6636" w:rsidRPr="00741F8C" w:rsidRDefault="000F6636" w:rsidP="00484DB0">
            <w:pPr>
              <w:jc w:val="right"/>
              <w:rPr>
                <w:rFonts w:cs="Arial"/>
                <w:sz w:val="18"/>
                <w:szCs w:val="18"/>
              </w:rPr>
            </w:pPr>
            <w:r w:rsidRPr="00741F8C">
              <w:rPr>
                <w:rFonts w:cs="Arial"/>
                <w:sz w:val="18"/>
                <w:szCs w:val="18"/>
              </w:rPr>
              <w:t>32</w:t>
            </w:r>
          </w:p>
        </w:tc>
      </w:tr>
      <w:tr w:rsidR="000F6636" w:rsidRPr="00741F8C" w14:paraId="7E860A1E" w14:textId="77777777" w:rsidTr="00484DB0">
        <w:trPr>
          <w:gridAfter w:val="1"/>
          <w:wAfter w:w="11" w:type="pct"/>
          <w:trHeight w:val="251"/>
        </w:trPr>
        <w:tc>
          <w:tcPr>
            <w:tcW w:w="2189" w:type="pct"/>
            <w:tcBorders>
              <w:top w:val="nil"/>
              <w:left w:val="nil"/>
            </w:tcBorders>
            <w:shd w:val="clear" w:color="auto" w:fill="auto"/>
            <w:vAlign w:val="center"/>
          </w:tcPr>
          <w:p w14:paraId="0CF539C6" w14:textId="77777777" w:rsidR="000F6636" w:rsidRPr="00741F8C" w:rsidRDefault="000F6636" w:rsidP="00484DB0">
            <w:pPr>
              <w:ind w:left="356"/>
              <w:rPr>
                <w:sz w:val="18"/>
                <w:szCs w:val="18"/>
              </w:rPr>
            </w:pPr>
            <w:r w:rsidRPr="00741F8C">
              <w:rPr>
                <w:sz w:val="18"/>
                <w:szCs w:val="18"/>
              </w:rPr>
              <w:t>z toho: Eximbanka</w:t>
            </w:r>
          </w:p>
        </w:tc>
        <w:tc>
          <w:tcPr>
            <w:tcW w:w="400" w:type="pct"/>
            <w:tcBorders>
              <w:top w:val="nil"/>
            </w:tcBorders>
            <w:shd w:val="clear" w:color="auto" w:fill="auto"/>
            <w:vAlign w:val="bottom"/>
          </w:tcPr>
          <w:p w14:paraId="36B6124F" w14:textId="77777777" w:rsidR="000F6636" w:rsidRPr="00741F8C" w:rsidRDefault="000F6636" w:rsidP="00484DB0">
            <w:pPr>
              <w:jc w:val="right"/>
              <w:rPr>
                <w:rFonts w:cs="Arial"/>
                <w:sz w:val="18"/>
                <w:szCs w:val="18"/>
              </w:rPr>
            </w:pPr>
            <w:r w:rsidRPr="00741F8C">
              <w:rPr>
                <w:rFonts w:cs="Arial"/>
                <w:sz w:val="18"/>
                <w:szCs w:val="18"/>
              </w:rPr>
              <w:t>-2</w:t>
            </w:r>
          </w:p>
        </w:tc>
        <w:tc>
          <w:tcPr>
            <w:tcW w:w="400" w:type="pct"/>
            <w:tcBorders>
              <w:top w:val="nil"/>
            </w:tcBorders>
            <w:shd w:val="clear" w:color="auto" w:fill="auto"/>
            <w:vAlign w:val="bottom"/>
          </w:tcPr>
          <w:p w14:paraId="01E92F14" w14:textId="77777777" w:rsidR="000F6636" w:rsidRPr="00741F8C" w:rsidRDefault="000F6636" w:rsidP="00484DB0">
            <w:pPr>
              <w:jc w:val="right"/>
              <w:rPr>
                <w:rFonts w:cs="Arial"/>
                <w:sz w:val="18"/>
                <w:szCs w:val="18"/>
              </w:rPr>
            </w:pPr>
            <w:r w:rsidRPr="00741F8C">
              <w:rPr>
                <w:rFonts w:cs="Arial"/>
                <w:sz w:val="18"/>
                <w:szCs w:val="18"/>
              </w:rPr>
              <w:t>14</w:t>
            </w:r>
          </w:p>
        </w:tc>
        <w:tc>
          <w:tcPr>
            <w:tcW w:w="400" w:type="pct"/>
            <w:tcBorders>
              <w:top w:val="nil"/>
            </w:tcBorders>
            <w:shd w:val="clear" w:color="auto" w:fill="auto"/>
            <w:vAlign w:val="bottom"/>
          </w:tcPr>
          <w:p w14:paraId="69BFC597" w14:textId="77777777" w:rsidR="000F6636" w:rsidRPr="00741F8C" w:rsidRDefault="000F6636" w:rsidP="00484DB0">
            <w:pPr>
              <w:jc w:val="right"/>
              <w:rPr>
                <w:rFonts w:cs="Arial"/>
                <w:sz w:val="18"/>
                <w:szCs w:val="18"/>
              </w:rPr>
            </w:pPr>
            <w:r w:rsidRPr="00741F8C">
              <w:rPr>
                <w:rFonts w:cs="Arial"/>
                <w:sz w:val="18"/>
                <w:szCs w:val="18"/>
              </w:rPr>
              <w:t>-1</w:t>
            </w:r>
          </w:p>
        </w:tc>
        <w:tc>
          <w:tcPr>
            <w:tcW w:w="400" w:type="pct"/>
            <w:tcBorders>
              <w:top w:val="nil"/>
            </w:tcBorders>
            <w:shd w:val="clear" w:color="auto" w:fill="auto"/>
            <w:vAlign w:val="bottom"/>
          </w:tcPr>
          <w:p w14:paraId="7D0C1BF4" w14:textId="77777777" w:rsidR="000F6636" w:rsidRPr="00741F8C" w:rsidRDefault="000F6636" w:rsidP="00484DB0">
            <w:pPr>
              <w:jc w:val="right"/>
              <w:rPr>
                <w:rFonts w:cs="Arial"/>
                <w:sz w:val="18"/>
                <w:szCs w:val="18"/>
              </w:rPr>
            </w:pPr>
            <w:r w:rsidRPr="00741F8C">
              <w:rPr>
                <w:rFonts w:cs="Arial"/>
                <w:sz w:val="18"/>
                <w:szCs w:val="18"/>
              </w:rPr>
              <w:t>100</w:t>
            </w:r>
          </w:p>
        </w:tc>
        <w:tc>
          <w:tcPr>
            <w:tcW w:w="400" w:type="pct"/>
            <w:gridSpan w:val="2"/>
            <w:tcBorders>
              <w:top w:val="nil"/>
            </w:tcBorders>
            <w:shd w:val="clear" w:color="auto" w:fill="auto"/>
            <w:vAlign w:val="bottom"/>
          </w:tcPr>
          <w:p w14:paraId="54995846" w14:textId="77777777" w:rsidR="000F6636" w:rsidRPr="00741F8C" w:rsidRDefault="000F6636" w:rsidP="00484DB0">
            <w:pPr>
              <w:jc w:val="right"/>
              <w:rPr>
                <w:rFonts w:cs="Arial"/>
                <w:sz w:val="18"/>
                <w:szCs w:val="18"/>
              </w:rPr>
            </w:pPr>
            <w:r w:rsidRPr="00741F8C">
              <w:rPr>
                <w:rFonts w:cs="Arial"/>
                <w:sz w:val="18"/>
                <w:szCs w:val="18"/>
              </w:rPr>
              <w:t>50</w:t>
            </w:r>
          </w:p>
        </w:tc>
        <w:tc>
          <w:tcPr>
            <w:tcW w:w="400" w:type="pct"/>
            <w:tcBorders>
              <w:top w:val="nil"/>
            </w:tcBorders>
            <w:shd w:val="clear" w:color="auto" w:fill="auto"/>
            <w:vAlign w:val="bottom"/>
          </w:tcPr>
          <w:p w14:paraId="19DC605B" w14:textId="77777777" w:rsidR="000F6636" w:rsidRPr="00741F8C" w:rsidRDefault="000F6636" w:rsidP="00484DB0">
            <w:pPr>
              <w:jc w:val="right"/>
              <w:rPr>
                <w:rFonts w:cs="Arial"/>
                <w:sz w:val="18"/>
                <w:szCs w:val="18"/>
              </w:rPr>
            </w:pPr>
            <w:r w:rsidRPr="00741F8C">
              <w:rPr>
                <w:rFonts w:cs="Arial"/>
                <w:sz w:val="18"/>
                <w:szCs w:val="18"/>
              </w:rPr>
              <w:t>50</w:t>
            </w:r>
          </w:p>
        </w:tc>
        <w:tc>
          <w:tcPr>
            <w:tcW w:w="400" w:type="pct"/>
            <w:gridSpan w:val="2"/>
            <w:tcBorders>
              <w:top w:val="nil"/>
            </w:tcBorders>
            <w:vAlign w:val="bottom"/>
          </w:tcPr>
          <w:p w14:paraId="36693E41" w14:textId="77777777" w:rsidR="000F6636" w:rsidRPr="00741F8C" w:rsidRDefault="000F6636" w:rsidP="00484DB0">
            <w:pPr>
              <w:jc w:val="right"/>
              <w:rPr>
                <w:rFonts w:cs="Arial"/>
                <w:sz w:val="18"/>
                <w:szCs w:val="18"/>
              </w:rPr>
            </w:pPr>
            <w:r w:rsidRPr="00741F8C">
              <w:rPr>
                <w:rFonts w:cs="Arial"/>
                <w:sz w:val="18"/>
                <w:szCs w:val="18"/>
              </w:rPr>
              <w:t>50</w:t>
            </w:r>
          </w:p>
        </w:tc>
      </w:tr>
      <w:tr w:rsidR="000F6636" w:rsidRPr="00741F8C" w14:paraId="1C78ACA6" w14:textId="77777777" w:rsidTr="00484DB0">
        <w:trPr>
          <w:gridAfter w:val="1"/>
          <w:wAfter w:w="11" w:type="pct"/>
          <w:trHeight w:val="251"/>
        </w:trPr>
        <w:tc>
          <w:tcPr>
            <w:tcW w:w="2189" w:type="pct"/>
            <w:tcBorders>
              <w:top w:val="nil"/>
              <w:left w:val="nil"/>
            </w:tcBorders>
            <w:shd w:val="clear" w:color="auto" w:fill="auto"/>
            <w:vAlign w:val="center"/>
          </w:tcPr>
          <w:p w14:paraId="773F1E2D" w14:textId="77777777" w:rsidR="000F6636" w:rsidRPr="00741F8C" w:rsidRDefault="000F6636" w:rsidP="00484DB0">
            <w:pPr>
              <w:rPr>
                <w:sz w:val="18"/>
                <w:szCs w:val="18"/>
              </w:rPr>
            </w:pPr>
            <w:r w:rsidRPr="00741F8C">
              <w:rPr>
                <w:sz w:val="18"/>
                <w:szCs w:val="18"/>
              </w:rPr>
              <w:t>- emisný diskont</w:t>
            </w:r>
          </w:p>
        </w:tc>
        <w:tc>
          <w:tcPr>
            <w:tcW w:w="400" w:type="pct"/>
            <w:tcBorders>
              <w:top w:val="nil"/>
            </w:tcBorders>
            <w:shd w:val="clear" w:color="auto" w:fill="auto"/>
            <w:vAlign w:val="center"/>
          </w:tcPr>
          <w:p w14:paraId="4B759929" w14:textId="77777777" w:rsidR="000F6636" w:rsidRPr="00741F8C" w:rsidRDefault="000F6636" w:rsidP="00484DB0">
            <w:pPr>
              <w:jc w:val="right"/>
              <w:rPr>
                <w:rFonts w:cs="Arial"/>
                <w:sz w:val="18"/>
                <w:szCs w:val="18"/>
              </w:rPr>
            </w:pPr>
            <w:r w:rsidRPr="00741F8C">
              <w:rPr>
                <w:rFonts w:cs="Arial"/>
                <w:sz w:val="18"/>
                <w:szCs w:val="18"/>
              </w:rPr>
              <w:t>18</w:t>
            </w:r>
          </w:p>
        </w:tc>
        <w:tc>
          <w:tcPr>
            <w:tcW w:w="400" w:type="pct"/>
            <w:tcBorders>
              <w:top w:val="nil"/>
            </w:tcBorders>
            <w:shd w:val="clear" w:color="auto" w:fill="auto"/>
            <w:vAlign w:val="center"/>
          </w:tcPr>
          <w:p w14:paraId="79819AA0" w14:textId="77777777" w:rsidR="000F6636" w:rsidRPr="00741F8C" w:rsidRDefault="000F6636" w:rsidP="00484DB0">
            <w:pPr>
              <w:jc w:val="right"/>
              <w:rPr>
                <w:rFonts w:cs="Arial"/>
                <w:sz w:val="18"/>
                <w:szCs w:val="18"/>
              </w:rPr>
            </w:pPr>
            <w:r w:rsidRPr="00741F8C">
              <w:rPr>
                <w:rFonts w:cs="Arial"/>
                <w:sz w:val="18"/>
                <w:szCs w:val="18"/>
              </w:rPr>
              <w:t>542</w:t>
            </w:r>
          </w:p>
        </w:tc>
        <w:tc>
          <w:tcPr>
            <w:tcW w:w="400" w:type="pct"/>
            <w:tcBorders>
              <w:top w:val="nil"/>
            </w:tcBorders>
            <w:shd w:val="clear" w:color="auto" w:fill="auto"/>
            <w:vAlign w:val="center"/>
          </w:tcPr>
          <w:p w14:paraId="7C15D911" w14:textId="77777777" w:rsidR="000F6636" w:rsidRPr="00741F8C" w:rsidRDefault="000F6636" w:rsidP="00484DB0">
            <w:pPr>
              <w:jc w:val="right"/>
              <w:rPr>
                <w:rFonts w:cs="Arial"/>
                <w:sz w:val="18"/>
                <w:szCs w:val="18"/>
              </w:rPr>
            </w:pPr>
            <w:r w:rsidRPr="00741F8C">
              <w:rPr>
                <w:rFonts w:cs="Arial"/>
                <w:sz w:val="18"/>
                <w:szCs w:val="18"/>
              </w:rPr>
              <w:t>454</w:t>
            </w:r>
          </w:p>
        </w:tc>
        <w:tc>
          <w:tcPr>
            <w:tcW w:w="400" w:type="pct"/>
            <w:tcBorders>
              <w:top w:val="nil"/>
            </w:tcBorders>
            <w:shd w:val="clear" w:color="auto" w:fill="auto"/>
            <w:vAlign w:val="center"/>
          </w:tcPr>
          <w:p w14:paraId="6D356592" w14:textId="77777777" w:rsidR="000F6636" w:rsidRPr="00741F8C" w:rsidRDefault="000F6636" w:rsidP="00484DB0">
            <w:pPr>
              <w:jc w:val="right"/>
              <w:rPr>
                <w:rFonts w:cs="Arial"/>
                <w:sz w:val="18"/>
                <w:szCs w:val="18"/>
              </w:rPr>
            </w:pPr>
            <w:r w:rsidRPr="00741F8C">
              <w:rPr>
                <w:rFonts w:cs="Arial"/>
                <w:sz w:val="18"/>
                <w:szCs w:val="18"/>
              </w:rPr>
              <w:t>742</w:t>
            </w:r>
          </w:p>
        </w:tc>
        <w:tc>
          <w:tcPr>
            <w:tcW w:w="400" w:type="pct"/>
            <w:gridSpan w:val="2"/>
            <w:tcBorders>
              <w:top w:val="nil"/>
            </w:tcBorders>
            <w:shd w:val="clear" w:color="auto" w:fill="auto"/>
            <w:vAlign w:val="center"/>
          </w:tcPr>
          <w:p w14:paraId="348690BE" w14:textId="77777777" w:rsidR="000F6636" w:rsidRPr="00741F8C" w:rsidRDefault="000F6636" w:rsidP="00484DB0">
            <w:pPr>
              <w:jc w:val="right"/>
              <w:rPr>
                <w:rFonts w:cs="Arial"/>
                <w:sz w:val="18"/>
                <w:szCs w:val="18"/>
              </w:rPr>
            </w:pPr>
            <w:r w:rsidRPr="00741F8C">
              <w:rPr>
                <w:rFonts w:cs="Arial"/>
                <w:sz w:val="18"/>
                <w:szCs w:val="18"/>
              </w:rPr>
              <w:t>689</w:t>
            </w:r>
          </w:p>
        </w:tc>
        <w:tc>
          <w:tcPr>
            <w:tcW w:w="400" w:type="pct"/>
            <w:tcBorders>
              <w:top w:val="nil"/>
            </w:tcBorders>
            <w:shd w:val="clear" w:color="auto" w:fill="auto"/>
            <w:vAlign w:val="center"/>
          </w:tcPr>
          <w:p w14:paraId="296BA8DC" w14:textId="77777777" w:rsidR="000F6636" w:rsidRPr="00741F8C" w:rsidRDefault="000F6636" w:rsidP="00484DB0">
            <w:pPr>
              <w:jc w:val="right"/>
              <w:rPr>
                <w:rFonts w:cs="Arial"/>
                <w:sz w:val="18"/>
                <w:szCs w:val="18"/>
              </w:rPr>
            </w:pPr>
            <w:r w:rsidRPr="00741F8C">
              <w:rPr>
                <w:rFonts w:cs="Arial"/>
                <w:sz w:val="18"/>
                <w:szCs w:val="18"/>
              </w:rPr>
              <w:t>998</w:t>
            </w:r>
          </w:p>
        </w:tc>
        <w:tc>
          <w:tcPr>
            <w:tcW w:w="400" w:type="pct"/>
            <w:gridSpan w:val="2"/>
            <w:tcBorders>
              <w:top w:val="nil"/>
            </w:tcBorders>
            <w:vAlign w:val="center"/>
          </w:tcPr>
          <w:p w14:paraId="2239BF9D" w14:textId="77777777" w:rsidR="000F6636" w:rsidRPr="00741F8C" w:rsidRDefault="000F6636" w:rsidP="00484DB0">
            <w:pPr>
              <w:jc w:val="right"/>
              <w:rPr>
                <w:rFonts w:cs="Arial"/>
                <w:sz w:val="18"/>
                <w:szCs w:val="18"/>
              </w:rPr>
            </w:pPr>
            <w:r w:rsidRPr="00741F8C">
              <w:rPr>
                <w:rFonts w:cs="Arial"/>
                <w:sz w:val="18"/>
                <w:szCs w:val="18"/>
              </w:rPr>
              <w:t>460</w:t>
            </w:r>
          </w:p>
        </w:tc>
      </w:tr>
      <w:tr w:rsidR="000F6636" w:rsidRPr="00741F8C" w14:paraId="0FD95DAD" w14:textId="77777777" w:rsidTr="00484DB0">
        <w:trPr>
          <w:gridAfter w:val="1"/>
          <w:wAfter w:w="11" w:type="pct"/>
          <w:trHeight w:val="251"/>
        </w:trPr>
        <w:tc>
          <w:tcPr>
            <w:tcW w:w="2189" w:type="pct"/>
            <w:tcBorders>
              <w:top w:val="nil"/>
              <w:left w:val="nil"/>
            </w:tcBorders>
            <w:shd w:val="clear" w:color="auto" w:fill="auto"/>
            <w:vAlign w:val="center"/>
          </w:tcPr>
          <w:p w14:paraId="5C842223" w14:textId="77777777" w:rsidR="000F6636" w:rsidRPr="00741F8C" w:rsidRDefault="000F6636" w:rsidP="00484DB0">
            <w:pPr>
              <w:rPr>
                <w:sz w:val="18"/>
                <w:szCs w:val="18"/>
              </w:rPr>
            </w:pPr>
            <w:r w:rsidRPr="00741F8C">
              <w:rPr>
                <w:sz w:val="18"/>
                <w:szCs w:val="18"/>
              </w:rPr>
              <w:t>- diskont pri splatnosti</w:t>
            </w:r>
          </w:p>
        </w:tc>
        <w:tc>
          <w:tcPr>
            <w:tcW w:w="400" w:type="pct"/>
            <w:tcBorders>
              <w:top w:val="nil"/>
            </w:tcBorders>
            <w:shd w:val="clear" w:color="auto" w:fill="auto"/>
            <w:vAlign w:val="center"/>
          </w:tcPr>
          <w:p w14:paraId="541E7DA4" w14:textId="77777777" w:rsidR="000F6636" w:rsidRPr="00741F8C" w:rsidRDefault="000F6636" w:rsidP="00484DB0">
            <w:pPr>
              <w:jc w:val="right"/>
              <w:rPr>
                <w:rFonts w:cs="Arial"/>
                <w:sz w:val="18"/>
                <w:szCs w:val="18"/>
              </w:rPr>
            </w:pPr>
            <w:r w:rsidRPr="00741F8C">
              <w:rPr>
                <w:rFonts w:cs="Arial"/>
                <w:sz w:val="18"/>
                <w:szCs w:val="18"/>
              </w:rPr>
              <w:t>-2</w:t>
            </w:r>
          </w:p>
        </w:tc>
        <w:tc>
          <w:tcPr>
            <w:tcW w:w="400" w:type="pct"/>
            <w:tcBorders>
              <w:top w:val="nil"/>
            </w:tcBorders>
            <w:shd w:val="clear" w:color="auto" w:fill="auto"/>
            <w:vAlign w:val="center"/>
          </w:tcPr>
          <w:p w14:paraId="30C6F01E" w14:textId="77777777" w:rsidR="000F6636" w:rsidRPr="00741F8C" w:rsidRDefault="000F6636" w:rsidP="00484DB0">
            <w:pPr>
              <w:jc w:val="right"/>
              <w:rPr>
                <w:rFonts w:cs="Arial"/>
                <w:sz w:val="18"/>
                <w:szCs w:val="18"/>
              </w:rPr>
            </w:pPr>
            <w:r w:rsidRPr="00741F8C">
              <w:rPr>
                <w:rFonts w:cs="Arial"/>
                <w:sz w:val="18"/>
                <w:szCs w:val="18"/>
              </w:rPr>
              <w:t>-11</w:t>
            </w:r>
          </w:p>
        </w:tc>
        <w:tc>
          <w:tcPr>
            <w:tcW w:w="400" w:type="pct"/>
            <w:tcBorders>
              <w:top w:val="nil"/>
            </w:tcBorders>
            <w:shd w:val="clear" w:color="auto" w:fill="auto"/>
            <w:vAlign w:val="center"/>
          </w:tcPr>
          <w:p w14:paraId="5AF68C2F" w14:textId="77777777" w:rsidR="000F6636" w:rsidRPr="00741F8C" w:rsidRDefault="000F6636" w:rsidP="00484DB0">
            <w:pPr>
              <w:jc w:val="right"/>
              <w:rPr>
                <w:rFonts w:cs="Arial"/>
                <w:sz w:val="18"/>
                <w:szCs w:val="18"/>
              </w:rPr>
            </w:pPr>
            <w:r w:rsidRPr="00741F8C">
              <w:rPr>
                <w:rFonts w:cs="Arial"/>
                <w:sz w:val="18"/>
                <w:szCs w:val="18"/>
              </w:rPr>
              <w:t>0</w:t>
            </w:r>
          </w:p>
        </w:tc>
        <w:tc>
          <w:tcPr>
            <w:tcW w:w="400" w:type="pct"/>
            <w:tcBorders>
              <w:top w:val="nil"/>
            </w:tcBorders>
            <w:shd w:val="clear" w:color="auto" w:fill="auto"/>
            <w:vAlign w:val="center"/>
          </w:tcPr>
          <w:p w14:paraId="3F6CC662" w14:textId="77777777" w:rsidR="000F6636" w:rsidRPr="00741F8C" w:rsidRDefault="000F6636" w:rsidP="00484DB0">
            <w:pPr>
              <w:jc w:val="right"/>
              <w:rPr>
                <w:rFonts w:cs="Arial"/>
                <w:sz w:val="18"/>
                <w:szCs w:val="18"/>
              </w:rPr>
            </w:pPr>
            <w:r w:rsidRPr="00741F8C">
              <w:rPr>
                <w:rFonts w:cs="Arial"/>
                <w:sz w:val="18"/>
                <w:szCs w:val="18"/>
              </w:rPr>
              <w:t>-15</w:t>
            </w:r>
          </w:p>
        </w:tc>
        <w:tc>
          <w:tcPr>
            <w:tcW w:w="400" w:type="pct"/>
            <w:gridSpan w:val="2"/>
            <w:tcBorders>
              <w:top w:val="nil"/>
            </w:tcBorders>
            <w:shd w:val="clear" w:color="auto" w:fill="auto"/>
            <w:vAlign w:val="center"/>
          </w:tcPr>
          <w:p w14:paraId="4B03793D" w14:textId="77777777" w:rsidR="000F6636" w:rsidRPr="00741F8C" w:rsidRDefault="000F6636" w:rsidP="00484DB0">
            <w:pPr>
              <w:jc w:val="right"/>
              <w:rPr>
                <w:rFonts w:cs="Arial"/>
                <w:sz w:val="18"/>
                <w:szCs w:val="18"/>
              </w:rPr>
            </w:pPr>
            <w:r w:rsidRPr="00741F8C">
              <w:rPr>
                <w:rFonts w:cs="Arial"/>
                <w:sz w:val="18"/>
                <w:szCs w:val="18"/>
              </w:rPr>
              <w:t>-53</w:t>
            </w:r>
          </w:p>
        </w:tc>
        <w:tc>
          <w:tcPr>
            <w:tcW w:w="400" w:type="pct"/>
            <w:tcBorders>
              <w:top w:val="nil"/>
            </w:tcBorders>
            <w:shd w:val="clear" w:color="auto" w:fill="auto"/>
            <w:vAlign w:val="center"/>
          </w:tcPr>
          <w:p w14:paraId="5F4EF89E" w14:textId="77777777" w:rsidR="000F6636" w:rsidRPr="00741F8C" w:rsidRDefault="000F6636" w:rsidP="00484DB0">
            <w:pPr>
              <w:jc w:val="right"/>
              <w:rPr>
                <w:rFonts w:cs="Arial"/>
                <w:sz w:val="18"/>
                <w:szCs w:val="18"/>
              </w:rPr>
            </w:pPr>
            <w:r w:rsidRPr="00741F8C">
              <w:rPr>
                <w:rFonts w:cs="Arial"/>
                <w:sz w:val="18"/>
                <w:szCs w:val="18"/>
              </w:rPr>
              <w:t>-39</w:t>
            </w:r>
          </w:p>
        </w:tc>
        <w:tc>
          <w:tcPr>
            <w:tcW w:w="400" w:type="pct"/>
            <w:gridSpan w:val="2"/>
            <w:tcBorders>
              <w:top w:val="nil"/>
            </w:tcBorders>
            <w:vAlign w:val="center"/>
          </w:tcPr>
          <w:p w14:paraId="73A4AEF8" w14:textId="77777777" w:rsidR="000F6636" w:rsidRPr="00741F8C" w:rsidRDefault="000F6636" w:rsidP="00484DB0">
            <w:pPr>
              <w:jc w:val="right"/>
              <w:rPr>
                <w:rFonts w:cs="Arial"/>
                <w:sz w:val="18"/>
                <w:szCs w:val="18"/>
              </w:rPr>
            </w:pPr>
            <w:r w:rsidRPr="00741F8C">
              <w:rPr>
                <w:rFonts w:cs="Arial"/>
                <w:sz w:val="18"/>
                <w:szCs w:val="18"/>
              </w:rPr>
              <w:t>-183</w:t>
            </w:r>
          </w:p>
        </w:tc>
      </w:tr>
      <w:tr w:rsidR="000F6636" w:rsidRPr="00741F8C" w14:paraId="60F2D559" w14:textId="77777777" w:rsidTr="00484DB0">
        <w:trPr>
          <w:gridAfter w:val="1"/>
          <w:wAfter w:w="11" w:type="pct"/>
          <w:trHeight w:val="251"/>
        </w:trPr>
        <w:tc>
          <w:tcPr>
            <w:tcW w:w="2189" w:type="pct"/>
            <w:tcBorders>
              <w:top w:val="nil"/>
              <w:left w:val="nil"/>
              <w:bottom w:val="single" w:sz="4" w:space="0" w:color="auto"/>
            </w:tcBorders>
            <w:shd w:val="clear" w:color="auto" w:fill="auto"/>
            <w:vAlign w:val="center"/>
          </w:tcPr>
          <w:p w14:paraId="20EB79CF" w14:textId="77777777" w:rsidR="000F6636" w:rsidRPr="00741F8C" w:rsidRDefault="000F6636" w:rsidP="00484DB0">
            <w:pPr>
              <w:rPr>
                <w:sz w:val="18"/>
                <w:szCs w:val="18"/>
              </w:rPr>
            </w:pPr>
            <w:r w:rsidRPr="00741F8C">
              <w:rPr>
                <w:sz w:val="18"/>
                <w:szCs w:val="18"/>
              </w:rPr>
              <w:t>- ostatné</w:t>
            </w:r>
          </w:p>
        </w:tc>
        <w:tc>
          <w:tcPr>
            <w:tcW w:w="400" w:type="pct"/>
            <w:tcBorders>
              <w:top w:val="nil"/>
              <w:bottom w:val="single" w:sz="4" w:space="0" w:color="auto"/>
            </w:tcBorders>
            <w:shd w:val="clear" w:color="auto" w:fill="auto"/>
            <w:vAlign w:val="center"/>
          </w:tcPr>
          <w:p w14:paraId="04ACCA60" w14:textId="77777777" w:rsidR="000F6636" w:rsidRPr="00741F8C" w:rsidRDefault="000F6636" w:rsidP="00484DB0">
            <w:pPr>
              <w:jc w:val="right"/>
              <w:rPr>
                <w:rFonts w:cs="Arial"/>
                <w:sz w:val="18"/>
                <w:szCs w:val="18"/>
              </w:rPr>
            </w:pPr>
            <w:r w:rsidRPr="00741F8C">
              <w:rPr>
                <w:rFonts w:cs="Arial"/>
                <w:sz w:val="18"/>
                <w:szCs w:val="18"/>
              </w:rPr>
              <w:t>1 732*</w:t>
            </w:r>
          </w:p>
        </w:tc>
        <w:tc>
          <w:tcPr>
            <w:tcW w:w="400" w:type="pct"/>
            <w:tcBorders>
              <w:top w:val="nil"/>
              <w:bottom w:val="single" w:sz="4" w:space="0" w:color="auto"/>
            </w:tcBorders>
            <w:shd w:val="clear" w:color="auto" w:fill="auto"/>
            <w:vAlign w:val="center"/>
          </w:tcPr>
          <w:p w14:paraId="73DC85FC" w14:textId="77777777" w:rsidR="000F6636" w:rsidRPr="00741F8C" w:rsidRDefault="000F6636" w:rsidP="00484DB0">
            <w:pPr>
              <w:jc w:val="right"/>
              <w:rPr>
                <w:rFonts w:cs="Arial"/>
                <w:sz w:val="18"/>
                <w:szCs w:val="18"/>
              </w:rPr>
            </w:pPr>
            <w:r w:rsidRPr="00741F8C">
              <w:rPr>
                <w:rFonts w:cs="Arial"/>
                <w:sz w:val="18"/>
                <w:szCs w:val="18"/>
              </w:rPr>
              <w:t>-1 881*</w:t>
            </w:r>
          </w:p>
        </w:tc>
        <w:tc>
          <w:tcPr>
            <w:tcW w:w="400" w:type="pct"/>
            <w:tcBorders>
              <w:top w:val="nil"/>
              <w:bottom w:val="single" w:sz="4" w:space="0" w:color="auto"/>
            </w:tcBorders>
            <w:shd w:val="clear" w:color="auto" w:fill="auto"/>
            <w:vAlign w:val="center"/>
          </w:tcPr>
          <w:p w14:paraId="6E0D0ED4" w14:textId="77777777" w:rsidR="000F6636" w:rsidRPr="00741F8C" w:rsidRDefault="000F6636" w:rsidP="00484DB0">
            <w:pPr>
              <w:jc w:val="right"/>
              <w:rPr>
                <w:rFonts w:cs="Arial"/>
                <w:sz w:val="18"/>
                <w:szCs w:val="18"/>
              </w:rPr>
            </w:pPr>
            <w:r w:rsidRPr="00741F8C">
              <w:rPr>
                <w:rFonts w:cs="Arial"/>
                <w:sz w:val="18"/>
                <w:szCs w:val="18"/>
              </w:rPr>
              <w:t>-292</w:t>
            </w:r>
          </w:p>
        </w:tc>
        <w:tc>
          <w:tcPr>
            <w:tcW w:w="400" w:type="pct"/>
            <w:tcBorders>
              <w:top w:val="nil"/>
              <w:bottom w:val="single" w:sz="4" w:space="0" w:color="auto"/>
            </w:tcBorders>
            <w:shd w:val="clear" w:color="auto" w:fill="auto"/>
            <w:vAlign w:val="center"/>
          </w:tcPr>
          <w:p w14:paraId="05FEC5A4" w14:textId="77777777" w:rsidR="000F6636" w:rsidRPr="00741F8C" w:rsidRDefault="000F6636" w:rsidP="00484DB0">
            <w:pPr>
              <w:jc w:val="right"/>
              <w:rPr>
                <w:rFonts w:cs="Arial"/>
                <w:sz w:val="18"/>
                <w:szCs w:val="18"/>
              </w:rPr>
            </w:pPr>
            <w:r w:rsidRPr="00741F8C">
              <w:rPr>
                <w:rFonts w:cs="Arial"/>
                <w:sz w:val="18"/>
                <w:szCs w:val="18"/>
              </w:rPr>
              <w:t>-1</w:t>
            </w:r>
          </w:p>
        </w:tc>
        <w:tc>
          <w:tcPr>
            <w:tcW w:w="400" w:type="pct"/>
            <w:gridSpan w:val="2"/>
            <w:tcBorders>
              <w:top w:val="nil"/>
              <w:bottom w:val="single" w:sz="4" w:space="0" w:color="auto"/>
            </w:tcBorders>
            <w:shd w:val="clear" w:color="auto" w:fill="auto"/>
            <w:vAlign w:val="center"/>
          </w:tcPr>
          <w:p w14:paraId="19F0EA57" w14:textId="77777777" w:rsidR="000F6636" w:rsidRPr="00741F8C" w:rsidRDefault="000F6636" w:rsidP="00484DB0">
            <w:pPr>
              <w:jc w:val="right"/>
              <w:rPr>
                <w:rFonts w:cs="Arial"/>
                <w:sz w:val="18"/>
                <w:szCs w:val="18"/>
              </w:rPr>
            </w:pPr>
            <w:r w:rsidRPr="00741F8C">
              <w:rPr>
                <w:rFonts w:cs="Arial"/>
                <w:sz w:val="18"/>
                <w:szCs w:val="18"/>
              </w:rPr>
              <w:t>0</w:t>
            </w:r>
          </w:p>
        </w:tc>
        <w:tc>
          <w:tcPr>
            <w:tcW w:w="400" w:type="pct"/>
            <w:tcBorders>
              <w:top w:val="nil"/>
              <w:bottom w:val="single" w:sz="4" w:space="0" w:color="auto"/>
            </w:tcBorders>
            <w:shd w:val="clear" w:color="auto" w:fill="auto"/>
            <w:vAlign w:val="center"/>
          </w:tcPr>
          <w:p w14:paraId="4A5AC334" w14:textId="77777777" w:rsidR="000F6636" w:rsidRPr="00741F8C" w:rsidRDefault="000F6636" w:rsidP="00484DB0">
            <w:pPr>
              <w:jc w:val="right"/>
              <w:rPr>
                <w:rFonts w:cs="Arial"/>
                <w:sz w:val="18"/>
                <w:szCs w:val="18"/>
              </w:rPr>
            </w:pPr>
            <w:r w:rsidRPr="00741F8C">
              <w:rPr>
                <w:rFonts w:cs="Arial"/>
                <w:sz w:val="18"/>
                <w:szCs w:val="18"/>
              </w:rPr>
              <w:t>0</w:t>
            </w:r>
          </w:p>
        </w:tc>
        <w:tc>
          <w:tcPr>
            <w:tcW w:w="400" w:type="pct"/>
            <w:gridSpan w:val="2"/>
            <w:tcBorders>
              <w:top w:val="nil"/>
              <w:bottom w:val="single" w:sz="4" w:space="0" w:color="auto"/>
            </w:tcBorders>
            <w:vAlign w:val="center"/>
          </w:tcPr>
          <w:p w14:paraId="16FF7331" w14:textId="77777777" w:rsidR="000F6636" w:rsidRPr="00741F8C" w:rsidRDefault="000F6636" w:rsidP="00484DB0">
            <w:pPr>
              <w:jc w:val="right"/>
              <w:rPr>
                <w:rFonts w:cs="Arial"/>
                <w:sz w:val="18"/>
                <w:szCs w:val="18"/>
              </w:rPr>
            </w:pPr>
            <w:r w:rsidRPr="00741F8C">
              <w:rPr>
                <w:rFonts w:cs="Arial"/>
                <w:sz w:val="18"/>
                <w:szCs w:val="18"/>
              </w:rPr>
              <w:t>0</w:t>
            </w:r>
          </w:p>
        </w:tc>
      </w:tr>
      <w:tr w:rsidR="000F6636" w:rsidRPr="00741F8C" w14:paraId="59999C7D" w14:textId="77777777" w:rsidTr="00484DB0">
        <w:trPr>
          <w:gridAfter w:val="1"/>
          <w:wAfter w:w="11" w:type="pct"/>
          <w:trHeight w:val="251"/>
        </w:trPr>
        <w:tc>
          <w:tcPr>
            <w:tcW w:w="2189" w:type="pct"/>
            <w:tcBorders>
              <w:top w:val="single" w:sz="4" w:space="0" w:color="auto"/>
              <w:left w:val="nil"/>
            </w:tcBorders>
            <w:shd w:val="clear" w:color="auto" w:fill="auto"/>
            <w:vAlign w:val="center"/>
          </w:tcPr>
          <w:p w14:paraId="5EEF9A29" w14:textId="77777777" w:rsidR="000F6636" w:rsidRPr="00741F8C" w:rsidRDefault="000F6636" w:rsidP="00484DB0">
            <w:pPr>
              <w:rPr>
                <w:b/>
                <w:sz w:val="18"/>
                <w:szCs w:val="18"/>
              </w:rPr>
            </w:pPr>
            <w:r w:rsidRPr="00741F8C">
              <w:rPr>
                <w:b/>
                <w:sz w:val="18"/>
                <w:szCs w:val="18"/>
              </w:rPr>
              <w:t>C. Hrubý dlh verejnej správy (k 31.12.)</w:t>
            </w:r>
          </w:p>
        </w:tc>
        <w:tc>
          <w:tcPr>
            <w:tcW w:w="400" w:type="pct"/>
            <w:tcBorders>
              <w:top w:val="single" w:sz="4" w:space="0" w:color="auto"/>
            </w:tcBorders>
            <w:shd w:val="clear" w:color="auto" w:fill="auto"/>
            <w:vAlign w:val="center"/>
          </w:tcPr>
          <w:p w14:paraId="28FA0724" w14:textId="77777777" w:rsidR="000F6636" w:rsidRPr="00741F8C" w:rsidRDefault="000F6636" w:rsidP="00484DB0">
            <w:pPr>
              <w:jc w:val="right"/>
              <w:rPr>
                <w:rFonts w:cs="Arial"/>
                <w:b/>
                <w:bCs/>
                <w:sz w:val="18"/>
                <w:szCs w:val="18"/>
              </w:rPr>
            </w:pPr>
            <w:r w:rsidRPr="00741F8C">
              <w:rPr>
                <w:rFonts w:cs="Arial"/>
                <w:b/>
                <w:bCs/>
                <w:sz w:val="18"/>
                <w:szCs w:val="18"/>
              </w:rPr>
              <w:t>61 238</w:t>
            </w:r>
          </w:p>
        </w:tc>
        <w:tc>
          <w:tcPr>
            <w:tcW w:w="400" w:type="pct"/>
            <w:tcBorders>
              <w:top w:val="single" w:sz="4" w:space="0" w:color="auto"/>
            </w:tcBorders>
            <w:shd w:val="clear" w:color="auto" w:fill="auto"/>
            <w:vAlign w:val="center"/>
          </w:tcPr>
          <w:p w14:paraId="1AF0A74E" w14:textId="77777777" w:rsidR="000F6636" w:rsidRPr="00741F8C" w:rsidRDefault="000F6636" w:rsidP="00484DB0">
            <w:pPr>
              <w:jc w:val="right"/>
              <w:rPr>
                <w:rFonts w:cs="Arial"/>
                <w:b/>
                <w:bCs/>
                <w:sz w:val="18"/>
                <w:szCs w:val="18"/>
              </w:rPr>
            </w:pPr>
            <w:r w:rsidRPr="00741F8C">
              <w:rPr>
                <w:rFonts w:cs="Arial"/>
                <w:b/>
                <w:bCs/>
                <w:sz w:val="18"/>
                <w:szCs w:val="18"/>
              </w:rPr>
              <w:t>63 378</w:t>
            </w:r>
          </w:p>
        </w:tc>
        <w:tc>
          <w:tcPr>
            <w:tcW w:w="400" w:type="pct"/>
            <w:tcBorders>
              <w:top w:val="single" w:sz="4" w:space="0" w:color="auto"/>
            </w:tcBorders>
            <w:shd w:val="clear" w:color="auto" w:fill="auto"/>
            <w:vAlign w:val="center"/>
          </w:tcPr>
          <w:p w14:paraId="1D4F09CB" w14:textId="77777777" w:rsidR="000F6636" w:rsidRPr="00741F8C" w:rsidRDefault="000F6636" w:rsidP="00484DB0">
            <w:pPr>
              <w:jc w:val="right"/>
              <w:rPr>
                <w:rFonts w:cs="Arial"/>
                <w:b/>
                <w:bCs/>
                <w:sz w:val="18"/>
                <w:szCs w:val="18"/>
              </w:rPr>
            </w:pPr>
            <w:r w:rsidRPr="00741F8C">
              <w:rPr>
                <w:rFonts w:cs="Arial"/>
                <w:b/>
                <w:bCs/>
                <w:sz w:val="18"/>
                <w:szCs w:val="18"/>
              </w:rPr>
              <w:t>68 830</w:t>
            </w:r>
          </w:p>
        </w:tc>
        <w:tc>
          <w:tcPr>
            <w:tcW w:w="400" w:type="pct"/>
            <w:tcBorders>
              <w:top w:val="single" w:sz="4" w:space="0" w:color="auto"/>
            </w:tcBorders>
            <w:shd w:val="clear" w:color="auto" w:fill="auto"/>
            <w:vAlign w:val="center"/>
          </w:tcPr>
          <w:p w14:paraId="7C377BE5" w14:textId="77777777" w:rsidR="000F6636" w:rsidRPr="00741F8C" w:rsidRDefault="000F6636" w:rsidP="00484DB0">
            <w:pPr>
              <w:jc w:val="right"/>
              <w:rPr>
                <w:rFonts w:cs="Arial"/>
                <w:b/>
                <w:bCs/>
                <w:sz w:val="18"/>
                <w:szCs w:val="18"/>
              </w:rPr>
            </w:pPr>
            <w:r w:rsidRPr="00741F8C">
              <w:rPr>
                <w:rFonts w:cs="Arial"/>
                <w:b/>
                <w:bCs/>
                <w:sz w:val="18"/>
                <w:szCs w:val="18"/>
              </w:rPr>
              <w:t>77 048</w:t>
            </w:r>
          </w:p>
        </w:tc>
        <w:tc>
          <w:tcPr>
            <w:tcW w:w="400" w:type="pct"/>
            <w:gridSpan w:val="2"/>
            <w:tcBorders>
              <w:top w:val="single" w:sz="4" w:space="0" w:color="auto"/>
            </w:tcBorders>
            <w:shd w:val="clear" w:color="auto" w:fill="auto"/>
            <w:vAlign w:val="center"/>
          </w:tcPr>
          <w:p w14:paraId="77990782" w14:textId="77777777" w:rsidR="000F6636" w:rsidRPr="00741F8C" w:rsidRDefault="000F6636" w:rsidP="00484DB0">
            <w:pPr>
              <w:jc w:val="right"/>
              <w:rPr>
                <w:rFonts w:cs="Arial"/>
                <w:b/>
                <w:bCs/>
                <w:sz w:val="18"/>
                <w:szCs w:val="18"/>
              </w:rPr>
            </w:pPr>
            <w:r w:rsidRPr="00741F8C">
              <w:rPr>
                <w:rFonts w:cs="Arial"/>
                <w:b/>
                <w:bCs/>
                <w:sz w:val="18"/>
                <w:szCs w:val="18"/>
              </w:rPr>
              <w:t>83 974</w:t>
            </w:r>
          </w:p>
        </w:tc>
        <w:tc>
          <w:tcPr>
            <w:tcW w:w="400" w:type="pct"/>
            <w:tcBorders>
              <w:top w:val="single" w:sz="4" w:space="0" w:color="auto"/>
            </w:tcBorders>
            <w:shd w:val="clear" w:color="auto" w:fill="auto"/>
            <w:vAlign w:val="center"/>
          </w:tcPr>
          <w:p w14:paraId="44C2083A" w14:textId="77777777" w:rsidR="000F6636" w:rsidRPr="00741F8C" w:rsidRDefault="000F6636" w:rsidP="00484DB0">
            <w:pPr>
              <w:jc w:val="right"/>
              <w:rPr>
                <w:rFonts w:cs="Arial"/>
                <w:b/>
                <w:bCs/>
                <w:sz w:val="18"/>
                <w:szCs w:val="18"/>
              </w:rPr>
            </w:pPr>
            <w:r w:rsidRPr="00741F8C">
              <w:rPr>
                <w:rFonts w:cs="Arial"/>
                <w:b/>
                <w:bCs/>
                <w:sz w:val="18"/>
                <w:szCs w:val="18"/>
              </w:rPr>
              <w:t>93 453</w:t>
            </w:r>
          </w:p>
        </w:tc>
        <w:tc>
          <w:tcPr>
            <w:tcW w:w="400" w:type="pct"/>
            <w:gridSpan w:val="2"/>
            <w:tcBorders>
              <w:top w:val="single" w:sz="4" w:space="0" w:color="auto"/>
            </w:tcBorders>
            <w:vAlign w:val="center"/>
          </w:tcPr>
          <w:p w14:paraId="62C2789A" w14:textId="77777777" w:rsidR="000F6636" w:rsidRPr="00741F8C" w:rsidRDefault="000F6636" w:rsidP="00484DB0">
            <w:pPr>
              <w:jc w:val="right"/>
              <w:rPr>
                <w:rFonts w:cs="Arial"/>
                <w:b/>
                <w:bCs/>
                <w:sz w:val="18"/>
                <w:szCs w:val="18"/>
              </w:rPr>
            </w:pPr>
            <w:r w:rsidRPr="00741F8C">
              <w:rPr>
                <w:rFonts w:cs="Arial"/>
                <w:b/>
                <w:bCs/>
                <w:sz w:val="18"/>
                <w:szCs w:val="18"/>
              </w:rPr>
              <w:t>103 557</w:t>
            </w:r>
          </w:p>
        </w:tc>
      </w:tr>
      <w:tr w:rsidR="000F6636" w:rsidRPr="00741F8C" w14:paraId="5E0E03DF" w14:textId="77777777" w:rsidTr="00484DB0">
        <w:trPr>
          <w:gridAfter w:val="1"/>
          <w:wAfter w:w="11" w:type="pct"/>
          <w:trHeight w:val="251"/>
        </w:trPr>
        <w:tc>
          <w:tcPr>
            <w:tcW w:w="2189" w:type="pct"/>
            <w:tcBorders>
              <w:top w:val="nil"/>
              <w:left w:val="nil"/>
              <w:bottom w:val="single" w:sz="4" w:space="0" w:color="auto"/>
            </w:tcBorders>
            <w:shd w:val="clear" w:color="auto" w:fill="auto"/>
            <w:vAlign w:val="center"/>
          </w:tcPr>
          <w:p w14:paraId="75153A81" w14:textId="77777777" w:rsidR="000F6636" w:rsidRPr="00741F8C" w:rsidRDefault="000F6636" w:rsidP="00484DB0">
            <w:pPr>
              <w:ind w:left="214"/>
              <w:rPr>
                <w:b/>
                <w:sz w:val="18"/>
                <w:szCs w:val="18"/>
              </w:rPr>
            </w:pPr>
            <w:r w:rsidRPr="00741F8C">
              <w:rPr>
                <w:b/>
                <w:sz w:val="18"/>
                <w:szCs w:val="18"/>
              </w:rPr>
              <w:t>v % HDP</w:t>
            </w:r>
          </w:p>
        </w:tc>
        <w:tc>
          <w:tcPr>
            <w:tcW w:w="400" w:type="pct"/>
            <w:tcBorders>
              <w:top w:val="nil"/>
              <w:bottom w:val="single" w:sz="4" w:space="0" w:color="auto"/>
            </w:tcBorders>
            <w:shd w:val="clear" w:color="auto" w:fill="auto"/>
            <w:vAlign w:val="center"/>
          </w:tcPr>
          <w:p w14:paraId="4A725190" w14:textId="77777777" w:rsidR="000F6636" w:rsidRPr="00741F8C" w:rsidRDefault="000F6636" w:rsidP="00484DB0">
            <w:pPr>
              <w:jc w:val="right"/>
              <w:rPr>
                <w:rFonts w:cs="Arial"/>
                <w:b/>
                <w:bCs/>
                <w:sz w:val="18"/>
                <w:szCs w:val="18"/>
              </w:rPr>
            </w:pPr>
            <w:r w:rsidRPr="00741F8C">
              <w:rPr>
                <w:rFonts w:cs="Arial"/>
                <w:b/>
                <w:bCs/>
                <w:sz w:val="18"/>
                <w:szCs w:val="18"/>
              </w:rPr>
              <w:t>61,1</w:t>
            </w:r>
          </w:p>
        </w:tc>
        <w:tc>
          <w:tcPr>
            <w:tcW w:w="400" w:type="pct"/>
            <w:tcBorders>
              <w:top w:val="nil"/>
              <w:bottom w:val="single" w:sz="4" w:space="0" w:color="auto"/>
            </w:tcBorders>
            <w:shd w:val="clear" w:color="auto" w:fill="auto"/>
            <w:vAlign w:val="center"/>
          </w:tcPr>
          <w:p w14:paraId="1EAFCDF7" w14:textId="77777777" w:rsidR="000F6636" w:rsidRPr="00741F8C" w:rsidRDefault="000F6636" w:rsidP="00484DB0">
            <w:pPr>
              <w:jc w:val="right"/>
              <w:rPr>
                <w:rFonts w:cs="Arial"/>
                <w:b/>
                <w:bCs/>
                <w:sz w:val="18"/>
                <w:szCs w:val="18"/>
              </w:rPr>
            </w:pPr>
            <w:r w:rsidRPr="00741F8C">
              <w:rPr>
                <w:rFonts w:cs="Arial"/>
                <w:b/>
                <w:bCs/>
                <w:sz w:val="18"/>
                <w:szCs w:val="18"/>
              </w:rPr>
              <w:t>57,7</w:t>
            </w:r>
          </w:p>
        </w:tc>
        <w:tc>
          <w:tcPr>
            <w:tcW w:w="400" w:type="pct"/>
            <w:tcBorders>
              <w:top w:val="nil"/>
              <w:bottom w:val="single" w:sz="4" w:space="0" w:color="auto"/>
            </w:tcBorders>
            <w:shd w:val="clear" w:color="auto" w:fill="auto"/>
            <w:vAlign w:val="center"/>
          </w:tcPr>
          <w:p w14:paraId="597D4F9A" w14:textId="77777777" w:rsidR="000F6636" w:rsidRPr="00741F8C" w:rsidRDefault="000F6636" w:rsidP="00484DB0">
            <w:pPr>
              <w:jc w:val="right"/>
              <w:rPr>
                <w:rFonts w:cs="Arial"/>
                <w:b/>
                <w:bCs/>
                <w:sz w:val="18"/>
                <w:szCs w:val="18"/>
              </w:rPr>
            </w:pPr>
            <w:r w:rsidRPr="00741F8C">
              <w:rPr>
                <w:rFonts w:cs="Arial"/>
                <w:b/>
                <w:bCs/>
                <w:sz w:val="18"/>
                <w:szCs w:val="18"/>
              </w:rPr>
              <w:t>56,0</w:t>
            </w:r>
          </w:p>
        </w:tc>
        <w:tc>
          <w:tcPr>
            <w:tcW w:w="400" w:type="pct"/>
            <w:tcBorders>
              <w:top w:val="nil"/>
              <w:bottom w:val="single" w:sz="4" w:space="0" w:color="auto"/>
            </w:tcBorders>
            <w:shd w:val="clear" w:color="auto" w:fill="auto"/>
            <w:vAlign w:val="center"/>
          </w:tcPr>
          <w:p w14:paraId="37639CBD" w14:textId="77777777" w:rsidR="000F6636" w:rsidRPr="00741F8C" w:rsidRDefault="000F6636" w:rsidP="00484DB0">
            <w:pPr>
              <w:jc w:val="right"/>
              <w:rPr>
                <w:rFonts w:cs="Arial"/>
                <w:b/>
                <w:bCs/>
                <w:sz w:val="18"/>
                <w:szCs w:val="18"/>
              </w:rPr>
            </w:pPr>
            <w:r w:rsidRPr="00741F8C">
              <w:rPr>
                <w:rFonts w:cs="Arial"/>
                <w:b/>
                <w:bCs/>
                <w:sz w:val="18"/>
                <w:szCs w:val="18"/>
              </w:rPr>
              <w:t>58,6</w:t>
            </w:r>
          </w:p>
        </w:tc>
        <w:tc>
          <w:tcPr>
            <w:tcW w:w="400" w:type="pct"/>
            <w:gridSpan w:val="2"/>
            <w:tcBorders>
              <w:top w:val="nil"/>
              <w:bottom w:val="single" w:sz="4" w:space="0" w:color="auto"/>
            </w:tcBorders>
            <w:shd w:val="clear" w:color="auto" w:fill="auto"/>
            <w:vAlign w:val="center"/>
          </w:tcPr>
          <w:p w14:paraId="0380D7AE" w14:textId="77777777" w:rsidR="000F6636" w:rsidRPr="00741F8C" w:rsidRDefault="000F6636" w:rsidP="00484DB0">
            <w:pPr>
              <w:jc w:val="right"/>
              <w:rPr>
                <w:rFonts w:cs="Arial"/>
                <w:b/>
                <w:bCs/>
                <w:sz w:val="18"/>
                <w:szCs w:val="18"/>
              </w:rPr>
            </w:pPr>
            <w:r w:rsidRPr="00741F8C">
              <w:rPr>
                <w:rFonts w:cs="Arial"/>
                <w:b/>
                <w:bCs/>
                <w:sz w:val="18"/>
                <w:szCs w:val="18"/>
              </w:rPr>
              <w:t>59,8</w:t>
            </w:r>
          </w:p>
        </w:tc>
        <w:tc>
          <w:tcPr>
            <w:tcW w:w="400" w:type="pct"/>
            <w:tcBorders>
              <w:top w:val="nil"/>
              <w:bottom w:val="single" w:sz="4" w:space="0" w:color="auto"/>
            </w:tcBorders>
            <w:shd w:val="clear" w:color="auto" w:fill="auto"/>
            <w:vAlign w:val="center"/>
          </w:tcPr>
          <w:p w14:paraId="00DED999" w14:textId="77777777" w:rsidR="000F6636" w:rsidRPr="00741F8C" w:rsidRDefault="000F6636" w:rsidP="00484DB0">
            <w:pPr>
              <w:jc w:val="right"/>
              <w:rPr>
                <w:rFonts w:cs="Arial"/>
                <w:b/>
                <w:bCs/>
                <w:sz w:val="18"/>
                <w:szCs w:val="18"/>
              </w:rPr>
            </w:pPr>
            <w:r w:rsidRPr="00741F8C">
              <w:rPr>
                <w:rFonts w:cs="Arial"/>
                <w:b/>
                <w:bCs/>
                <w:sz w:val="18"/>
                <w:szCs w:val="18"/>
              </w:rPr>
              <w:t>63,6</w:t>
            </w:r>
          </w:p>
        </w:tc>
        <w:tc>
          <w:tcPr>
            <w:tcW w:w="400" w:type="pct"/>
            <w:gridSpan w:val="2"/>
            <w:tcBorders>
              <w:top w:val="nil"/>
              <w:bottom w:val="single" w:sz="4" w:space="0" w:color="auto"/>
            </w:tcBorders>
            <w:vAlign w:val="center"/>
          </w:tcPr>
          <w:p w14:paraId="004E7C95" w14:textId="77777777" w:rsidR="000F6636" w:rsidRPr="00741F8C" w:rsidRDefault="000F6636" w:rsidP="00484DB0">
            <w:pPr>
              <w:jc w:val="right"/>
              <w:rPr>
                <w:rFonts w:cs="Arial"/>
                <w:b/>
                <w:bCs/>
                <w:sz w:val="18"/>
                <w:szCs w:val="18"/>
              </w:rPr>
            </w:pPr>
            <w:r w:rsidRPr="00741F8C">
              <w:rPr>
                <w:rFonts w:cs="Arial"/>
                <w:b/>
                <w:bCs/>
                <w:sz w:val="18"/>
                <w:szCs w:val="18"/>
              </w:rPr>
              <w:t>67,8</w:t>
            </w:r>
          </w:p>
        </w:tc>
      </w:tr>
      <w:tr w:rsidR="000F6636" w:rsidRPr="00741F8C" w14:paraId="398E5683" w14:textId="77777777" w:rsidTr="00484DB0">
        <w:trPr>
          <w:gridAfter w:val="1"/>
          <w:wAfter w:w="11" w:type="pct"/>
          <w:trHeight w:val="251"/>
        </w:trPr>
        <w:tc>
          <w:tcPr>
            <w:tcW w:w="2189" w:type="pct"/>
            <w:tcBorders>
              <w:top w:val="single" w:sz="4" w:space="0" w:color="auto"/>
              <w:left w:val="nil"/>
              <w:right w:val="nil"/>
            </w:tcBorders>
            <w:shd w:val="clear" w:color="auto" w:fill="auto"/>
            <w:vAlign w:val="center"/>
          </w:tcPr>
          <w:p w14:paraId="5AB759A3" w14:textId="77777777" w:rsidR="000F6636" w:rsidRPr="00741F8C" w:rsidRDefault="000F6636" w:rsidP="00484DB0">
            <w:pPr>
              <w:rPr>
                <w:b/>
                <w:sz w:val="18"/>
                <w:szCs w:val="18"/>
              </w:rPr>
            </w:pPr>
            <w:r w:rsidRPr="00741F8C">
              <w:rPr>
                <w:b/>
                <w:sz w:val="18"/>
                <w:szCs w:val="18"/>
              </w:rPr>
              <w:t>D. Zmena hrubého dlhu oproti Programu stability (p. b.)</w:t>
            </w:r>
          </w:p>
        </w:tc>
        <w:tc>
          <w:tcPr>
            <w:tcW w:w="400" w:type="pct"/>
            <w:tcBorders>
              <w:top w:val="single" w:sz="4" w:space="0" w:color="auto"/>
              <w:left w:val="nil"/>
              <w:bottom w:val="nil"/>
              <w:right w:val="nil"/>
            </w:tcBorders>
            <w:shd w:val="clear" w:color="auto" w:fill="auto"/>
            <w:vAlign w:val="center"/>
          </w:tcPr>
          <w:p w14:paraId="46F6AB90" w14:textId="77777777" w:rsidR="000F6636" w:rsidRPr="00741F8C" w:rsidRDefault="000F6636" w:rsidP="00484DB0">
            <w:pPr>
              <w:jc w:val="right"/>
              <w:rPr>
                <w:rFonts w:cs="Arial"/>
                <w:b/>
                <w:bCs/>
                <w:sz w:val="18"/>
                <w:szCs w:val="18"/>
              </w:rPr>
            </w:pPr>
            <w:r w:rsidRPr="00741F8C">
              <w:rPr>
                <w:rFonts w:cs="Arial"/>
                <w:b/>
                <w:bCs/>
                <w:sz w:val="18"/>
                <w:szCs w:val="18"/>
              </w:rPr>
              <w:t>0,0</w:t>
            </w:r>
          </w:p>
        </w:tc>
        <w:tc>
          <w:tcPr>
            <w:tcW w:w="400" w:type="pct"/>
            <w:tcBorders>
              <w:top w:val="single" w:sz="4" w:space="0" w:color="auto"/>
              <w:left w:val="nil"/>
              <w:bottom w:val="nil"/>
              <w:right w:val="nil"/>
            </w:tcBorders>
            <w:shd w:val="clear" w:color="auto" w:fill="auto"/>
            <w:vAlign w:val="center"/>
          </w:tcPr>
          <w:p w14:paraId="00209BFE" w14:textId="77777777" w:rsidR="000F6636" w:rsidRPr="00741F8C" w:rsidRDefault="000F6636" w:rsidP="00484DB0">
            <w:pPr>
              <w:jc w:val="right"/>
              <w:rPr>
                <w:rFonts w:cs="Arial"/>
                <w:b/>
                <w:bCs/>
                <w:sz w:val="18"/>
                <w:szCs w:val="18"/>
              </w:rPr>
            </w:pPr>
            <w:r w:rsidRPr="00741F8C">
              <w:rPr>
                <w:rFonts w:cs="Arial"/>
                <w:b/>
                <w:bCs/>
                <w:sz w:val="18"/>
                <w:szCs w:val="18"/>
              </w:rPr>
              <w:t>-0,1</w:t>
            </w:r>
          </w:p>
        </w:tc>
        <w:tc>
          <w:tcPr>
            <w:tcW w:w="400" w:type="pct"/>
            <w:tcBorders>
              <w:top w:val="single" w:sz="4" w:space="0" w:color="auto"/>
              <w:left w:val="nil"/>
              <w:bottom w:val="nil"/>
              <w:right w:val="nil"/>
            </w:tcBorders>
            <w:shd w:val="clear" w:color="auto" w:fill="auto"/>
            <w:vAlign w:val="center"/>
          </w:tcPr>
          <w:p w14:paraId="7E0D093B" w14:textId="77777777" w:rsidR="000F6636" w:rsidRPr="00741F8C" w:rsidRDefault="000F6636" w:rsidP="00484DB0">
            <w:pPr>
              <w:jc w:val="right"/>
              <w:rPr>
                <w:rFonts w:cs="Arial"/>
                <w:b/>
                <w:bCs/>
                <w:sz w:val="18"/>
                <w:szCs w:val="18"/>
              </w:rPr>
            </w:pPr>
            <w:r w:rsidRPr="00741F8C">
              <w:rPr>
                <w:rFonts w:cs="Arial"/>
                <w:b/>
                <w:bCs/>
                <w:sz w:val="18"/>
                <w:szCs w:val="18"/>
              </w:rPr>
              <w:t>-2,6</w:t>
            </w:r>
          </w:p>
        </w:tc>
        <w:tc>
          <w:tcPr>
            <w:tcW w:w="400" w:type="pct"/>
            <w:tcBorders>
              <w:top w:val="single" w:sz="4" w:space="0" w:color="auto"/>
              <w:left w:val="nil"/>
              <w:bottom w:val="nil"/>
              <w:right w:val="nil"/>
            </w:tcBorders>
            <w:shd w:val="clear" w:color="auto" w:fill="auto"/>
            <w:vAlign w:val="center"/>
          </w:tcPr>
          <w:p w14:paraId="552811D9" w14:textId="77777777" w:rsidR="000F6636" w:rsidRPr="00741F8C" w:rsidRDefault="000F6636" w:rsidP="00484DB0">
            <w:pPr>
              <w:jc w:val="right"/>
              <w:rPr>
                <w:rFonts w:cs="Arial"/>
                <w:b/>
                <w:bCs/>
                <w:sz w:val="18"/>
                <w:szCs w:val="18"/>
              </w:rPr>
            </w:pPr>
            <w:r w:rsidRPr="00741F8C">
              <w:rPr>
                <w:rFonts w:cs="Arial"/>
                <w:b/>
                <w:bCs/>
                <w:sz w:val="18"/>
                <w:szCs w:val="18"/>
              </w:rPr>
              <w:t>-0,7</w:t>
            </w:r>
          </w:p>
        </w:tc>
        <w:tc>
          <w:tcPr>
            <w:tcW w:w="400" w:type="pct"/>
            <w:gridSpan w:val="2"/>
            <w:tcBorders>
              <w:top w:val="single" w:sz="4" w:space="0" w:color="auto"/>
              <w:left w:val="nil"/>
              <w:bottom w:val="nil"/>
              <w:right w:val="nil"/>
            </w:tcBorders>
            <w:shd w:val="clear" w:color="auto" w:fill="auto"/>
            <w:vAlign w:val="center"/>
          </w:tcPr>
          <w:p w14:paraId="7D418BF8" w14:textId="77777777" w:rsidR="000F6636" w:rsidRPr="00741F8C" w:rsidRDefault="000F6636" w:rsidP="00484DB0">
            <w:pPr>
              <w:jc w:val="right"/>
              <w:rPr>
                <w:rFonts w:cs="Arial"/>
                <w:b/>
                <w:bCs/>
                <w:sz w:val="18"/>
                <w:szCs w:val="18"/>
              </w:rPr>
            </w:pPr>
            <w:r w:rsidRPr="00741F8C">
              <w:rPr>
                <w:rFonts w:cs="Arial"/>
                <w:b/>
                <w:bCs/>
                <w:sz w:val="18"/>
                <w:szCs w:val="18"/>
              </w:rPr>
              <w:t>0,0</w:t>
            </w:r>
          </w:p>
        </w:tc>
        <w:tc>
          <w:tcPr>
            <w:tcW w:w="400" w:type="pct"/>
            <w:tcBorders>
              <w:top w:val="single" w:sz="4" w:space="0" w:color="auto"/>
              <w:left w:val="nil"/>
              <w:bottom w:val="nil"/>
              <w:right w:val="nil"/>
            </w:tcBorders>
            <w:shd w:val="clear" w:color="auto" w:fill="auto"/>
            <w:vAlign w:val="center"/>
          </w:tcPr>
          <w:p w14:paraId="56A396A3" w14:textId="77777777" w:rsidR="000F6636" w:rsidRPr="00741F8C" w:rsidRDefault="000F6636" w:rsidP="00484DB0">
            <w:pPr>
              <w:jc w:val="right"/>
              <w:rPr>
                <w:rFonts w:cs="Arial"/>
                <w:b/>
                <w:bCs/>
                <w:sz w:val="18"/>
                <w:szCs w:val="18"/>
              </w:rPr>
            </w:pPr>
            <w:r w:rsidRPr="00741F8C">
              <w:rPr>
                <w:rFonts w:cs="Arial"/>
                <w:b/>
                <w:bCs/>
                <w:sz w:val="18"/>
                <w:szCs w:val="18"/>
              </w:rPr>
              <w:t>0,5</w:t>
            </w:r>
          </w:p>
        </w:tc>
        <w:tc>
          <w:tcPr>
            <w:tcW w:w="400" w:type="pct"/>
            <w:gridSpan w:val="2"/>
            <w:tcBorders>
              <w:top w:val="single" w:sz="4" w:space="0" w:color="auto"/>
              <w:left w:val="nil"/>
              <w:bottom w:val="nil"/>
              <w:right w:val="nil"/>
            </w:tcBorders>
            <w:vAlign w:val="center"/>
          </w:tcPr>
          <w:p w14:paraId="5CD6DAA2" w14:textId="77777777" w:rsidR="000F6636" w:rsidRPr="00741F8C" w:rsidRDefault="000F6636" w:rsidP="00484DB0">
            <w:pPr>
              <w:jc w:val="right"/>
              <w:rPr>
                <w:rFonts w:cs="Arial"/>
                <w:b/>
                <w:bCs/>
                <w:sz w:val="18"/>
                <w:szCs w:val="18"/>
              </w:rPr>
            </w:pPr>
          </w:p>
        </w:tc>
      </w:tr>
      <w:tr w:rsidR="000F6636" w:rsidRPr="00741F8C" w14:paraId="6D26D98C" w14:textId="77777777" w:rsidTr="00484DB0">
        <w:trPr>
          <w:gridAfter w:val="1"/>
          <w:wAfter w:w="11" w:type="pct"/>
          <w:trHeight w:val="251"/>
        </w:trPr>
        <w:tc>
          <w:tcPr>
            <w:tcW w:w="2189" w:type="pct"/>
            <w:tcBorders>
              <w:left w:val="nil"/>
              <w:bottom w:val="nil"/>
              <w:right w:val="nil"/>
            </w:tcBorders>
            <w:shd w:val="clear" w:color="auto" w:fill="auto"/>
            <w:vAlign w:val="center"/>
          </w:tcPr>
          <w:p w14:paraId="2499BB61" w14:textId="77777777" w:rsidR="000F6636" w:rsidRPr="00741F8C" w:rsidRDefault="000F6636" w:rsidP="00484DB0">
            <w:pPr>
              <w:ind w:firstLine="356"/>
              <w:rPr>
                <w:sz w:val="18"/>
                <w:szCs w:val="18"/>
              </w:rPr>
            </w:pPr>
            <w:r w:rsidRPr="00741F8C">
              <w:rPr>
                <w:sz w:val="18"/>
                <w:szCs w:val="18"/>
              </w:rPr>
              <w:t xml:space="preserve">z toho: príspevok zmeny prognózy nom. HDP </w:t>
            </w:r>
          </w:p>
        </w:tc>
        <w:tc>
          <w:tcPr>
            <w:tcW w:w="400" w:type="pct"/>
            <w:tcBorders>
              <w:top w:val="nil"/>
              <w:left w:val="nil"/>
              <w:bottom w:val="nil"/>
              <w:right w:val="nil"/>
            </w:tcBorders>
            <w:shd w:val="clear" w:color="auto" w:fill="auto"/>
            <w:vAlign w:val="center"/>
          </w:tcPr>
          <w:p w14:paraId="38B63F45" w14:textId="77777777" w:rsidR="000F6636" w:rsidRPr="00741F8C" w:rsidRDefault="000F6636" w:rsidP="00484DB0">
            <w:pPr>
              <w:jc w:val="right"/>
              <w:rPr>
                <w:rFonts w:cs="Arial"/>
                <w:sz w:val="18"/>
                <w:szCs w:val="18"/>
              </w:rPr>
            </w:pPr>
            <w:r w:rsidRPr="00741F8C">
              <w:rPr>
                <w:rFonts w:cs="Arial"/>
                <w:sz w:val="18"/>
                <w:szCs w:val="18"/>
              </w:rPr>
              <w:t>0,0</w:t>
            </w:r>
          </w:p>
        </w:tc>
        <w:tc>
          <w:tcPr>
            <w:tcW w:w="400" w:type="pct"/>
            <w:tcBorders>
              <w:top w:val="nil"/>
              <w:left w:val="nil"/>
              <w:bottom w:val="nil"/>
              <w:right w:val="nil"/>
            </w:tcBorders>
            <w:shd w:val="clear" w:color="auto" w:fill="auto"/>
            <w:vAlign w:val="center"/>
          </w:tcPr>
          <w:p w14:paraId="42A61B66" w14:textId="77777777" w:rsidR="000F6636" w:rsidRPr="00741F8C" w:rsidRDefault="000F6636" w:rsidP="00484DB0">
            <w:pPr>
              <w:jc w:val="right"/>
              <w:rPr>
                <w:rFonts w:cs="Arial"/>
                <w:sz w:val="18"/>
                <w:szCs w:val="18"/>
              </w:rPr>
            </w:pPr>
            <w:r w:rsidRPr="00741F8C">
              <w:rPr>
                <w:rFonts w:cs="Arial"/>
                <w:sz w:val="18"/>
                <w:szCs w:val="18"/>
              </w:rPr>
              <w:t>-0,1</w:t>
            </w:r>
          </w:p>
        </w:tc>
        <w:tc>
          <w:tcPr>
            <w:tcW w:w="400" w:type="pct"/>
            <w:tcBorders>
              <w:top w:val="nil"/>
              <w:left w:val="nil"/>
              <w:bottom w:val="nil"/>
              <w:right w:val="nil"/>
            </w:tcBorders>
            <w:shd w:val="clear" w:color="auto" w:fill="auto"/>
            <w:vAlign w:val="center"/>
          </w:tcPr>
          <w:p w14:paraId="7975F004" w14:textId="77777777" w:rsidR="000F6636" w:rsidRPr="00741F8C" w:rsidRDefault="000F6636" w:rsidP="00484DB0">
            <w:pPr>
              <w:jc w:val="right"/>
              <w:rPr>
                <w:rFonts w:cs="Arial"/>
                <w:sz w:val="18"/>
                <w:szCs w:val="18"/>
              </w:rPr>
            </w:pPr>
            <w:r w:rsidRPr="00741F8C">
              <w:rPr>
                <w:rFonts w:cs="Arial"/>
                <w:sz w:val="18"/>
                <w:szCs w:val="18"/>
              </w:rPr>
              <w:t>-1,5</w:t>
            </w:r>
          </w:p>
        </w:tc>
        <w:tc>
          <w:tcPr>
            <w:tcW w:w="400" w:type="pct"/>
            <w:tcBorders>
              <w:top w:val="nil"/>
              <w:left w:val="nil"/>
              <w:bottom w:val="nil"/>
              <w:right w:val="nil"/>
            </w:tcBorders>
            <w:shd w:val="clear" w:color="auto" w:fill="auto"/>
            <w:vAlign w:val="center"/>
          </w:tcPr>
          <w:p w14:paraId="3C85D319" w14:textId="77777777" w:rsidR="000F6636" w:rsidRPr="00741F8C" w:rsidRDefault="000F6636" w:rsidP="00484DB0">
            <w:pPr>
              <w:jc w:val="right"/>
              <w:rPr>
                <w:rFonts w:cs="Arial"/>
                <w:sz w:val="18"/>
                <w:szCs w:val="18"/>
              </w:rPr>
            </w:pPr>
            <w:r w:rsidRPr="00741F8C">
              <w:rPr>
                <w:rFonts w:cs="Arial"/>
                <w:sz w:val="18"/>
                <w:szCs w:val="18"/>
              </w:rPr>
              <w:t>-1,4</w:t>
            </w:r>
          </w:p>
        </w:tc>
        <w:tc>
          <w:tcPr>
            <w:tcW w:w="400" w:type="pct"/>
            <w:gridSpan w:val="2"/>
            <w:tcBorders>
              <w:top w:val="nil"/>
              <w:left w:val="nil"/>
              <w:bottom w:val="nil"/>
              <w:right w:val="nil"/>
            </w:tcBorders>
            <w:shd w:val="clear" w:color="auto" w:fill="auto"/>
            <w:vAlign w:val="center"/>
          </w:tcPr>
          <w:p w14:paraId="7500337B"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tcBorders>
              <w:top w:val="nil"/>
              <w:left w:val="nil"/>
              <w:bottom w:val="nil"/>
              <w:right w:val="nil"/>
            </w:tcBorders>
            <w:shd w:val="clear" w:color="auto" w:fill="auto"/>
            <w:vAlign w:val="center"/>
          </w:tcPr>
          <w:p w14:paraId="23C3E7E0" w14:textId="77777777" w:rsidR="000F6636" w:rsidRPr="00741F8C" w:rsidRDefault="000F6636" w:rsidP="00484DB0">
            <w:pPr>
              <w:jc w:val="right"/>
              <w:rPr>
                <w:rFonts w:cs="Arial"/>
                <w:sz w:val="18"/>
                <w:szCs w:val="18"/>
              </w:rPr>
            </w:pPr>
            <w:r w:rsidRPr="00741F8C">
              <w:rPr>
                <w:rFonts w:cs="Arial"/>
                <w:sz w:val="18"/>
                <w:szCs w:val="18"/>
              </w:rPr>
              <w:t>-1,5</w:t>
            </w:r>
          </w:p>
        </w:tc>
        <w:tc>
          <w:tcPr>
            <w:tcW w:w="400" w:type="pct"/>
            <w:gridSpan w:val="2"/>
            <w:tcBorders>
              <w:top w:val="nil"/>
              <w:left w:val="nil"/>
              <w:bottom w:val="nil"/>
              <w:right w:val="nil"/>
            </w:tcBorders>
            <w:vAlign w:val="center"/>
          </w:tcPr>
          <w:p w14:paraId="2DA34F52" w14:textId="77777777" w:rsidR="000F6636" w:rsidRPr="00741F8C" w:rsidRDefault="000F6636" w:rsidP="00484DB0">
            <w:pPr>
              <w:jc w:val="right"/>
              <w:rPr>
                <w:rFonts w:cs="Arial"/>
                <w:sz w:val="18"/>
                <w:szCs w:val="18"/>
              </w:rPr>
            </w:pPr>
          </w:p>
        </w:tc>
      </w:tr>
      <w:tr w:rsidR="000F6636" w:rsidRPr="00741F8C" w14:paraId="55BB8CC1" w14:textId="77777777" w:rsidTr="00484DB0">
        <w:trPr>
          <w:gridAfter w:val="1"/>
          <w:wAfter w:w="11" w:type="pct"/>
          <w:trHeight w:val="251"/>
        </w:trPr>
        <w:tc>
          <w:tcPr>
            <w:tcW w:w="2189" w:type="pct"/>
            <w:tcBorders>
              <w:top w:val="nil"/>
              <w:left w:val="nil"/>
              <w:bottom w:val="single" w:sz="8" w:space="0" w:color="000000"/>
              <w:right w:val="nil"/>
            </w:tcBorders>
            <w:shd w:val="clear" w:color="auto" w:fill="auto"/>
            <w:vAlign w:val="center"/>
          </w:tcPr>
          <w:p w14:paraId="0674CB1F" w14:textId="77777777" w:rsidR="000F6636" w:rsidRPr="00741F8C" w:rsidRDefault="000F6636" w:rsidP="00484DB0">
            <w:pPr>
              <w:ind w:firstLine="356"/>
              <w:rPr>
                <w:sz w:val="18"/>
                <w:szCs w:val="18"/>
              </w:rPr>
            </w:pPr>
            <w:r w:rsidRPr="00741F8C">
              <w:rPr>
                <w:sz w:val="18"/>
                <w:szCs w:val="18"/>
              </w:rPr>
              <w:t xml:space="preserve">            príspevok zmeny prognózy nom. dlhu</w:t>
            </w:r>
          </w:p>
        </w:tc>
        <w:tc>
          <w:tcPr>
            <w:tcW w:w="400" w:type="pct"/>
            <w:tcBorders>
              <w:top w:val="nil"/>
              <w:left w:val="nil"/>
              <w:bottom w:val="single" w:sz="8" w:space="0" w:color="000000"/>
              <w:right w:val="nil"/>
            </w:tcBorders>
            <w:shd w:val="clear" w:color="auto" w:fill="auto"/>
            <w:vAlign w:val="center"/>
          </w:tcPr>
          <w:p w14:paraId="49A11018" w14:textId="77777777" w:rsidR="000F6636" w:rsidRPr="00741F8C" w:rsidRDefault="000F6636" w:rsidP="00484DB0">
            <w:pPr>
              <w:jc w:val="right"/>
              <w:rPr>
                <w:rFonts w:cs="Arial"/>
                <w:sz w:val="18"/>
                <w:szCs w:val="18"/>
              </w:rPr>
            </w:pPr>
            <w:r w:rsidRPr="00741F8C">
              <w:rPr>
                <w:rFonts w:cs="Arial"/>
                <w:sz w:val="18"/>
                <w:szCs w:val="18"/>
              </w:rPr>
              <w:t>0,0</w:t>
            </w:r>
          </w:p>
        </w:tc>
        <w:tc>
          <w:tcPr>
            <w:tcW w:w="400" w:type="pct"/>
            <w:tcBorders>
              <w:top w:val="nil"/>
              <w:left w:val="nil"/>
              <w:bottom w:val="single" w:sz="8" w:space="0" w:color="000000"/>
              <w:right w:val="nil"/>
            </w:tcBorders>
            <w:shd w:val="clear" w:color="auto" w:fill="auto"/>
            <w:vAlign w:val="center"/>
          </w:tcPr>
          <w:p w14:paraId="42F34C86" w14:textId="77777777" w:rsidR="000F6636" w:rsidRPr="00741F8C" w:rsidRDefault="000F6636" w:rsidP="00484DB0">
            <w:pPr>
              <w:jc w:val="right"/>
              <w:rPr>
                <w:rFonts w:cs="Arial"/>
                <w:sz w:val="18"/>
                <w:szCs w:val="18"/>
              </w:rPr>
            </w:pPr>
            <w:r w:rsidRPr="00741F8C">
              <w:rPr>
                <w:rFonts w:cs="Arial"/>
                <w:sz w:val="18"/>
                <w:szCs w:val="18"/>
              </w:rPr>
              <w:t>0,0</w:t>
            </w:r>
          </w:p>
        </w:tc>
        <w:tc>
          <w:tcPr>
            <w:tcW w:w="400" w:type="pct"/>
            <w:tcBorders>
              <w:top w:val="nil"/>
              <w:left w:val="nil"/>
              <w:bottom w:val="single" w:sz="8" w:space="0" w:color="000000"/>
              <w:right w:val="nil"/>
            </w:tcBorders>
            <w:shd w:val="clear" w:color="auto" w:fill="auto"/>
            <w:vAlign w:val="center"/>
          </w:tcPr>
          <w:p w14:paraId="0ACB886D" w14:textId="77777777" w:rsidR="000F6636" w:rsidRPr="00741F8C" w:rsidRDefault="000F6636" w:rsidP="00484DB0">
            <w:pPr>
              <w:jc w:val="right"/>
              <w:rPr>
                <w:rFonts w:cs="Arial"/>
                <w:sz w:val="18"/>
                <w:szCs w:val="18"/>
              </w:rPr>
            </w:pPr>
            <w:r w:rsidRPr="00741F8C">
              <w:rPr>
                <w:rFonts w:cs="Arial"/>
                <w:sz w:val="18"/>
                <w:szCs w:val="18"/>
              </w:rPr>
              <w:t>-1,1</w:t>
            </w:r>
          </w:p>
        </w:tc>
        <w:tc>
          <w:tcPr>
            <w:tcW w:w="400" w:type="pct"/>
            <w:tcBorders>
              <w:top w:val="nil"/>
              <w:left w:val="nil"/>
              <w:bottom w:val="single" w:sz="8" w:space="0" w:color="000000"/>
              <w:right w:val="nil"/>
            </w:tcBorders>
            <w:shd w:val="clear" w:color="auto" w:fill="auto"/>
            <w:vAlign w:val="center"/>
          </w:tcPr>
          <w:p w14:paraId="3D3D659C" w14:textId="77777777" w:rsidR="000F6636" w:rsidRPr="00741F8C" w:rsidRDefault="000F6636" w:rsidP="00484DB0">
            <w:pPr>
              <w:jc w:val="right"/>
              <w:rPr>
                <w:rFonts w:cs="Arial"/>
                <w:sz w:val="18"/>
                <w:szCs w:val="18"/>
              </w:rPr>
            </w:pPr>
            <w:r w:rsidRPr="00741F8C">
              <w:rPr>
                <w:rFonts w:cs="Arial"/>
                <w:sz w:val="18"/>
                <w:szCs w:val="18"/>
              </w:rPr>
              <w:t>0,7</w:t>
            </w:r>
          </w:p>
        </w:tc>
        <w:tc>
          <w:tcPr>
            <w:tcW w:w="400" w:type="pct"/>
            <w:gridSpan w:val="2"/>
            <w:tcBorders>
              <w:top w:val="nil"/>
              <w:left w:val="nil"/>
              <w:bottom w:val="single" w:sz="8" w:space="0" w:color="000000"/>
              <w:right w:val="nil"/>
            </w:tcBorders>
            <w:shd w:val="clear" w:color="auto" w:fill="auto"/>
            <w:vAlign w:val="center"/>
          </w:tcPr>
          <w:p w14:paraId="776FEB5C"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tcBorders>
              <w:top w:val="nil"/>
              <w:left w:val="nil"/>
              <w:bottom w:val="single" w:sz="8" w:space="0" w:color="000000"/>
              <w:right w:val="nil"/>
            </w:tcBorders>
            <w:shd w:val="clear" w:color="auto" w:fill="auto"/>
            <w:vAlign w:val="center"/>
          </w:tcPr>
          <w:p w14:paraId="1BA51286" w14:textId="77777777" w:rsidR="000F6636" w:rsidRPr="00741F8C" w:rsidRDefault="000F6636" w:rsidP="00484DB0">
            <w:pPr>
              <w:jc w:val="right"/>
              <w:rPr>
                <w:rFonts w:cs="Arial"/>
                <w:sz w:val="18"/>
                <w:szCs w:val="18"/>
              </w:rPr>
            </w:pPr>
            <w:r w:rsidRPr="00741F8C">
              <w:rPr>
                <w:rFonts w:cs="Arial"/>
                <w:sz w:val="18"/>
                <w:szCs w:val="18"/>
              </w:rPr>
              <w:t>2,1</w:t>
            </w:r>
          </w:p>
        </w:tc>
        <w:tc>
          <w:tcPr>
            <w:tcW w:w="400" w:type="pct"/>
            <w:gridSpan w:val="2"/>
            <w:tcBorders>
              <w:top w:val="nil"/>
              <w:left w:val="nil"/>
              <w:bottom w:val="single" w:sz="8" w:space="0" w:color="000000"/>
              <w:right w:val="nil"/>
            </w:tcBorders>
            <w:vAlign w:val="center"/>
          </w:tcPr>
          <w:p w14:paraId="26C459F3" w14:textId="77777777" w:rsidR="000F6636" w:rsidRPr="00741F8C" w:rsidRDefault="000F6636" w:rsidP="00484DB0">
            <w:pPr>
              <w:jc w:val="right"/>
              <w:rPr>
                <w:rFonts w:cs="Arial"/>
                <w:sz w:val="18"/>
                <w:szCs w:val="18"/>
              </w:rPr>
            </w:pPr>
          </w:p>
        </w:tc>
      </w:tr>
      <w:tr w:rsidR="000F6636" w:rsidRPr="00741F8C" w14:paraId="69C11DE1" w14:textId="77777777" w:rsidTr="00484DB0">
        <w:trPr>
          <w:gridAfter w:val="1"/>
          <w:wAfter w:w="11" w:type="pct"/>
          <w:trHeight w:val="251"/>
        </w:trPr>
        <w:tc>
          <w:tcPr>
            <w:tcW w:w="2189" w:type="pct"/>
            <w:tcBorders>
              <w:top w:val="nil"/>
              <w:left w:val="nil"/>
              <w:bottom w:val="single" w:sz="8" w:space="0" w:color="000000"/>
              <w:right w:val="nil"/>
            </w:tcBorders>
            <w:shd w:val="clear" w:color="auto" w:fill="auto"/>
            <w:vAlign w:val="center"/>
          </w:tcPr>
          <w:p w14:paraId="17139AE9" w14:textId="77777777" w:rsidR="000F6636" w:rsidRPr="00741F8C" w:rsidRDefault="000F6636" w:rsidP="00484DB0">
            <w:pPr>
              <w:ind w:firstLine="72"/>
              <w:rPr>
                <w:i/>
                <w:sz w:val="18"/>
                <w:szCs w:val="18"/>
              </w:rPr>
            </w:pPr>
            <w:r w:rsidRPr="00741F8C">
              <w:rPr>
                <w:i/>
                <w:sz w:val="18"/>
                <w:szCs w:val="18"/>
              </w:rPr>
              <w:t>p.m. príspevok SR do ESM</w:t>
            </w:r>
          </w:p>
        </w:tc>
        <w:tc>
          <w:tcPr>
            <w:tcW w:w="400" w:type="pct"/>
            <w:tcBorders>
              <w:top w:val="nil"/>
              <w:left w:val="nil"/>
              <w:bottom w:val="single" w:sz="8" w:space="0" w:color="000000"/>
              <w:right w:val="nil"/>
            </w:tcBorders>
            <w:shd w:val="clear" w:color="auto" w:fill="auto"/>
            <w:vAlign w:val="center"/>
          </w:tcPr>
          <w:p w14:paraId="662AAB78" w14:textId="77777777" w:rsidR="000F6636" w:rsidRPr="00741F8C" w:rsidRDefault="000F6636" w:rsidP="00484DB0">
            <w:pPr>
              <w:jc w:val="right"/>
              <w:rPr>
                <w:i/>
                <w:sz w:val="18"/>
                <w:szCs w:val="18"/>
              </w:rPr>
            </w:pPr>
            <w:r w:rsidRPr="00741F8C">
              <w:rPr>
                <w:rFonts w:cs="Arial"/>
                <w:sz w:val="18"/>
                <w:szCs w:val="18"/>
              </w:rPr>
              <w:t>0</w:t>
            </w:r>
          </w:p>
        </w:tc>
        <w:tc>
          <w:tcPr>
            <w:tcW w:w="400" w:type="pct"/>
            <w:tcBorders>
              <w:top w:val="nil"/>
              <w:left w:val="nil"/>
              <w:bottom w:val="single" w:sz="8" w:space="0" w:color="000000"/>
              <w:right w:val="nil"/>
            </w:tcBorders>
            <w:shd w:val="clear" w:color="auto" w:fill="auto"/>
            <w:vAlign w:val="center"/>
          </w:tcPr>
          <w:p w14:paraId="0E00F7BC" w14:textId="77777777" w:rsidR="000F6636" w:rsidRPr="00741F8C" w:rsidRDefault="000F6636" w:rsidP="00484DB0">
            <w:pPr>
              <w:jc w:val="right"/>
              <w:rPr>
                <w:i/>
                <w:sz w:val="18"/>
                <w:szCs w:val="18"/>
              </w:rPr>
            </w:pPr>
            <w:r w:rsidRPr="00741F8C">
              <w:rPr>
                <w:rFonts w:cs="Arial"/>
                <w:sz w:val="18"/>
                <w:szCs w:val="18"/>
              </w:rPr>
              <w:t>0</w:t>
            </w:r>
          </w:p>
        </w:tc>
        <w:tc>
          <w:tcPr>
            <w:tcW w:w="400" w:type="pct"/>
            <w:tcBorders>
              <w:top w:val="nil"/>
              <w:left w:val="nil"/>
              <w:bottom w:val="single" w:sz="8" w:space="0" w:color="000000"/>
              <w:right w:val="nil"/>
            </w:tcBorders>
            <w:shd w:val="clear" w:color="auto" w:fill="auto"/>
            <w:vAlign w:val="center"/>
          </w:tcPr>
          <w:p w14:paraId="562C924E" w14:textId="77777777" w:rsidR="000F6636" w:rsidRPr="00741F8C" w:rsidRDefault="000F6636" w:rsidP="00484DB0">
            <w:pPr>
              <w:jc w:val="right"/>
              <w:rPr>
                <w:i/>
                <w:sz w:val="18"/>
                <w:szCs w:val="18"/>
              </w:rPr>
            </w:pPr>
            <w:r w:rsidRPr="00741F8C">
              <w:rPr>
                <w:rFonts w:cs="Arial"/>
                <w:sz w:val="18"/>
                <w:szCs w:val="18"/>
              </w:rPr>
              <w:t>-1</w:t>
            </w:r>
          </w:p>
        </w:tc>
        <w:tc>
          <w:tcPr>
            <w:tcW w:w="400" w:type="pct"/>
            <w:tcBorders>
              <w:top w:val="nil"/>
              <w:left w:val="nil"/>
              <w:bottom w:val="single" w:sz="8" w:space="0" w:color="000000"/>
              <w:right w:val="nil"/>
            </w:tcBorders>
            <w:shd w:val="clear" w:color="auto" w:fill="auto"/>
            <w:vAlign w:val="center"/>
          </w:tcPr>
          <w:p w14:paraId="06F59E38" w14:textId="77777777" w:rsidR="000F6636" w:rsidRPr="00741F8C" w:rsidRDefault="000F6636" w:rsidP="00484DB0">
            <w:pPr>
              <w:jc w:val="right"/>
              <w:rPr>
                <w:i/>
                <w:sz w:val="18"/>
                <w:szCs w:val="18"/>
              </w:rPr>
            </w:pPr>
            <w:r w:rsidRPr="00741F8C">
              <w:rPr>
                <w:rFonts w:cs="Arial"/>
                <w:sz w:val="18"/>
                <w:szCs w:val="18"/>
              </w:rPr>
              <w:t>0</w:t>
            </w:r>
          </w:p>
        </w:tc>
        <w:tc>
          <w:tcPr>
            <w:tcW w:w="400" w:type="pct"/>
            <w:gridSpan w:val="2"/>
            <w:tcBorders>
              <w:top w:val="nil"/>
              <w:left w:val="nil"/>
              <w:bottom w:val="single" w:sz="8" w:space="0" w:color="000000"/>
              <w:right w:val="nil"/>
            </w:tcBorders>
            <w:shd w:val="clear" w:color="auto" w:fill="auto"/>
            <w:vAlign w:val="center"/>
          </w:tcPr>
          <w:p w14:paraId="17C382B1" w14:textId="77777777" w:rsidR="000F6636" w:rsidRPr="00741F8C" w:rsidRDefault="000F6636" w:rsidP="00484DB0">
            <w:pPr>
              <w:jc w:val="right"/>
              <w:rPr>
                <w:i/>
                <w:sz w:val="18"/>
                <w:szCs w:val="18"/>
              </w:rPr>
            </w:pPr>
            <w:r w:rsidRPr="00741F8C">
              <w:rPr>
                <w:rFonts w:cs="Arial"/>
                <w:sz w:val="18"/>
                <w:szCs w:val="18"/>
              </w:rPr>
              <w:t>0</w:t>
            </w:r>
          </w:p>
        </w:tc>
        <w:tc>
          <w:tcPr>
            <w:tcW w:w="400" w:type="pct"/>
            <w:tcBorders>
              <w:top w:val="nil"/>
              <w:left w:val="nil"/>
              <w:bottom w:val="single" w:sz="8" w:space="0" w:color="000000"/>
              <w:right w:val="nil"/>
            </w:tcBorders>
            <w:shd w:val="clear" w:color="auto" w:fill="auto"/>
            <w:vAlign w:val="center"/>
          </w:tcPr>
          <w:p w14:paraId="42798A8E" w14:textId="77777777" w:rsidR="000F6636" w:rsidRPr="00741F8C" w:rsidRDefault="000F6636" w:rsidP="00484DB0">
            <w:pPr>
              <w:jc w:val="right"/>
              <w:rPr>
                <w:i/>
                <w:sz w:val="18"/>
                <w:szCs w:val="18"/>
              </w:rPr>
            </w:pPr>
            <w:r w:rsidRPr="00741F8C">
              <w:rPr>
                <w:rFonts w:cs="Arial"/>
                <w:sz w:val="18"/>
                <w:szCs w:val="18"/>
              </w:rPr>
              <w:t>0</w:t>
            </w:r>
          </w:p>
        </w:tc>
        <w:tc>
          <w:tcPr>
            <w:tcW w:w="400" w:type="pct"/>
            <w:gridSpan w:val="2"/>
            <w:tcBorders>
              <w:top w:val="nil"/>
              <w:left w:val="nil"/>
              <w:bottom w:val="single" w:sz="8" w:space="0" w:color="000000"/>
              <w:right w:val="nil"/>
            </w:tcBorders>
            <w:vAlign w:val="center"/>
          </w:tcPr>
          <w:p w14:paraId="4BC543A6" w14:textId="77777777" w:rsidR="000F6636" w:rsidRPr="00741F8C" w:rsidRDefault="000F6636" w:rsidP="00484DB0">
            <w:pPr>
              <w:jc w:val="right"/>
              <w:rPr>
                <w:i/>
                <w:sz w:val="18"/>
                <w:szCs w:val="18"/>
              </w:rPr>
            </w:pPr>
            <w:r w:rsidRPr="00741F8C">
              <w:rPr>
                <w:rFonts w:cs="Arial"/>
                <w:sz w:val="18"/>
                <w:szCs w:val="18"/>
              </w:rPr>
              <w:t>0</w:t>
            </w:r>
          </w:p>
        </w:tc>
      </w:tr>
      <w:tr w:rsidR="000F6636" w:rsidRPr="007C2DC9" w14:paraId="4A83BBCB" w14:textId="77777777" w:rsidTr="00484DB0">
        <w:trPr>
          <w:trHeight w:val="249"/>
        </w:trPr>
        <w:tc>
          <w:tcPr>
            <w:tcW w:w="4034" w:type="pct"/>
            <w:gridSpan w:val="6"/>
            <w:tcBorders>
              <w:left w:val="nil"/>
              <w:right w:val="nil"/>
            </w:tcBorders>
            <w:shd w:val="clear" w:color="auto" w:fill="auto"/>
            <w:vAlign w:val="center"/>
          </w:tcPr>
          <w:p w14:paraId="30A43421" w14:textId="77777777" w:rsidR="000F6636" w:rsidRPr="002F5BE5" w:rsidRDefault="000F6636" w:rsidP="00484DB0">
            <w:pPr>
              <w:rPr>
                <w:sz w:val="16"/>
                <w:szCs w:val="16"/>
              </w:rPr>
            </w:pPr>
            <w:r w:rsidRPr="002F5BE5">
              <w:rPr>
                <w:i/>
                <w:sz w:val="16"/>
                <w:szCs w:val="16"/>
              </w:rPr>
              <w:t xml:space="preserve">Pozn.: * vrátane zmeny zdrojov subjektov mimo sektora verejnej správy. Plusové položky zvyšujú dlh verejnej správy k 31.12. príslušného roku, mínusové položky dlh znižujú. </w:t>
            </w:r>
            <w:r w:rsidRPr="002F5BE5">
              <w:rPr>
                <w:rFonts w:cs="Times New Roman"/>
                <w:bCs/>
                <w:i/>
                <w:color w:val="000000"/>
                <w:sz w:val="16"/>
                <w:szCs w:val="16"/>
              </w:rPr>
              <w:t>OS</w:t>
            </w:r>
            <w:r w:rsidRPr="002F5BE5">
              <w:rPr>
                <w:i/>
                <w:sz w:val="16"/>
                <w:szCs w:val="16"/>
              </w:rPr>
              <w:t xml:space="preserve"> – očakávaná skutočnosť ku koncu roka; N – návrh rozpočtu verejnej správy.</w:t>
            </w:r>
          </w:p>
        </w:tc>
        <w:tc>
          <w:tcPr>
            <w:tcW w:w="966" w:type="pct"/>
            <w:gridSpan w:val="5"/>
            <w:tcBorders>
              <w:left w:val="nil"/>
              <w:right w:val="nil"/>
            </w:tcBorders>
            <w:shd w:val="clear" w:color="auto" w:fill="auto"/>
            <w:vAlign w:val="center"/>
          </w:tcPr>
          <w:p w14:paraId="2670A557" w14:textId="77777777" w:rsidR="000F6636" w:rsidRPr="002F5BE5" w:rsidRDefault="000F6636" w:rsidP="00484DB0">
            <w:pPr>
              <w:jc w:val="right"/>
              <w:rPr>
                <w:i/>
                <w:sz w:val="16"/>
                <w:szCs w:val="16"/>
              </w:rPr>
            </w:pPr>
            <w:r w:rsidRPr="002F5BE5">
              <w:rPr>
                <w:i/>
                <w:sz w:val="16"/>
                <w:szCs w:val="16"/>
              </w:rPr>
              <w:t>Zdroj: MF SR</w:t>
            </w:r>
          </w:p>
        </w:tc>
      </w:tr>
      <w:tr w:rsidR="000F6636" w:rsidRPr="003A4411" w14:paraId="72F9D55E" w14:textId="77777777" w:rsidTr="00484DB0">
        <w:trPr>
          <w:trHeight w:val="249"/>
        </w:trPr>
        <w:tc>
          <w:tcPr>
            <w:tcW w:w="4034" w:type="pct"/>
            <w:gridSpan w:val="6"/>
            <w:tcBorders>
              <w:left w:val="nil"/>
              <w:right w:val="nil"/>
            </w:tcBorders>
            <w:shd w:val="clear" w:color="auto" w:fill="auto"/>
            <w:vAlign w:val="center"/>
          </w:tcPr>
          <w:p w14:paraId="3AC835A2" w14:textId="77777777" w:rsidR="000F6636" w:rsidRPr="002F5BE5" w:rsidRDefault="000F6636" w:rsidP="00484DB0">
            <w:pPr>
              <w:rPr>
                <w:i/>
                <w:sz w:val="6"/>
                <w:szCs w:val="16"/>
              </w:rPr>
            </w:pPr>
          </w:p>
        </w:tc>
        <w:tc>
          <w:tcPr>
            <w:tcW w:w="599" w:type="pct"/>
            <w:gridSpan w:val="3"/>
            <w:tcBorders>
              <w:left w:val="nil"/>
              <w:right w:val="nil"/>
            </w:tcBorders>
            <w:shd w:val="clear" w:color="auto" w:fill="auto"/>
            <w:vAlign w:val="center"/>
          </w:tcPr>
          <w:p w14:paraId="2DBE6E5B" w14:textId="77777777" w:rsidR="000F6636" w:rsidRPr="002F5BE5" w:rsidRDefault="000F6636" w:rsidP="00484DB0">
            <w:pPr>
              <w:jc w:val="right"/>
              <w:rPr>
                <w:i/>
                <w:sz w:val="16"/>
                <w:szCs w:val="16"/>
              </w:rPr>
            </w:pPr>
          </w:p>
        </w:tc>
        <w:tc>
          <w:tcPr>
            <w:tcW w:w="367" w:type="pct"/>
            <w:gridSpan w:val="2"/>
            <w:tcBorders>
              <w:left w:val="nil"/>
              <w:right w:val="nil"/>
            </w:tcBorders>
          </w:tcPr>
          <w:p w14:paraId="7D9C5F1D" w14:textId="77777777" w:rsidR="000F6636" w:rsidRPr="002F5BE5" w:rsidRDefault="000F6636" w:rsidP="00484DB0">
            <w:pPr>
              <w:jc w:val="right"/>
              <w:rPr>
                <w:i/>
                <w:sz w:val="16"/>
                <w:szCs w:val="16"/>
              </w:rPr>
            </w:pPr>
          </w:p>
        </w:tc>
      </w:tr>
    </w:tbl>
    <w:p w14:paraId="757B5E79" w14:textId="688B3D2D" w:rsidR="000F6636" w:rsidRPr="002F5BE5" w:rsidRDefault="000F6636" w:rsidP="000F6636">
      <w:pPr>
        <w:pStyle w:val="Tabuka"/>
      </w:pPr>
      <w:bookmarkStart w:id="228" w:name="_Toc153185522"/>
      <w:bookmarkStart w:id="229" w:name="_Toc164684562"/>
      <w:r w:rsidRPr="002F5BE5">
        <w:t xml:space="preserve">TABUĽKA </w:t>
      </w:r>
      <w:fldSimple w:instr=" SEQ TABUĽKA \* ARABIC ">
        <w:r w:rsidR="007435E9">
          <w:rPr>
            <w:noProof/>
          </w:rPr>
          <w:t>13</w:t>
        </w:r>
      </w:fldSimple>
      <w:r w:rsidRPr="002F5BE5">
        <w:t xml:space="preserve"> – Hotovostné</w:t>
      </w:r>
      <w:r w:rsidRPr="002F5BE5">
        <w:rPr>
          <w:sz w:val="16"/>
        </w:rPr>
        <w:t xml:space="preserve"> </w:t>
      </w:r>
      <w:r w:rsidRPr="002F5BE5">
        <w:t>vplyvy na zmenu nominálneho hrubého dlhu (</w:t>
      </w:r>
      <w:r w:rsidR="00B35F2C">
        <w:t xml:space="preserve">ciele deficitov vlády, </w:t>
      </w:r>
      <w:r w:rsidRPr="002F5BE5">
        <w:t>v mil. eur)</w:t>
      </w:r>
      <w:bookmarkEnd w:id="228"/>
      <w:bookmarkEnd w:id="229"/>
    </w:p>
    <w:tbl>
      <w:tblPr>
        <w:tblW w:w="5000" w:type="pct"/>
        <w:tblLayout w:type="fixed"/>
        <w:tblCellMar>
          <w:left w:w="70" w:type="dxa"/>
          <w:right w:w="70" w:type="dxa"/>
        </w:tblCellMar>
        <w:tblLook w:val="0400" w:firstRow="0" w:lastRow="0" w:firstColumn="0" w:lastColumn="0" w:noHBand="0" w:noVBand="1"/>
      </w:tblPr>
      <w:tblGrid>
        <w:gridCol w:w="3970"/>
        <w:gridCol w:w="725"/>
        <w:gridCol w:w="726"/>
        <w:gridCol w:w="726"/>
        <w:gridCol w:w="726"/>
        <w:gridCol w:w="444"/>
        <w:gridCol w:w="281"/>
        <w:gridCol w:w="726"/>
        <w:gridCol w:w="80"/>
        <w:gridCol w:w="646"/>
        <w:gridCol w:w="20"/>
      </w:tblGrid>
      <w:tr w:rsidR="000F6636" w:rsidRPr="003A4411" w14:paraId="5948DA65" w14:textId="77777777" w:rsidTr="00484DB0">
        <w:trPr>
          <w:gridAfter w:val="1"/>
          <w:wAfter w:w="11" w:type="pct"/>
          <w:trHeight w:val="249"/>
        </w:trPr>
        <w:tc>
          <w:tcPr>
            <w:tcW w:w="2189" w:type="pct"/>
            <w:tcBorders>
              <w:left w:val="nil"/>
              <w:bottom w:val="single" w:sz="4" w:space="0" w:color="auto"/>
            </w:tcBorders>
            <w:shd w:val="clear" w:color="auto" w:fill="auto"/>
          </w:tcPr>
          <w:p w14:paraId="18E43462" w14:textId="77777777" w:rsidR="000F6636" w:rsidRPr="002F5BE5" w:rsidRDefault="000F6636" w:rsidP="00484DB0">
            <w:pPr>
              <w:rPr>
                <w:sz w:val="16"/>
                <w:szCs w:val="16"/>
              </w:rPr>
            </w:pPr>
          </w:p>
        </w:tc>
        <w:tc>
          <w:tcPr>
            <w:tcW w:w="400" w:type="pct"/>
            <w:tcBorders>
              <w:bottom w:val="single" w:sz="4" w:space="0" w:color="auto"/>
            </w:tcBorders>
            <w:shd w:val="clear" w:color="auto" w:fill="auto"/>
          </w:tcPr>
          <w:p w14:paraId="05BA40CA" w14:textId="77777777" w:rsidR="000F6636" w:rsidRPr="00741F8C" w:rsidRDefault="000F6636" w:rsidP="00484DB0">
            <w:pPr>
              <w:jc w:val="right"/>
              <w:rPr>
                <w:rFonts w:cs="Arial"/>
                <w:b/>
                <w:bCs/>
                <w:sz w:val="18"/>
                <w:szCs w:val="18"/>
              </w:rPr>
            </w:pPr>
            <w:r w:rsidRPr="00741F8C">
              <w:rPr>
                <w:rFonts w:cs="Times New Roman"/>
                <w:b/>
                <w:sz w:val="18"/>
                <w:szCs w:val="18"/>
              </w:rPr>
              <w:t>2021</w:t>
            </w:r>
          </w:p>
        </w:tc>
        <w:tc>
          <w:tcPr>
            <w:tcW w:w="400" w:type="pct"/>
            <w:tcBorders>
              <w:bottom w:val="single" w:sz="4" w:space="0" w:color="auto"/>
            </w:tcBorders>
            <w:shd w:val="clear" w:color="auto" w:fill="auto"/>
          </w:tcPr>
          <w:p w14:paraId="555426CD" w14:textId="77777777" w:rsidR="000F6636" w:rsidRPr="00741F8C" w:rsidRDefault="000F6636" w:rsidP="00484DB0">
            <w:pPr>
              <w:jc w:val="right"/>
              <w:rPr>
                <w:rFonts w:cs="Arial"/>
                <w:b/>
                <w:bCs/>
                <w:sz w:val="18"/>
                <w:szCs w:val="18"/>
              </w:rPr>
            </w:pPr>
            <w:r w:rsidRPr="00741F8C">
              <w:rPr>
                <w:rFonts w:cs="Times New Roman"/>
                <w:b/>
                <w:sz w:val="18"/>
                <w:szCs w:val="18"/>
              </w:rPr>
              <w:t>2022</w:t>
            </w:r>
          </w:p>
        </w:tc>
        <w:tc>
          <w:tcPr>
            <w:tcW w:w="400" w:type="pct"/>
            <w:tcBorders>
              <w:bottom w:val="single" w:sz="4" w:space="0" w:color="auto"/>
            </w:tcBorders>
            <w:shd w:val="clear" w:color="auto" w:fill="auto"/>
          </w:tcPr>
          <w:p w14:paraId="186160C4" w14:textId="77777777" w:rsidR="000F6636" w:rsidRPr="00741F8C" w:rsidRDefault="000F6636" w:rsidP="00484DB0">
            <w:pPr>
              <w:jc w:val="right"/>
              <w:rPr>
                <w:rFonts w:cs="Arial"/>
                <w:b/>
                <w:bCs/>
                <w:sz w:val="18"/>
                <w:szCs w:val="18"/>
              </w:rPr>
            </w:pPr>
            <w:r w:rsidRPr="00741F8C">
              <w:rPr>
                <w:rFonts w:cs="Times New Roman"/>
                <w:b/>
                <w:sz w:val="18"/>
                <w:szCs w:val="18"/>
              </w:rPr>
              <w:t>2023</w:t>
            </w:r>
          </w:p>
        </w:tc>
        <w:tc>
          <w:tcPr>
            <w:tcW w:w="400" w:type="pct"/>
            <w:tcBorders>
              <w:bottom w:val="single" w:sz="4" w:space="0" w:color="auto"/>
            </w:tcBorders>
            <w:shd w:val="clear" w:color="auto" w:fill="auto"/>
          </w:tcPr>
          <w:p w14:paraId="6AC9EDF5" w14:textId="77777777" w:rsidR="000F6636" w:rsidRPr="00741F8C" w:rsidRDefault="000F6636" w:rsidP="00484DB0">
            <w:pPr>
              <w:jc w:val="right"/>
              <w:rPr>
                <w:rFonts w:cs="Arial"/>
                <w:b/>
                <w:bCs/>
                <w:sz w:val="18"/>
                <w:szCs w:val="18"/>
              </w:rPr>
            </w:pPr>
            <w:r w:rsidRPr="00741F8C">
              <w:rPr>
                <w:rFonts w:cs="Times New Roman"/>
                <w:b/>
                <w:sz w:val="18"/>
                <w:szCs w:val="18"/>
              </w:rPr>
              <w:t>2024 OS</w:t>
            </w:r>
          </w:p>
        </w:tc>
        <w:tc>
          <w:tcPr>
            <w:tcW w:w="400" w:type="pct"/>
            <w:gridSpan w:val="2"/>
            <w:tcBorders>
              <w:bottom w:val="single" w:sz="4" w:space="0" w:color="auto"/>
            </w:tcBorders>
            <w:shd w:val="clear" w:color="auto" w:fill="auto"/>
          </w:tcPr>
          <w:p w14:paraId="5FBAB707" w14:textId="77777777" w:rsidR="000F6636" w:rsidRPr="00741F8C" w:rsidRDefault="000F6636" w:rsidP="00484DB0">
            <w:pPr>
              <w:jc w:val="right"/>
              <w:rPr>
                <w:rFonts w:cs="Arial"/>
                <w:b/>
                <w:bCs/>
                <w:sz w:val="18"/>
                <w:szCs w:val="18"/>
              </w:rPr>
            </w:pPr>
            <w:r w:rsidRPr="00741F8C">
              <w:rPr>
                <w:rFonts w:cs="Times New Roman"/>
                <w:b/>
                <w:sz w:val="18"/>
                <w:szCs w:val="18"/>
              </w:rPr>
              <w:t>2025 N</w:t>
            </w:r>
          </w:p>
        </w:tc>
        <w:tc>
          <w:tcPr>
            <w:tcW w:w="400" w:type="pct"/>
            <w:tcBorders>
              <w:bottom w:val="single" w:sz="4" w:space="0" w:color="auto"/>
            </w:tcBorders>
            <w:shd w:val="clear" w:color="auto" w:fill="auto"/>
          </w:tcPr>
          <w:p w14:paraId="190C7E75" w14:textId="77777777" w:rsidR="000F6636" w:rsidRPr="00741F8C" w:rsidRDefault="000F6636" w:rsidP="00484DB0">
            <w:pPr>
              <w:jc w:val="right"/>
              <w:rPr>
                <w:rFonts w:cs="Arial"/>
                <w:b/>
                <w:bCs/>
                <w:sz w:val="18"/>
                <w:szCs w:val="18"/>
              </w:rPr>
            </w:pPr>
            <w:r w:rsidRPr="00741F8C">
              <w:rPr>
                <w:rFonts w:cs="Times New Roman"/>
                <w:b/>
                <w:sz w:val="18"/>
                <w:szCs w:val="18"/>
              </w:rPr>
              <w:t>2026 N</w:t>
            </w:r>
          </w:p>
        </w:tc>
        <w:tc>
          <w:tcPr>
            <w:tcW w:w="400" w:type="pct"/>
            <w:gridSpan w:val="2"/>
            <w:tcBorders>
              <w:bottom w:val="single" w:sz="4" w:space="0" w:color="auto"/>
            </w:tcBorders>
          </w:tcPr>
          <w:p w14:paraId="0F5C0C19" w14:textId="77777777" w:rsidR="000F6636" w:rsidRPr="00741F8C" w:rsidRDefault="000F6636" w:rsidP="00484DB0">
            <w:pPr>
              <w:jc w:val="right"/>
              <w:rPr>
                <w:rFonts w:cs="Arial"/>
                <w:b/>
                <w:bCs/>
                <w:sz w:val="18"/>
                <w:szCs w:val="18"/>
              </w:rPr>
            </w:pPr>
            <w:r w:rsidRPr="00741F8C">
              <w:rPr>
                <w:rFonts w:cs="Times New Roman"/>
                <w:b/>
                <w:sz w:val="18"/>
                <w:szCs w:val="18"/>
              </w:rPr>
              <w:t>2027 N</w:t>
            </w:r>
          </w:p>
        </w:tc>
      </w:tr>
      <w:tr w:rsidR="000F6636" w:rsidRPr="003A4411" w14:paraId="4BFE22FC" w14:textId="77777777" w:rsidTr="00484DB0">
        <w:trPr>
          <w:gridAfter w:val="1"/>
          <w:wAfter w:w="11" w:type="pct"/>
          <w:trHeight w:val="251"/>
        </w:trPr>
        <w:tc>
          <w:tcPr>
            <w:tcW w:w="2189" w:type="pct"/>
            <w:tcBorders>
              <w:top w:val="single" w:sz="4" w:space="0" w:color="auto"/>
              <w:left w:val="nil"/>
              <w:bottom w:val="single" w:sz="4" w:space="0" w:color="auto"/>
            </w:tcBorders>
            <w:shd w:val="clear" w:color="auto" w:fill="auto"/>
            <w:vAlign w:val="center"/>
          </w:tcPr>
          <w:p w14:paraId="5AEF4130" w14:textId="77777777" w:rsidR="000F6636" w:rsidRPr="00741F8C" w:rsidRDefault="000F6636" w:rsidP="00484DB0">
            <w:pPr>
              <w:rPr>
                <w:b/>
                <w:sz w:val="18"/>
                <w:szCs w:val="18"/>
              </w:rPr>
            </w:pPr>
            <w:r w:rsidRPr="00741F8C">
              <w:rPr>
                <w:b/>
                <w:sz w:val="18"/>
                <w:szCs w:val="18"/>
              </w:rPr>
              <w:t>A. Hrubý dlh verejnej správy (k 1.1.)</w:t>
            </w:r>
          </w:p>
        </w:tc>
        <w:tc>
          <w:tcPr>
            <w:tcW w:w="400" w:type="pct"/>
            <w:tcBorders>
              <w:top w:val="single" w:sz="4" w:space="0" w:color="auto"/>
              <w:bottom w:val="single" w:sz="4" w:space="0" w:color="auto"/>
            </w:tcBorders>
            <w:shd w:val="clear" w:color="auto" w:fill="auto"/>
            <w:vAlign w:val="center"/>
          </w:tcPr>
          <w:p w14:paraId="27A4A8E1" w14:textId="77777777" w:rsidR="000F6636" w:rsidRPr="00741F8C" w:rsidRDefault="000F6636" w:rsidP="00484DB0">
            <w:pPr>
              <w:jc w:val="right"/>
              <w:rPr>
                <w:rFonts w:cs="Arial"/>
                <w:b/>
                <w:bCs/>
                <w:sz w:val="18"/>
                <w:szCs w:val="18"/>
              </w:rPr>
            </w:pPr>
            <w:r w:rsidRPr="00741F8C">
              <w:rPr>
                <w:rFonts w:cs="Arial"/>
                <w:b/>
                <w:bCs/>
                <w:sz w:val="18"/>
                <w:szCs w:val="18"/>
              </w:rPr>
              <w:t>54 993</w:t>
            </w:r>
          </w:p>
        </w:tc>
        <w:tc>
          <w:tcPr>
            <w:tcW w:w="400" w:type="pct"/>
            <w:tcBorders>
              <w:top w:val="single" w:sz="4" w:space="0" w:color="auto"/>
              <w:bottom w:val="single" w:sz="4" w:space="0" w:color="auto"/>
            </w:tcBorders>
            <w:shd w:val="clear" w:color="auto" w:fill="auto"/>
            <w:vAlign w:val="center"/>
          </w:tcPr>
          <w:p w14:paraId="72EF7C6D" w14:textId="77777777" w:rsidR="000F6636" w:rsidRPr="00741F8C" w:rsidRDefault="000F6636" w:rsidP="00484DB0">
            <w:pPr>
              <w:jc w:val="right"/>
              <w:rPr>
                <w:rFonts w:cs="Arial"/>
                <w:b/>
                <w:bCs/>
                <w:sz w:val="18"/>
                <w:szCs w:val="18"/>
              </w:rPr>
            </w:pPr>
            <w:r w:rsidRPr="00741F8C">
              <w:rPr>
                <w:rFonts w:cs="Arial"/>
                <w:b/>
                <w:bCs/>
                <w:sz w:val="18"/>
                <w:szCs w:val="18"/>
              </w:rPr>
              <w:t>61 238</w:t>
            </w:r>
          </w:p>
        </w:tc>
        <w:tc>
          <w:tcPr>
            <w:tcW w:w="400" w:type="pct"/>
            <w:tcBorders>
              <w:top w:val="single" w:sz="4" w:space="0" w:color="auto"/>
              <w:bottom w:val="single" w:sz="4" w:space="0" w:color="auto"/>
            </w:tcBorders>
            <w:shd w:val="clear" w:color="auto" w:fill="auto"/>
            <w:vAlign w:val="center"/>
          </w:tcPr>
          <w:p w14:paraId="688566BE" w14:textId="77777777" w:rsidR="000F6636" w:rsidRPr="00741F8C" w:rsidRDefault="000F6636" w:rsidP="00484DB0">
            <w:pPr>
              <w:jc w:val="right"/>
              <w:rPr>
                <w:rFonts w:cs="Arial"/>
                <w:b/>
                <w:bCs/>
                <w:sz w:val="18"/>
                <w:szCs w:val="18"/>
              </w:rPr>
            </w:pPr>
            <w:r w:rsidRPr="00741F8C">
              <w:rPr>
                <w:rFonts w:cs="Arial"/>
                <w:b/>
                <w:bCs/>
                <w:sz w:val="18"/>
                <w:szCs w:val="18"/>
              </w:rPr>
              <w:t>63 378</w:t>
            </w:r>
          </w:p>
        </w:tc>
        <w:tc>
          <w:tcPr>
            <w:tcW w:w="400" w:type="pct"/>
            <w:tcBorders>
              <w:top w:val="single" w:sz="4" w:space="0" w:color="auto"/>
              <w:bottom w:val="single" w:sz="4" w:space="0" w:color="auto"/>
            </w:tcBorders>
            <w:shd w:val="clear" w:color="auto" w:fill="auto"/>
            <w:vAlign w:val="center"/>
          </w:tcPr>
          <w:p w14:paraId="60C37EAF" w14:textId="77777777" w:rsidR="000F6636" w:rsidRPr="00741F8C" w:rsidRDefault="000F6636" w:rsidP="00484DB0">
            <w:pPr>
              <w:jc w:val="right"/>
              <w:rPr>
                <w:rFonts w:cs="Arial"/>
                <w:b/>
                <w:bCs/>
                <w:sz w:val="18"/>
                <w:szCs w:val="18"/>
              </w:rPr>
            </w:pPr>
            <w:r w:rsidRPr="00741F8C">
              <w:rPr>
                <w:rFonts w:cs="Arial"/>
                <w:b/>
                <w:bCs/>
                <w:sz w:val="18"/>
                <w:szCs w:val="18"/>
              </w:rPr>
              <w:t>68 830</w:t>
            </w:r>
          </w:p>
        </w:tc>
        <w:tc>
          <w:tcPr>
            <w:tcW w:w="400" w:type="pct"/>
            <w:gridSpan w:val="2"/>
            <w:tcBorders>
              <w:top w:val="single" w:sz="4" w:space="0" w:color="auto"/>
              <w:bottom w:val="single" w:sz="4" w:space="0" w:color="auto"/>
            </w:tcBorders>
            <w:shd w:val="clear" w:color="auto" w:fill="auto"/>
            <w:vAlign w:val="center"/>
          </w:tcPr>
          <w:p w14:paraId="46DFDC7C" w14:textId="77777777" w:rsidR="000F6636" w:rsidRPr="00741F8C" w:rsidRDefault="000F6636" w:rsidP="00484DB0">
            <w:pPr>
              <w:jc w:val="right"/>
              <w:rPr>
                <w:rFonts w:cs="Arial"/>
                <w:b/>
                <w:bCs/>
                <w:sz w:val="18"/>
                <w:szCs w:val="18"/>
              </w:rPr>
            </w:pPr>
            <w:r w:rsidRPr="00741F8C">
              <w:rPr>
                <w:rFonts w:cs="Arial"/>
                <w:b/>
                <w:bCs/>
                <w:sz w:val="18"/>
                <w:szCs w:val="18"/>
              </w:rPr>
              <w:t>76 838</w:t>
            </w:r>
          </w:p>
        </w:tc>
        <w:tc>
          <w:tcPr>
            <w:tcW w:w="400" w:type="pct"/>
            <w:tcBorders>
              <w:top w:val="single" w:sz="4" w:space="0" w:color="auto"/>
              <w:bottom w:val="single" w:sz="4" w:space="0" w:color="auto"/>
            </w:tcBorders>
            <w:shd w:val="clear" w:color="auto" w:fill="auto"/>
            <w:vAlign w:val="center"/>
          </w:tcPr>
          <w:p w14:paraId="151A63E1" w14:textId="77777777" w:rsidR="000F6636" w:rsidRPr="00741F8C" w:rsidRDefault="000F6636" w:rsidP="00484DB0">
            <w:pPr>
              <w:jc w:val="right"/>
              <w:rPr>
                <w:rFonts w:cs="Arial"/>
                <w:b/>
                <w:bCs/>
                <w:sz w:val="18"/>
                <w:szCs w:val="18"/>
              </w:rPr>
            </w:pPr>
            <w:r w:rsidRPr="00741F8C">
              <w:rPr>
                <w:rFonts w:cs="Arial"/>
                <w:b/>
                <w:bCs/>
                <w:sz w:val="18"/>
                <w:szCs w:val="18"/>
              </w:rPr>
              <w:t>83 514</w:t>
            </w:r>
          </w:p>
        </w:tc>
        <w:tc>
          <w:tcPr>
            <w:tcW w:w="400" w:type="pct"/>
            <w:gridSpan w:val="2"/>
            <w:tcBorders>
              <w:top w:val="single" w:sz="4" w:space="0" w:color="auto"/>
              <w:bottom w:val="single" w:sz="4" w:space="0" w:color="auto"/>
            </w:tcBorders>
            <w:vAlign w:val="center"/>
          </w:tcPr>
          <w:p w14:paraId="3076789E" w14:textId="77777777" w:rsidR="000F6636" w:rsidRPr="00741F8C" w:rsidRDefault="000F6636" w:rsidP="00484DB0">
            <w:pPr>
              <w:jc w:val="right"/>
              <w:rPr>
                <w:rFonts w:cs="Arial"/>
                <w:b/>
                <w:bCs/>
                <w:sz w:val="18"/>
                <w:szCs w:val="18"/>
              </w:rPr>
            </w:pPr>
            <w:r w:rsidRPr="00741F8C">
              <w:rPr>
                <w:rFonts w:cs="Arial"/>
                <w:b/>
                <w:bCs/>
                <w:sz w:val="18"/>
                <w:szCs w:val="18"/>
              </w:rPr>
              <w:t>89 793</w:t>
            </w:r>
          </w:p>
        </w:tc>
      </w:tr>
      <w:tr w:rsidR="000F6636" w:rsidRPr="003A4411" w14:paraId="056DCD98" w14:textId="77777777" w:rsidTr="00484DB0">
        <w:trPr>
          <w:gridAfter w:val="1"/>
          <w:wAfter w:w="11" w:type="pct"/>
          <w:trHeight w:val="251"/>
        </w:trPr>
        <w:tc>
          <w:tcPr>
            <w:tcW w:w="2189" w:type="pct"/>
            <w:tcBorders>
              <w:top w:val="single" w:sz="4" w:space="0" w:color="auto"/>
              <w:left w:val="nil"/>
            </w:tcBorders>
            <w:shd w:val="clear" w:color="auto" w:fill="auto"/>
            <w:vAlign w:val="center"/>
          </w:tcPr>
          <w:p w14:paraId="6F90F25D" w14:textId="77777777" w:rsidR="000F6636" w:rsidRPr="00741F8C" w:rsidRDefault="000F6636" w:rsidP="00484DB0">
            <w:pPr>
              <w:rPr>
                <w:b/>
                <w:sz w:val="18"/>
                <w:szCs w:val="18"/>
              </w:rPr>
            </w:pPr>
            <w:r w:rsidRPr="00741F8C">
              <w:rPr>
                <w:b/>
                <w:sz w:val="18"/>
                <w:szCs w:val="18"/>
              </w:rPr>
              <w:t>B. Celková medziročná zmena hrubého dlhu VS</w:t>
            </w:r>
          </w:p>
        </w:tc>
        <w:tc>
          <w:tcPr>
            <w:tcW w:w="400" w:type="pct"/>
            <w:tcBorders>
              <w:top w:val="single" w:sz="4" w:space="0" w:color="auto"/>
            </w:tcBorders>
            <w:shd w:val="clear" w:color="auto" w:fill="auto"/>
            <w:vAlign w:val="center"/>
          </w:tcPr>
          <w:p w14:paraId="26AECB4E" w14:textId="77777777" w:rsidR="000F6636" w:rsidRPr="00741F8C" w:rsidRDefault="000F6636" w:rsidP="00484DB0">
            <w:pPr>
              <w:jc w:val="right"/>
              <w:rPr>
                <w:rFonts w:cs="Arial"/>
                <w:b/>
                <w:bCs/>
                <w:sz w:val="18"/>
                <w:szCs w:val="18"/>
              </w:rPr>
            </w:pPr>
            <w:r w:rsidRPr="00741F8C">
              <w:rPr>
                <w:rFonts w:cs="Arial"/>
                <w:b/>
                <w:bCs/>
                <w:sz w:val="18"/>
                <w:szCs w:val="18"/>
              </w:rPr>
              <w:t>6 245</w:t>
            </w:r>
          </w:p>
        </w:tc>
        <w:tc>
          <w:tcPr>
            <w:tcW w:w="400" w:type="pct"/>
            <w:tcBorders>
              <w:top w:val="single" w:sz="4" w:space="0" w:color="auto"/>
            </w:tcBorders>
            <w:shd w:val="clear" w:color="auto" w:fill="auto"/>
            <w:vAlign w:val="center"/>
          </w:tcPr>
          <w:p w14:paraId="1ABA2A02" w14:textId="77777777" w:rsidR="000F6636" w:rsidRPr="00741F8C" w:rsidRDefault="000F6636" w:rsidP="00484DB0">
            <w:pPr>
              <w:jc w:val="right"/>
              <w:rPr>
                <w:rFonts w:cs="Arial"/>
                <w:b/>
                <w:bCs/>
                <w:sz w:val="18"/>
                <w:szCs w:val="18"/>
              </w:rPr>
            </w:pPr>
            <w:r w:rsidRPr="00741F8C">
              <w:rPr>
                <w:rFonts w:cs="Arial"/>
                <w:b/>
                <w:bCs/>
                <w:sz w:val="18"/>
                <w:szCs w:val="18"/>
              </w:rPr>
              <w:t>2 140</w:t>
            </w:r>
          </w:p>
        </w:tc>
        <w:tc>
          <w:tcPr>
            <w:tcW w:w="400" w:type="pct"/>
            <w:tcBorders>
              <w:top w:val="single" w:sz="4" w:space="0" w:color="auto"/>
            </w:tcBorders>
            <w:shd w:val="clear" w:color="auto" w:fill="auto"/>
            <w:vAlign w:val="center"/>
          </w:tcPr>
          <w:p w14:paraId="72EA4AD1" w14:textId="77777777" w:rsidR="000F6636" w:rsidRPr="00741F8C" w:rsidRDefault="000F6636" w:rsidP="00484DB0">
            <w:pPr>
              <w:jc w:val="right"/>
              <w:rPr>
                <w:rFonts w:cs="Arial"/>
                <w:b/>
                <w:bCs/>
                <w:sz w:val="18"/>
                <w:szCs w:val="18"/>
              </w:rPr>
            </w:pPr>
            <w:r w:rsidRPr="00741F8C">
              <w:rPr>
                <w:rFonts w:cs="Arial"/>
                <w:b/>
                <w:bCs/>
                <w:sz w:val="18"/>
                <w:szCs w:val="18"/>
              </w:rPr>
              <w:t>5 452</w:t>
            </w:r>
          </w:p>
        </w:tc>
        <w:tc>
          <w:tcPr>
            <w:tcW w:w="400" w:type="pct"/>
            <w:tcBorders>
              <w:top w:val="single" w:sz="4" w:space="0" w:color="auto"/>
            </w:tcBorders>
            <w:shd w:val="clear" w:color="auto" w:fill="auto"/>
            <w:vAlign w:val="center"/>
          </w:tcPr>
          <w:p w14:paraId="214527B1" w14:textId="77777777" w:rsidR="000F6636" w:rsidRPr="00741F8C" w:rsidRDefault="000F6636" w:rsidP="00484DB0">
            <w:pPr>
              <w:jc w:val="right"/>
              <w:rPr>
                <w:rFonts w:cs="Arial"/>
                <w:b/>
                <w:bCs/>
                <w:sz w:val="18"/>
                <w:szCs w:val="18"/>
              </w:rPr>
            </w:pPr>
            <w:r w:rsidRPr="00741F8C">
              <w:rPr>
                <w:rFonts w:cs="Arial"/>
                <w:b/>
                <w:bCs/>
                <w:sz w:val="18"/>
                <w:szCs w:val="18"/>
              </w:rPr>
              <w:t>8 008</w:t>
            </w:r>
          </w:p>
        </w:tc>
        <w:tc>
          <w:tcPr>
            <w:tcW w:w="400" w:type="pct"/>
            <w:gridSpan w:val="2"/>
            <w:tcBorders>
              <w:top w:val="single" w:sz="4" w:space="0" w:color="auto"/>
            </w:tcBorders>
            <w:shd w:val="clear" w:color="auto" w:fill="auto"/>
            <w:vAlign w:val="center"/>
          </w:tcPr>
          <w:p w14:paraId="75107D33" w14:textId="77777777" w:rsidR="000F6636" w:rsidRPr="00741F8C" w:rsidRDefault="000F6636" w:rsidP="00484DB0">
            <w:pPr>
              <w:jc w:val="right"/>
              <w:rPr>
                <w:rFonts w:cs="Arial"/>
                <w:b/>
                <w:bCs/>
                <w:sz w:val="18"/>
                <w:szCs w:val="18"/>
              </w:rPr>
            </w:pPr>
            <w:r w:rsidRPr="00741F8C">
              <w:rPr>
                <w:rFonts w:cs="Arial"/>
                <w:b/>
                <w:bCs/>
                <w:sz w:val="18"/>
                <w:szCs w:val="18"/>
              </w:rPr>
              <w:t>6 676</w:t>
            </w:r>
          </w:p>
        </w:tc>
        <w:tc>
          <w:tcPr>
            <w:tcW w:w="400" w:type="pct"/>
            <w:tcBorders>
              <w:top w:val="single" w:sz="4" w:space="0" w:color="auto"/>
            </w:tcBorders>
            <w:shd w:val="clear" w:color="auto" w:fill="auto"/>
            <w:vAlign w:val="center"/>
          </w:tcPr>
          <w:p w14:paraId="14A00DCF" w14:textId="77777777" w:rsidR="000F6636" w:rsidRPr="00741F8C" w:rsidRDefault="000F6636" w:rsidP="00484DB0">
            <w:pPr>
              <w:jc w:val="right"/>
              <w:rPr>
                <w:rFonts w:cs="Arial"/>
                <w:b/>
                <w:bCs/>
                <w:sz w:val="18"/>
                <w:szCs w:val="18"/>
              </w:rPr>
            </w:pPr>
            <w:r w:rsidRPr="00741F8C">
              <w:rPr>
                <w:rFonts w:cs="Arial"/>
                <w:b/>
                <w:bCs/>
                <w:sz w:val="18"/>
                <w:szCs w:val="18"/>
              </w:rPr>
              <w:t>6 279</w:t>
            </w:r>
          </w:p>
        </w:tc>
        <w:tc>
          <w:tcPr>
            <w:tcW w:w="400" w:type="pct"/>
            <w:gridSpan w:val="2"/>
            <w:tcBorders>
              <w:top w:val="single" w:sz="4" w:space="0" w:color="auto"/>
            </w:tcBorders>
            <w:vAlign w:val="center"/>
          </w:tcPr>
          <w:p w14:paraId="5B3E707A" w14:textId="77777777" w:rsidR="000F6636" w:rsidRPr="00741F8C" w:rsidRDefault="000F6636" w:rsidP="00484DB0">
            <w:pPr>
              <w:jc w:val="right"/>
              <w:rPr>
                <w:rFonts w:cs="Arial"/>
                <w:b/>
                <w:bCs/>
                <w:sz w:val="18"/>
                <w:szCs w:val="18"/>
              </w:rPr>
            </w:pPr>
            <w:r w:rsidRPr="00741F8C">
              <w:rPr>
                <w:rFonts w:cs="Arial"/>
                <w:b/>
                <w:bCs/>
                <w:sz w:val="18"/>
                <w:szCs w:val="18"/>
              </w:rPr>
              <w:t>5 273</w:t>
            </w:r>
          </w:p>
        </w:tc>
      </w:tr>
      <w:tr w:rsidR="000F6636" w:rsidRPr="003A4411" w14:paraId="1CD7D0B9" w14:textId="77777777" w:rsidTr="00484DB0">
        <w:trPr>
          <w:gridAfter w:val="1"/>
          <w:wAfter w:w="11" w:type="pct"/>
          <w:trHeight w:val="251"/>
        </w:trPr>
        <w:tc>
          <w:tcPr>
            <w:tcW w:w="2189" w:type="pct"/>
            <w:tcBorders>
              <w:top w:val="nil"/>
              <w:left w:val="nil"/>
            </w:tcBorders>
            <w:shd w:val="clear" w:color="auto" w:fill="auto"/>
            <w:vAlign w:val="center"/>
          </w:tcPr>
          <w:p w14:paraId="6074E874" w14:textId="77777777" w:rsidR="000F6636" w:rsidRPr="00741F8C" w:rsidRDefault="000F6636" w:rsidP="00484DB0">
            <w:pPr>
              <w:rPr>
                <w:sz w:val="18"/>
                <w:szCs w:val="18"/>
              </w:rPr>
            </w:pPr>
            <w:r w:rsidRPr="00741F8C">
              <w:rPr>
                <w:sz w:val="18"/>
                <w:szCs w:val="18"/>
              </w:rPr>
              <w:t>- hotovostný deficit ŠR</w:t>
            </w:r>
          </w:p>
        </w:tc>
        <w:tc>
          <w:tcPr>
            <w:tcW w:w="400" w:type="pct"/>
            <w:tcBorders>
              <w:top w:val="nil"/>
            </w:tcBorders>
            <w:shd w:val="clear" w:color="auto" w:fill="auto"/>
            <w:vAlign w:val="center"/>
          </w:tcPr>
          <w:p w14:paraId="000698BD" w14:textId="77777777" w:rsidR="000F6636" w:rsidRPr="00741F8C" w:rsidRDefault="000F6636" w:rsidP="00484DB0">
            <w:pPr>
              <w:jc w:val="right"/>
              <w:rPr>
                <w:rFonts w:cs="Arial"/>
                <w:sz w:val="18"/>
                <w:szCs w:val="18"/>
              </w:rPr>
            </w:pPr>
            <w:r w:rsidRPr="00741F8C">
              <w:rPr>
                <w:rFonts w:cs="Arial"/>
                <w:sz w:val="18"/>
                <w:szCs w:val="18"/>
              </w:rPr>
              <w:t>7 014</w:t>
            </w:r>
          </w:p>
        </w:tc>
        <w:tc>
          <w:tcPr>
            <w:tcW w:w="400" w:type="pct"/>
            <w:tcBorders>
              <w:top w:val="nil"/>
            </w:tcBorders>
            <w:shd w:val="clear" w:color="auto" w:fill="auto"/>
            <w:vAlign w:val="center"/>
          </w:tcPr>
          <w:p w14:paraId="181E4209" w14:textId="77777777" w:rsidR="000F6636" w:rsidRPr="00741F8C" w:rsidRDefault="000F6636" w:rsidP="00484DB0">
            <w:pPr>
              <w:jc w:val="right"/>
              <w:rPr>
                <w:rFonts w:cs="Arial"/>
                <w:sz w:val="18"/>
                <w:szCs w:val="18"/>
              </w:rPr>
            </w:pPr>
            <w:r w:rsidRPr="00741F8C">
              <w:rPr>
                <w:rFonts w:cs="Arial"/>
                <w:sz w:val="18"/>
                <w:szCs w:val="18"/>
              </w:rPr>
              <w:t>4 525</w:t>
            </w:r>
          </w:p>
        </w:tc>
        <w:tc>
          <w:tcPr>
            <w:tcW w:w="400" w:type="pct"/>
            <w:tcBorders>
              <w:top w:val="nil"/>
            </w:tcBorders>
            <w:shd w:val="clear" w:color="auto" w:fill="auto"/>
            <w:vAlign w:val="center"/>
          </w:tcPr>
          <w:p w14:paraId="5BD80FA9" w14:textId="77777777" w:rsidR="000F6636" w:rsidRPr="00741F8C" w:rsidRDefault="000F6636" w:rsidP="00484DB0">
            <w:pPr>
              <w:jc w:val="right"/>
              <w:rPr>
                <w:rFonts w:cs="Arial"/>
                <w:sz w:val="18"/>
                <w:szCs w:val="18"/>
              </w:rPr>
            </w:pPr>
            <w:r w:rsidRPr="00741F8C">
              <w:rPr>
                <w:rFonts w:cs="Arial"/>
                <w:sz w:val="18"/>
                <w:szCs w:val="18"/>
              </w:rPr>
              <w:t>7 675</w:t>
            </w:r>
          </w:p>
        </w:tc>
        <w:tc>
          <w:tcPr>
            <w:tcW w:w="400" w:type="pct"/>
            <w:tcBorders>
              <w:top w:val="nil"/>
            </w:tcBorders>
            <w:shd w:val="clear" w:color="auto" w:fill="auto"/>
            <w:vAlign w:val="center"/>
          </w:tcPr>
          <w:p w14:paraId="0ADDBD54" w14:textId="77777777" w:rsidR="000F6636" w:rsidRPr="00741F8C" w:rsidRDefault="000F6636" w:rsidP="00484DB0">
            <w:pPr>
              <w:jc w:val="right"/>
              <w:rPr>
                <w:rFonts w:cs="Arial"/>
                <w:sz w:val="18"/>
                <w:szCs w:val="18"/>
              </w:rPr>
            </w:pPr>
            <w:r w:rsidRPr="00741F8C">
              <w:rPr>
                <w:rFonts w:cs="Arial"/>
                <w:sz w:val="18"/>
                <w:szCs w:val="18"/>
              </w:rPr>
              <w:t>6 418</w:t>
            </w:r>
          </w:p>
        </w:tc>
        <w:tc>
          <w:tcPr>
            <w:tcW w:w="400" w:type="pct"/>
            <w:gridSpan w:val="2"/>
            <w:tcBorders>
              <w:top w:val="nil"/>
            </w:tcBorders>
            <w:shd w:val="clear" w:color="auto" w:fill="auto"/>
            <w:vAlign w:val="center"/>
          </w:tcPr>
          <w:p w14:paraId="77B4F53C" w14:textId="77777777" w:rsidR="000F6636" w:rsidRPr="00741F8C" w:rsidRDefault="000F6636" w:rsidP="00484DB0">
            <w:pPr>
              <w:jc w:val="right"/>
              <w:rPr>
                <w:rFonts w:cs="Arial"/>
                <w:sz w:val="18"/>
                <w:szCs w:val="18"/>
              </w:rPr>
            </w:pPr>
            <w:r w:rsidRPr="00741F8C">
              <w:rPr>
                <w:rFonts w:cs="Arial"/>
                <w:sz w:val="18"/>
                <w:szCs w:val="18"/>
              </w:rPr>
              <w:t>5 878</w:t>
            </w:r>
          </w:p>
        </w:tc>
        <w:tc>
          <w:tcPr>
            <w:tcW w:w="400" w:type="pct"/>
            <w:tcBorders>
              <w:top w:val="nil"/>
            </w:tcBorders>
            <w:shd w:val="clear" w:color="auto" w:fill="auto"/>
            <w:vAlign w:val="center"/>
          </w:tcPr>
          <w:p w14:paraId="74310810" w14:textId="77777777" w:rsidR="000F6636" w:rsidRPr="00741F8C" w:rsidRDefault="000F6636" w:rsidP="00484DB0">
            <w:pPr>
              <w:jc w:val="right"/>
              <w:rPr>
                <w:rFonts w:cs="Arial"/>
                <w:sz w:val="18"/>
                <w:szCs w:val="18"/>
              </w:rPr>
            </w:pPr>
            <w:r w:rsidRPr="00741F8C">
              <w:rPr>
                <w:rFonts w:cs="Arial"/>
                <w:sz w:val="18"/>
                <w:szCs w:val="18"/>
              </w:rPr>
              <w:t>6 522</w:t>
            </w:r>
          </w:p>
        </w:tc>
        <w:tc>
          <w:tcPr>
            <w:tcW w:w="400" w:type="pct"/>
            <w:gridSpan w:val="2"/>
            <w:tcBorders>
              <w:top w:val="nil"/>
            </w:tcBorders>
            <w:vAlign w:val="center"/>
          </w:tcPr>
          <w:p w14:paraId="180F4507" w14:textId="77777777" w:rsidR="000F6636" w:rsidRPr="00741F8C" w:rsidRDefault="000F6636" w:rsidP="00484DB0">
            <w:pPr>
              <w:jc w:val="right"/>
              <w:rPr>
                <w:rFonts w:cs="Arial"/>
                <w:sz w:val="18"/>
                <w:szCs w:val="18"/>
              </w:rPr>
            </w:pPr>
            <w:r w:rsidRPr="00741F8C">
              <w:rPr>
                <w:rFonts w:cs="Arial"/>
                <w:sz w:val="18"/>
                <w:szCs w:val="18"/>
              </w:rPr>
              <w:t>5 207</w:t>
            </w:r>
          </w:p>
        </w:tc>
      </w:tr>
      <w:tr w:rsidR="000F6636" w:rsidRPr="003A4411" w14:paraId="7933FE04" w14:textId="77777777" w:rsidTr="00484DB0">
        <w:trPr>
          <w:gridAfter w:val="1"/>
          <w:wAfter w:w="11" w:type="pct"/>
          <w:trHeight w:val="251"/>
        </w:trPr>
        <w:tc>
          <w:tcPr>
            <w:tcW w:w="2189" w:type="pct"/>
            <w:tcBorders>
              <w:top w:val="nil"/>
              <w:left w:val="nil"/>
            </w:tcBorders>
            <w:shd w:val="clear" w:color="auto" w:fill="auto"/>
            <w:vAlign w:val="center"/>
          </w:tcPr>
          <w:p w14:paraId="1E6EFF02" w14:textId="77777777" w:rsidR="000F6636" w:rsidRPr="00741F8C" w:rsidRDefault="000F6636" w:rsidP="00484DB0">
            <w:pPr>
              <w:rPr>
                <w:sz w:val="18"/>
                <w:szCs w:val="18"/>
              </w:rPr>
            </w:pPr>
            <w:r w:rsidRPr="00741F8C">
              <w:rPr>
                <w:sz w:val="18"/>
                <w:szCs w:val="18"/>
              </w:rPr>
              <w:t>- prostriedky ŠP využité na financovanie hotovostného deficitu ŠR</w:t>
            </w:r>
          </w:p>
        </w:tc>
        <w:tc>
          <w:tcPr>
            <w:tcW w:w="400" w:type="pct"/>
            <w:tcBorders>
              <w:top w:val="nil"/>
            </w:tcBorders>
            <w:shd w:val="clear" w:color="auto" w:fill="auto"/>
            <w:vAlign w:val="center"/>
          </w:tcPr>
          <w:p w14:paraId="2339B33D" w14:textId="77777777" w:rsidR="000F6636" w:rsidRPr="00741F8C" w:rsidRDefault="000F6636" w:rsidP="00484DB0">
            <w:pPr>
              <w:jc w:val="right"/>
              <w:rPr>
                <w:rFonts w:cs="Arial"/>
                <w:sz w:val="18"/>
                <w:szCs w:val="18"/>
              </w:rPr>
            </w:pPr>
            <w:r w:rsidRPr="00741F8C">
              <w:rPr>
                <w:rFonts w:cs="Arial"/>
                <w:sz w:val="18"/>
                <w:szCs w:val="18"/>
              </w:rPr>
              <w:t>-2 365</w:t>
            </w:r>
          </w:p>
        </w:tc>
        <w:tc>
          <w:tcPr>
            <w:tcW w:w="400" w:type="pct"/>
            <w:tcBorders>
              <w:top w:val="nil"/>
            </w:tcBorders>
            <w:shd w:val="clear" w:color="auto" w:fill="auto"/>
            <w:vAlign w:val="center"/>
          </w:tcPr>
          <w:p w14:paraId="779DF7E2" w14:textId="77777777" w:rsidR="000F6636" w:rsidRPr="00741F8C" w:rsidRDefault="000F6636" w:rsidP="00484DB0">
            <w:pPr>
              <w:jc w:val="right"/>
              <w:rPr>
                <w:rFonts w:cs="Arial"/>
                <w:sz w:val="18"/>
                <w:szCs w:val="18"/>
              </w:rPr>
            </w:pPr>
            <w:r w:rsidRPr="00741F8C">
              <w:rPr>
                <w:rFonts w:cs="Arial"/>
                <w:sz w:val="18"/>
                <w:szCs w:val="18"/>
              </w:rPr>
              <w:t>-1 150</w:t>
            </w:r>
          </w:p>
        </w:tc>
        <w:tc>
          <w:tcPr>
            <w:tcW w:w="400" w:type="pct"/>
            <w:tcBorders>
              <w:top w:val="nil"/>
            </w:tcBorders>
            <w:shd w:val="clear" w:color="auto" w:fill="auto"/>
            <w:vAlign w:val="center"/>
          </w:tcPr>
          <w:p w14:paraId="023B994F" w14:textId="77777777" w:rsidR="000F6636" w:rsidRPr="00741F8C" w:rsidRDefault="000F6636" w:rsidP="00484DB0">
            <w:pPr>
              <w:jc w:val="right"/>
              <w:rPr>
                <w:rFonts w:cs="Arial"/>
                <w:sz w:val="18"/>
                <w:szCs w:val="18"/>
              </w:rPr>
            </w:pPr>
            <w:r w:rsidRPr="00741F8C">
              <w:rPr>
                <w:rFonts w:cs="Arial"/>
                <w:sz w:val="18"/>
                <w:szCs w:val="18"/>
              </w:rPr>
              <w:t>-2 587</w:t>
            </w:r>
          </w:p>
        </w:tc>
        <w:tc>
          <w:tcPr>
            <w:tcW w:w="400" w:type="pct"/>
            <w:tcBorders>
              <w:top w:val="nil"/>
            </w:tcBorders>
            <w:shd w:val="clear" w:color="auto" w:fill="auto"/>
            <w:vAlign w:val="center"/>
          </w:tcPr>
          <w:p w14:paraId="43751715" w14:textId="77777777" w:rsidR="000F6636" w:rsidRPr="00741F8C" w:rsidRDefault="000F6636" w:rsidP="00484DB0">
            <w:pPr>
              <w:jc w:val="right"/>
              <w:rPr>
                <w:rFonts w:cs="Arial"/>
                <w:sz w:val="18"/>
                <w:szCs w:val="18"/>
              </w:rPr>
            </w:pPr>
            <w:r w:rsidRPr="00741F8C">
              <w:rPr>
                <w:rFonts w:cs="Arial"/>
                <w:sz w:val="18"/>
                <w:szCs w:val="18"/>
              </w:rPr>
              <w:t>697</w:t>
            </w:r>
          </w:p>
        </w:tc>
        <w:tc>
          <w:tcPr>
            <w:tcW w:w="400" w:type="pct"/>
            <w:gridSpan w:val="2"/>
            <w:tcBorders>
              <w:top w:val="nil"/>
            </w:tcBorders>
            <w:shd w:val="clear" w:color="auto" w:fill="auto"/>
            <w:vAlign w:val="center"/>
          </w:tcPr>
          <w:p w14:paraId="7E0360FC" w14:textId="77777777" w:rsidR="000F6636" w:rsidRPr="00741F8C" w:rsidRDefault="000F6636" w:rsidP="00484DB0">
            <w:pPr>
              <w:jc w:val="right"/>
              <w:rPr>
                <w:rFonts w:cs="Arial"/>
                <w:sz w:val="18"/>
                <w:szCs w:val="18"/>
              </w:rPr>
            </w:pPr>
            <w:r w:rsidRPr="00741F8C">
              <w:rPr>
                <w:rFonts w:cs="Arial"/>
                <w:sz w:val="18"/>
                <w:szCs w:val="18"/>
              </w:rPr>
              <w:t>-18</w:t>
            </w:r>
          </w:p>
        </w:tc>
        <w:tc>
          <w:tcPr>
            <w:tcW w:w="400" w:type="pct"/>
            <w:tcBorders>
              <w:top w:val="nil"/>
            </w:tcBorders>
            <w:shd w:val="clear" w:color="auto" w:fill="auto"/>
            <w:vAlign w:val="center"/>
          </w:tcPr>
          <w:p w14:paraId="62ACAB04" w14:textId="77777777" w:rsidR="000F6636" w:rsidRPr="00741F8C" w:rsidRDefault="000F6636" w:rsidP="00484DB0">
            <w:pPr>
              <w:jc w:val="right"/>
              <w:rPr>
                <w:rFonts w:cs="Arial"/>
                <w:sz w:val="18"/>
                <w:szCs w:val="18"/>
              </w:rPr>
            </w:pPr>
            <w:r w:rsidRPr="00741F8C">
              <w:rPr>
                <w:rFonts w:cs="Arial"/>
                <w:sz w:val="18"/>
                <w:szCs w:val="18"/>
              </w:rPr>
              <w:t>-694</w:t>
            </w:r>
          </w:p>
        </w:tc>
        <w:tc>
          <w:tcPr>
            <w:tcW w:w="400" w:type="pct"/>
            <w:gridSpan w:val="2"/>
            <w:tcBorders>
              <w:top w:val="nil"/>
            </w:tcBorders>
            <w:vAlign w:val="center"/>
          </w:tcPr>
          <w:p w14:paraId="1529A1E1" w14:textId="77777777" w:rsidR="000F6636" w:rsidRPr="00741F8C" w:rsidRDefault="000F6636" w:rsidP="00484DB0">
            <w:pPr>
              <w:jc w:val="right"/>
              <w:rPr>
                <w:rFonts w:cs="Arial"/>
                <w:sz w:val="18"/>
                <w:szCs w:val="18"/>
              </w:rPr>
            </w:pPr>
            <w:r w:rsidRPr="00741F8C">
              <w:rPr>
                <w:rFonts w:cs="Arial"/>
                <w:sz w:val="18"/>
                <w:szCs w:val="18"/>
              </w:rPr>
              <w:t>-444</w:t>
            </w:r>
          </w:p>
        </w:tc>
      </w:tr>
      <w:tr w:rsidR="000F6636" w:rsidRPr="003A4411" w14:paraId="5BD76F53" w14:textId="77777777" w:rsidTr="00484DB0">
        <w:trPr>
          <w:gridAfter w:val="1"/>
          <w:wAfter w:w="11" w:type="pct"/>
          <w:trHeight w:val="251"/>
        </w:trPr>
        <w:tc>
          <w:tcPr>
            <w:tcW w:w="2189" w:type="pct"/>
            <w:tcBorders>
              <w:top w:val="nil"/>
              <w:left w:val="nil"/>
            </w:tcBorders>
            <w:shd w:val="clear" w:color="auto" w:fill="auto"/>
            <w:vAlign w:val="center"/>
          </w:tcPr>
          <w:p w14:paraId="5AA4D204" w14:textId="77777777" w:rsidR="000F6636" w:rsidRPr="00741F8C" w:rsidRDefault="000F6636" w:rsidP="00484DB0">
            <w:pPr>
              <w:rPr>
                <w:sz w:val="18"/>
                <w:szCs w:val="18"/>
              </w:rPr>
            </w:pPr>
            <w:r w:rsidRPr="00741F8C">
              <w:rPr>
                <w:sz w:val="18"/>
                <w:szCs w:val="18"/>
              </w:rPr>
              <w:t>- zadlženie ostatných subjektov VS</w:t>
            </w:r>
          </w:p>
        </w:tc>
        <w:tc>
          <w:tcPr>
            <w:tcW w:w="400" w:type="pct"/>
            <w:tcBorders>
              <w:top w:val="nil"/>
            </w:tcBorders>
            <w:shd w:val="clear" w:color="auto" w:fill="auto"/>
            <w:vAlign w:val="center"/>
          </w:tcPr>
          <w:p w14:paraId="0019D952" w14:textId="77777777" w:rsidR="000F6636" w:rsidRPr="00741F8C" w:rsidRDefault="000F6636" w:rsidP="00484DB0">
            <w:pPr>
              <w:jc w:val="right"/>
              <w:rPr>
                <w:rFonts w:cs="Arial"/>
                <w:sz w:val="18"/>
                <w:szCs w:val="18"/>
              </w:rPr>
            </w:pPr>
            <w:r w:rsidRPr="00741F8C">
              <w:rPr>
                <w:rFonts w:cs="Arial"/>
                <w:sz w:val="18"/>
                <w:szCs w:val="18"/>
              </w:rPr>
              <w:t>-152</w:t>
            </w:r>
          </w:p>
        </w:tc>
        <w:tc>
          <w:tcPr>
            <w:tcW w:w="400" w:type="pct"/>
            <w:tcBorders>
              <w:top w:val="nil"/>
            </w:tcBorders>
            <w:shd w:val="clear" w:color="auto" w:fill="auto"/>
            <w:vAlign w:val="center"/>
          </w:tcPr>
          <w:p w14:paraId="7AB2C78C" w14:textId="77777777" w:rsidR="000F6636" w:rsidRPr="00741F8C" w:rsidRDefault="000F6636" w:rsidP="00484DB0">
            <w:pPr>
              <w:jc w:val="right"/>
              <w:rPr>
                <w:rFonts w:cs="Arial"/>
                <w:sz w:val="18"/>
                <w:szCs w:val="18"/>
              </w:rPr>
            </w:pPr>
            <w:r w:rsidRPr="00741F8C">
              <w:rPr>
                <w:rFonts w:cs="Arial"/>
                <w:sz w:val="18"/>
                <w:szCs w:val="18"/>
              </w:rPr>
              <w:t>116</w:t>
            </w:r>
          </w:p>
        </w:tc>
        <w:tc>
          <w:tcPr>
            <w:tcW w:w="400" w:type="pct"/>
            <w:tcBorders>
              <w:top w:val="nil"/>
            </w:tcBorders>
            <w:shd w:val="clear" w:color="auto" w:fill="auto"/>
            <w:vAlign w:val="center"/>
          </w:tcPr>
          <w:p w14:paraId="379E3EDF" w14:textId="77777777" w:rsidR="000F6636" w:rsidRPr="00741F8C" w:rsidRDefault="000F6636" w:rsidP="00484DB0">
            <w:pPr>
              <w:jc w:val="right"/>
              <w:rPr>
                <w:rFonts w:cs="Arial"/>
                <w:sz w:val="18"/>
                <w:szCs w:val="18"/>
              </w:rPr>
            </w:pPr>
            <w:r w:rsidRPr="00741F8C">
              <w:rPr>
                <w:rFonts w:cs="Arial"/>
                <w:sz w:val="18"/>
                <w:szCs w:val="18"/>
              </w:rPr>
              <w:t>201</w:t>
            </w:r>
          </w:p>
        </w:tc>
        <w:tc>
          <w:tcPr>
            <w:tcW w:w="400" w:type="pct"/>
            <w:tcBorders>
              <w:top w:val="nil"/>
            </w:tcBorders>
            <w:shd w:val="clear" w:color="auto" w:fill="auto"/>
            <w:vAlign w:val="center"/>
          </w:tcPr>
          <w:p w14:paraId="4CDEBF9C" w14:textId="77777777" w:rsidR="000F6636" w:rsidRPr="00741F8C" w:rsidRDefault="000F6636" w:rsidP="00484DB0">
            <w:pPr>
              <w:jc w:val="right"/>
              <w:rPr>
                <w:rFonts w:cs="Arial"/>
                <w:sz w:val="18"/>
                <w:szCs w:val="18"/>
              </w:rPr>
            </w:pPr>
            <w:r w:rsidRPr="00741F8C">
              <w:rPr>
                <w:rFonts w:cs="Arial"/>
                <w:sz w:val="18"/>
                <w:szCs w:val="18"/>
              </w:rPr>
              <w:t>167</w:t>
            </w:r>
          </w:p>
        </w:tc>
        <w:tc>
          <w:tcPr>
            <w:tcW w:w="400" w:type="pct"/>
            <w:gridSpan w:val="2"/>
            <w:tcBorders>
              <w:top w:val="nil"/>
            </w:tcBorders>
            <w:shd w:val="clear" w:color="auto" w:fill="auto"/>
            <w:vAlign w:val="center"/>
          </w:tcPr>
          <w:p w14:paraId="1869B245" w14:textId="77777777" w:rsidR="000F6636" w:rsidRPr="00741F8C" w:rsidRDefault="000F6636" w:rsidP="00484DB0">
            <w:pPr>
              <w:jc w:val="right"/>
              <w:rPr>
                <w:rFonts w:cs="Arial"/>
                <w:sz w:val="18"/>
                <w:szCs w:val="18"/>
              </w:rPr>
            </w:pPr>
            <w:r w:rsidRPr="00741F8C">
              <w:rPr>
                <w:rFonts w:cs="Arial"/>
                <w:sz w:val="18"/>
                <w:szCs w:val="18"/>
              </w:rPr>
              <w:t>180</w:t>
            </w:r>
          </w:p>
        </w:tc>
        <w:tc>
          <w:tcPr>
            <w:tcW w:w="400" w:type="pct"/>
            <w:tcBorders>
              <w:top w:val="nil"/>
            </w:tcBorders>
            <w:shd w:val="clear" w:color="auto" w:fill="auto"/>
            <w:vAlign w:val="center"/>
          </w:tcPr>
          <w:p w14:paraId="29E8B871" w14:textId="77777777" w:rsidR="000F6636" w:rsidRPr="00741F8C" w:rsidRDefault="000F6636" w:rsidP="00484DB0">
            <w:pPr>
              <w:jc w:val="right"/>
              <w:rPr>
                <w:rFonts w:cs="Arial"/>
                <w:sz w:val="18"/>
                <w:szCs w:val="18"/>
              </w:rPr>
            </w:pPr>
            <w:r w:rsidRPr="00741F8C">
              <w:rPr>
                <w:rFonts w:cs="Arial"/>
                <w:sz w:val="18"/>
                <w:szCs w:val="18"/>
              </w:rPr>
              <w:t>217</w:t>
            </w:r>
          </w:p>
        </w:tc>
        <w:tc>
          <w:tcPr>
            <w:tcW w:w="400" w:type="pct"/>
            <w:gridSpan w:val="2"/>
            <w:tcBorders>
              <w:top w:val="nil"/>
            </w:tcBorders>
            <w:vAlign w:val="center"/>
          </w:tcPr>
          <w:p w14:paraId="5FF88371" w14:textId="77777777" w:rsidR="000F6636" w:rsidRPr="00741F8C" w:rsidRDefault="000F6636" w:rsidP="00484DB0">
            <w:pPr>
              <w:jc w:val="right"/>
              <w:rPr>
                <w:rFonts w:cs="Arial"/>
                <w:sz w:val="18"/>
                <w:szCs w:val="18"/>
              </w:rPr>
            </w:pPr>
            <w:r w:rsidRPr="00741F8C">
              <w:rPr>
                <w:rFonts w:cs="Arial"/>
                <w:sz w:val="18"/>
                <w:szCs w:val="18"/>
              </w:rPr>
              <w:t>233</w:t>
            </w:r>
          </w:p>
        </w:tc>
      </w:tr>
      <w:tr w:rsidR="000F6636" w:rsidRPr="003A4411" w14:paraId="0AF6D119" w14:textId="77777777" w:rsidTr="00484DB0">
        <w:trPr>
          <w:gridAfter w:val="1"/>
          <w:wAfter w:w="11" w:type="pct"/>
          <w:trHeight w:val="251"/>
        </w:trPr>
        <w:tc>
          <w:tcPr>
            <w:tcW w:w="2189" w:type="pct"/>
            <w:tcBorders>
              <w:top w:val="nil"/>
              <w:left w:val="nil"/>
            </w:tcBorders>
            <w:shd w:val="clear" w:color="auto" w:fill="auto"/>
            <w:vAlign w:val="center"/>
          </w:tcPr>
          <w:p w14:paraId="72D6A4DB" w14:textId="77777777" w:rsidR="000F6636" w:rsidRPr="00741F8C" w:rsidRDefault="000F6636" w:rsidP="00484DB0">
            <w:pPr>
              <w:ind w:left="356"/>
              <w:rPr>
                <w:sz w:val="18"/>
                <w:szCs w:val="18"/>
              </w:rPr>
            </w:pPr>
            <w:r w:rsidRPr="00741F8C">
              <w:rPr>
                <w:sz w:val="18"/>
                <w:szCs w:val="18"/>
              </w:rPr>
              <w:t>z toho: ŽSR + ŽSSK</w:t>
            </w:r>
          </w:p>
        </w:tc>
        <w:tc>
          <w:tcPr>
            <w:tcW w:w="400" w:type="pct"/>
            <w:tcBorders>
              <w:top w:val="nil"/>
            </w:tcBorders>
            <w:shd w:val="clear" w:color="auto" w:fill="auto"/>
            <w:vAlign w:val="center"/>
          </w:tcPr>
          <w:p w14:paraId="2F7F605E" w14:textId="77777777" w:rsidR="000F6636" w:rsidRPr="00741F8C" w:rsidRDefault="000F6636" w:rsidP="00484DB0">
            <w:pPr>
              <w:jc w:val="right"/>
              <w:rPr>
                <w:rFonts w:cs="Arial"/>
                <w:sz w:val="18"/>
                <w:szCs w:val="18"/>
              </w:rPr>
            </w:pPr>
            <w:r w:rsidRPr="00741F8C">
              <w:rPr>
                <w:rFonts w:cs="Arial"/>
                <w:sz w:val="18"/>
                <w:szCs w:val="18"/>
              </w:rPr>
              <w:t>-140</w:t>
            </w:r>
          </w:p>
        </w:tc>
        <w:tc>
          <w:tcPr>
            <w:tcW w:w="400" w:type="pct"/>
            <w:tcBorders>
              <w:top w:val="nil"/>
            </w:tcBorders>
            <w:shd w:val="clear" w:color="auto" w:fill="auto"/>
            <w:vAlign w:val="center"/>
          </w:tcPr>
          <w:p w14:paraId="44A0C4E6" w14:textId="77777777" w:rsidR="000F6636" w:rsidRPr="00741F8C" w:rsidRDefault="000F6636" w:rsidP="00484DB0">
            <w:pPr>
              <w:jc w:val="right"/>
              <w:rPr>
                <w:rFonts w:cs="Arial"/>
                <w:sz w:val="18"/>
                <w:szCs w:val="18"/>
              </w:rPr>
            </w:pPr>
            <w:r w:rsidRPr="00741F8C">
              <w:rPr>
                <w:rFonts w:cs="Arial"/>
                <w:sz w:val="18"/>
                <w:szCs w:val="18"/>
              </w:rPr>
              <w:t>-62</w:t>
            </w:r>
          </w:p>
        </w:tc>
        <w:tc>
          <w:tcPr>
            <w:tcW w:w="400" w:type="pct"/>
            <w:tcBorders>
              <w:top w:val="nil"/>
            </w:tcBorders>
            <w:shd w:val="clear" w:color="auto" w:fill="auto"/>
            <w:vAlign w:val="center"/>
          </w:tcPr>
          <w:p w14:paraId="66AE81B8" w14:textId="77777777" w:rsidR="000F6636" w:rsidRPr="00741F8C" w:rsidRDefault="000F6636" w:rsidP="00484DB0">
            <w:pPr>
              <w:jc w:val="right"/>
              <w:rPr>
                <w:rFonts w:cs="Arial"/>
                <w:sz w:val="18"/>
                <w:szCs w:val="18"/>
              </w:rPr>
            </w:pPr>
            <w:r w:rsidRPr="00741F8C">
              <w:rPr>
                <w:rFonts w:cs="Arial"/>
                <w:sz w:val="18"/>
                <w:szCs w:val="18"/>
              </w:rPr>
              <w:t>-9</w:t>
            </w:r>
          </w:p>
        </w:tc>
        <w:tc>
          <w:tcPr>
            <w:tcW w:w="400" w:type="pct"/>
            <w:tcBorders>
              <w:top w:val="nil"/>
            </w:tcBorders>
            <w:shd w:val="clear" w:color="auto" w:fill="auto"/>
            <w:vAlign w:val="center"/>
          </w:tcPr>
          <w:p w14:paraId="4FB36BB3" w14:textId="77777777" w:rsidR="000F6636" w:rsidRPr="00741F8C" w:rsidRDefault="000F6636" w:rsidP="00484DB0">
            <w:pPr>
              <w:jc w:val="right"/>
              <w:rPr>
                <w:rFonts w:cs="Arial"/>
                <w:sz w:val="18"/>
                <w:szCs w:val="18"/>
              </w:rPr>
            </w:pPr>
            <w:r w:rsidRPr="00741F8C">
              <w:rPr>
                <w:rFonts w:cs="Arial"/>
                <w:sz w:val="18"/>
                <w:szCs w:val="18"/>
              </w:rPr>
              <w:t>65</w:t>
            </w:r>
          </w:p>
        </w:tc>
        <w:tc>
          <w:tcPr>
            <w:tcW w:w="400" w:type="pct"/>
            <w:gridSpan w:val="2"/>
            <w:tcBorders>
              <w:top w:val="nil"/>
            </w:tcBorders>
            <w:shd w:val="clear" w:color="auto" w:fill="auto"/>
            <w:vAlign w:val="center"/>
          </w:tcPr>
          <w:p w14:paraId="31379589" w14:textId="77777777" w:rsidR="000F6636" w:rsidRPr="00741F8C" w:rsidRDefault="000F6636" w:rsidP="00484DB0">
            <w:pPr>
              <w:jc w:val="right"/>
              <w:rPr>
                <w:rFonts w:cs="Arial"/>
                <w:sz w:val="18"/>
                <w:szCs w:val="18"/>
              </w:rPr>
            </w:pPr>
            <w:r w:rsidRPr="00741F8C">
              <w:rPr>
                <w:rFonts w:cs="Arial"/>
                <w:sz w:val="18"/>
                <w:szCs w:val="18"/>
              </w:rPr>
              <w:t>67</w:t>
            </w:r>
          </w:p>
        </w:tc>
        <w:tc>
          <w:tcPr>
            <w:tcW w:w="400" w:type="pct"/>
            <w:tcBorders>
              <w:top w:val="nil"/>
            </w:tcBorders>
            <w:shd w:val="clear" w:color="auto" w:fill="auto"/>
            <w:vAlign w:val="center"/>
          </w:tcPr>
          <w:p w14:paraId="3C7064A3" w14:textId="77777777" w:rsidR="000F6636" w:rsidRPr="00741F8C" w:rsidRDefault="000F6636" w:rsidP="00484DB0">
            <w:pPr>
              <w:jc w:val="right"/>
              <w:rPr>
                <w:rFonts w:cs="Arial"/>
                <w:sz w:val="18"/>
                <w:szCs w:val="18"/>
              </w:rPr>
            </w:pPr>
            <w:r w:rsidRPr="00741F8C">
              <w:rPr>
                <w:rFonts w:cs="Arial"/>
                <w:sz w:val="18"/>
                <w:szCs w:val="18"/>
              </w:rPr>
              <w:t>100</w:t>
            </w:r>
          </w:p>
        </w:tc>
        <w:tc>
          <w:tcPr>
            <w:tcW w:w="400" w:type="pct"/>
            <w:gridSpan w:val="2"/>
            <w:tcBorders>
              <w:top w:val="nil"/>
            </w:tcBorders>
            <w:vAlign w:val="center"/>
          </w:tcPr>
          <w:p w14:paraId="3ED1A013" w14:textId="77777777" w:rsidR="000F6636" w:rsidRPr="00741F8C" w:rsidRDefault="000F6636" w:rsidP="00484DB0">
            <w:pPr>
              <w:jc w:val="right"/>
              <w:rPr>
                <w:rFonts w:cs="Arial"/>
                <w:sz w:val="18"/>
                <w:szCs w:val="18"/>
              </w:rPr>
            </w:pPr>
            <w:r w:rsidRPr="00741F8C">
              <w:rPr>
                <w:rFonts w:cs="Arial"/>
                <w:sz w:val="18"/>
                <w:szCs w:val="18"/>
              </w:rPr>
              <w:t>100</w:t>
            </w:r>
          </w:p>
        </w:tc>
      </w:tr>
      <w:tr w:rsidR="000F6636" w:rsidRPr="003A4411" w14:paraId="6B8A78FD" w14:textId="77777777" w:rsidTr="00484DB0">
        <w:trPr>
          <w:gridAfter w:val="1"/>
          <w:wAfter w:w="11" w:type="pct"/>
          <w:trHeight w:val="251"/>
        </w:trPr>
        <w:tc>
          <w:tcPr>
            <w:tcW w:w="2189" w:type="pct"/>
            <w:tcBorders>
              <w:top w:val="nil"/>
              <w:left w:val="nil"/>
            </w:tcBorders>
            <w:shd w:val="clear" w:color="auto" w:fill="auto"/>
            <w:vAlign w:val="center"/>
          </w:tcPr>
          <w:p w14:paraId="39C0578B" w14:textId="77777777" w:rsidR="000F6636" w:rsidRPr="00741F8C" w:rsidRDefault="000F6636" w:rsidP="00484DB0">
            <w:pPr>
              <w:ind w:left="356"/>
              <w:rPr>
                <w:sz w:val="18"/>
                <w:szCs w:val="18"/>
              </w:rPr>
            </w:pPr>
            <w:r w:rsidRPr="00741F8C">
              <w:rPr>
                <w:sz w:val="18"/>
                <w:szCs w:val="18"/>
              </w:rPr>
              <w:t>z toho: Dopravné podniky obcí</w:t>
            </w:r>
          </w:p>
        </w:tc>
        <w:tc>
          <w:tcPr>
            <w:tcW w:w="400" w:type="pct"/>
            <w:tcBorders>
              <w:top w:val="nil"/>
            </w:tcBorders>
            <w:shd w:val="clear" w:color="auto" w:fill="auto"/>
            <w:vAlign w:val="center"/>
          </w:tcPr>
          <w:p w14:paraId="22EB3076" w14:textId="77777777" w:rsidR="000F6636" w:rsidRPr="00741F8C" w:rsidRDefault="000F6636" w:rsidP="00484DB0">
            <w:pPr>
              <w:jc w:val="right"/>
              <w:rPr>
                <w:rFonts w:cs="Arial"/>
                <w:sz w:val="18"/>
                <w:szCs w:val="18"/>
              </w:rPr>
            </w:pPr>
            <w:r w:rsidRPr="00741F8C">
              <w:rPr>
                <w:rFonts w:cs="Arial"/>
                <w:sz w:val="18"/>
                <w:szCs w:val="18"/>
              </w:rPr>
              <w:t>-6</w:t>
            </w:r>
          </w:p>
        </w:tc>
        <w:tc>
          <w:tcPr>
            <w:tcW w:w="400" w:type="pct"/>
            <w:tcBorders>
              <w:top w:val="nil"/>
            </w:tcBorders>
            <w:shd w:val="clear" w:color="auto" w:fill="auto"/>
            <w:vAlign w:val="center"/>
          </w:tcPr>
          <w:p w14:paraId="33AEE4DA" w14:textId="77777777" w:rsidR="000F6636" w:rsidRPr="00741F8C" w:rsidRDefault="000F6636" w:rsidP="00484DB0">
            <w:pPr>
              <w:jc w:val="right"/>
              <w:rPr>
                <w:rFonts w:cs="Arial"/>
                <w:sz w:val="18"/>
                <w:szCs w:val="18"/>
              </w:rPr>
            </w:pPr>
            <w:r w:rsidRPr="00741F8C">
              <w:rPr>
                <w:rFonts w:cs="Arial"/>
                <w:sz w:val="18"/>
                <w:szCs w:val="18"/>
              </w:rPr>
              <w:t>41</w:t>
            </w:r>
          </w:p>
        </w:tc>
        <w:tc>
          <w:tcPr>
            <w:tcW w:w="400" w:type="pct"/>
            <w:tcBorders>
              <w:top w:val="nil"/>
            </w:tcBorders>
            <w:shd w:val="clear" w:color="auto" w:fill="auto"/>
            <w:vAlign w:val="center"/>
          </w:tcPr>
          <w:p w14:paraId="578E4BB2" w14:textId="77777777" w:rsidR="000F6636" w:rsidRPr="00741F8C" w:rsidRDefault="000F6636" w:rsidP="00484DB0">
            <w:pPr>
              <w:jc w:val="right"/>
              <w:rPr>
                <w:rFonts w:cs="Arial"/>
                <w:sz w:val="18"/>
                <w:szCs w:val="18"/>
              </w:rPr>
            </w:pPr>
            <w:r w:rsidRPr="00741F8C">
              <w:rPr>
                <w:rFonts w:cs="Arial"/>
                <w:sz w:val="18"/>
                <w:szCs w:val="18"/>
              </w:rPr>
              <w:t>-10</w:t>
            </w:r>
          </w:p>
        </w:tc>
        <w:tc>
          <w:tcPr>
            <w:tcW w:w="400" w:type="pct"/>
            <w:tcBorders>
              <w:top w:val="nil"/>
            </w:tcBorders>
            <w:shd w:val="clear" w:color="auto" w:fill="auto"/>
            <w:vAlign w:val="center"/>
          </w:tcPr>
          <w:p w14:paraId="08FAD6F7"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gridSpan w:val="2"/>
            <w:tcBorders>
              <w:top w:val="nil"/>
            </w:tcBorders>
            <w:shd w:val="clear" w:color="auto" w:fill="auto"/>
            <w:vAlign w:val="center"/>
          </w:tcPr>
          <w:p w14:paraId="1A157968" w14:textId="77777777" w:rsidR="000F6636" w:rsidRPr="00741F8C" w:rsidRDefault="000F6636" w:rsidP="00484DB0">
            <w:pPr>
              <w:jc w:val="right"/>
              <w:rPr>
                <w:rFonts w:cs="Arial"/>
                <w:sz w:val="18"/>
                <w:szCs w:val="18"/>
              </w:rPr>
            </w:pPr>
            <w:r w:rsidRPr="00741F8C">
              <w:rPr>
                <w:rFonts w:cs="Arial"/>
                <w:sz w:val="18"/>
                <w:szCs w:val="18"/>
              </w:rPr>
              <w:t>31</w:t>
            </w:r>
          </w:p>
        </w:tc>
        <w:tc>
          <w:tcPr>
            <w:tcW w:w="400" w:type="pct"/>
            <w:tcBorders>
              <w:top w:val="nil"/>
            </w:tcBorders>
            <w:shd w:val="clear" w:color="auto" w:fill="auto"/>
            <w:vAlign w:val="center"/>
          </w:tcPr>
          <w:p w14:paraId="44DF3CAF" w14:textId="77777777" w:rsidR="000F6636" w:rsidRPr="00741F8C" w:rsidRDefault="000F6636" w:rsidP="00484DB0">
            <w:pPr>
              <w:jc w:val="right"/>
              <w:rPr>
                <w:rFonts w:cs="Arial"/>
                <w:sz w:val="18"/>
                <w:szCs w:val="18"/>
              </w:rPr>
            </w:pPr>
            <w:r w:rsidRPr="00741F8C">
              <w:rPr>
                <w:rFonts w:cs="Arial"/>
                <w:sz w:val="18"/>
                <w:szCs w:val="18"/>
              </w:rPr>
              <w:t>35</w:t>
            </w:r>
          </w:p>
        </w:tc>
        <w:tc>
          <w:tcPr>
            <w:tcW w:w="400" w:type="pct"/>
            <w:gridSpan w:val="2"/>
            <w:tcBorders>
              <w:top w:val="nil"/>
            </w:tcBorders>
            <w:vAlign w:val="center"/>
          </w:tcPr>
          <w:p w14:paraId="4327DE5D" w14:textId="77777777" w:rsidR="000F6636" w:rsidRPr="00741F8C" w:rsidRDefault="000F6636" w:rsidP="00484DB0">
            <w:pPr>
              <w:jc w:val="right"/>
              <w:rPr>
                <w:rFonts w:cs="Arial"/>
                <w:sz w:val="18"/>
                <w:szCs w:val="18"/>
              </w:rPr>
            </w:pPr>
            <w:r w:rsidRPr="00741F8C">
              <w:rPr>
                <w:rFonts w:cs="Arial"/>
                <w:sz w:val="18"/>
                <w:szCs w:val="18"/>
              </w:rPr>
              <w:t>27</w:t>
            </w:r>
          </w:p>
        </w:tc>
      </w:tr>
      <w:tr w:rsidR="000F6636" w:rsidRPr="003A4411" w14:paraId="4286C40B" w14:textId="77777777" w:rsidTr="00484DB0">
        <w:trPr>
          <w:gridAfter w:val="1"/>
          <w:wAfter w:w="11" w:type="pct"/>
          <w:trHeight w:val="251"/>
        </w:trPr>
        <w:tc>
          <w:tcPr>
            <w:tcW w:w="2189" w:type="pct"/>
            <w:tcBorders>
              <w:top w:val="nil"/>
              <w:left w:val="nil"/>
            </w:tcBorders>
            <w:shd w:val="clear" w:color="auto" w:fill="auto"/>
            <w:vAlign w:val="center"/>
          </w:tcPr>
          <w:p w14:paraId="3A506EA2" w14:textId="77777777" w:rsidR="000F6636" w:rsidRPr="00741F8C" w:rsidRDefault="000F6636" w:rsidP="00484DB0">
            <w:pPr>
              <w:ind w:left="356"/>
              <w:rPr>
                <w:sz w:val="18"/>
                <w:szCs w:val="18"/>
              </w:rPr>
            </w:pPr>
            <w:r w:rsidRPr="00741F8C">
              <w:rPr>
                <w:sz w:val="18"/>
                <w:szCs w:val="18"/>
              </w:rPr>
              <w:t>z toho: Samospráva (obce a VÚC)</w:t>
            </w:r>
          </w:p>
        </w:tc>
        <w:tc>
          <w:tcPr>
            <w:tcW w:w="400" w:type="pct"/>
            <w:tcBorders>
              <w:top w:val="nil"/>
            </w:tcBorders>
            <w:shd w:val="clear" w:color="auto" w:fill="auto"/>
            <w:vAlign w:val="center"/>
          </w:tcPr>
          <w:p w14:paraId="3AB105E8" w14:textId="77777777" w:rsidR="000F6636" w:rsidRPr="00741F8C" w:rsidRDefault="000F6636" w:rsidP="00484DB0">
            <w:pPr>
              <w:jc w:val="right"/>
              <w:rPr>
                <w:rFonts w:cs="Arial"/>
                <w:sz w:val="18"/>
                <w:szCs w:val="18"/>
              </w:rPr>
            </w:pPr>
            <w:r w:rsidRPr="00741F8C">
              <w:rPr>
                <w:rFonts w:cs="Arial"/>
                <w:sz w:val="18"/>
                <w:szCs w:val="18"/>
              </w:rPr>
              <w:t>18</w:t>
            </w:r>
          </w:p>
        </w:tc>
        <w:tc>
          <w:tcPr>
            <w:tcW w:w="400" w:type="pct"/>
            <w:tcBorders>
              <w:top w:val="nil"/>
            </w:tcBorders>
            <w:shd w:val="clear" w:color="auto" w:fill="auto"/>
            <w:vAlign w:val="center"/>
          </w:tcPr>
          <w:p w14:paraId="343C72F1" w14:textId="77777777" w:rsidR="000F6636" w:rsidRPr="00741F8C" w:rsidRDefault="000F6636" w:rsidP="00484DB0">
            <w:pPr>
              <w:jc w:val="right"/>
              <w:rPr>
                <w:rFonts w:cs="Arial"/>
                <w:sz w:val="18"/>
                <w:szCs w:val="18"/>
              </w:rPr>
            </w:pPr>
            <w:r w:rsidRPr="00741F8C">
              <w:rPr>
                <w:rFonts w:cs="Arial"/>
                <w:sz w:val="18"/>
                <w:szCs w:val="18"/>
              </w:rPr>
              <w:t>149</w:t>
            </w:r>
          </w:p>
        </w:tc>
        <w:tc>
          <w:tcPr>
            <w:tcW w:w="400" w:type="pct"/>
            <w:tcBorders>
              <w:top w:val="nil"/>
            </w:tcBorders>
            <w:shd w:val="clear" w:color="auto" w:fill="auto"/>
            <w:vAlign w:val="center"/>
          </w:tcPr>
          <w:p w14:paraId="0E126357" w14:textId="77777777" w:rsidR="000F6636" w:rsidRPr="00741F8C" w:rsidRDefault="000F6636" w:rsidP="00484DB0">
            <w:pPr>
              <w:jc w:val="right"/>
              <w:rPr>
                <w:rFonts w:cs="Arial"/>
                <w:sz w:val="18"/>
                <w:szCs w:val="18"/>
              </w:rPr>
            </w:pPr>
            <w:r w:rsidRPr="00741F8C">
              <w:rPr>
                <w:rFonts w:cs="Arial"/>
                <w:sz w:val="18"/>
                <w:szCs w:val="18"/>
              </w:rPr>
              <w:t>252</w:t>
            </w:r>
          </w:p>
        </w:tc>
        <w:tc>
          <w:tcPr>
            <w:tcW w:w="400" w:type="pct"/>
            <w:tcBorders>
              <w:top w:val="nil"/>
            </w:tcBorders>
            <w:shd w:val="clear" w:color="auto" w:fill="auto"/>
            <w:vAlign w:val="center"/>
          </w:tcPr>
          <w:p w14:paraId="7279C7A2" w14:textId="77777777" w:rsidR="000F6636" w:rsidRPr="00741F8C" w:rsidRDefault="000F6636" w:rsidP="00484DB0">
            <w:pPr>
              <w:jc w:val="right"/>
              <w:rPr>
                <w:rFonts w:cs="Arial"/>
                <w:sz w:val="18"/>
                <w:szCs w:val="18"/>
              </w:rPr>
            </w:pPr>
            <w:r w:rsidRPr="00741F8C">
              <w:rPr>
                <w:rFonts w:cs="Arial"/>
                <w:sz w:val="18"/>
                <w:szCs w:val="18"/>
              </w:rPr>
              <w:t>12</w:t>
            </w:r>
          </w:p>
        </w:tc>
        <w:tc>
          <w:tcPr>
            <w:tcW w:w="400" w:type="pct"/>
            <w:gridSpan w:val="2"/>
            <w:tcBorders>
              <w:top w:val="nil"/>
            </w:tcBorders>
            <w:shd w:val="clear" w:color="auto" w:fill="auto"/>
            <w:vAlign w:val="center"/>
          </w:tcPr>
          <w:p w14:paraId="44EC998C" w14:textId="77777777" w:rsidR="000F6636" w:rsidRPr="00741F8C" w:rsidRDefault="000F6636" w:rsidP="00484DB0">
            <w:pPr>
              <w:jc w:val="right"/>
              <w:rPr>
                <w:rFonts w:cs="Arial"/>
                <w:sz w:val="18"/>
                <w:szCs w:val="18"/>
              </w:rPr>
            </w:pPr>
            <w:r w:rsidRPr="00741F8C">
              <w:rPr>
                <w:rFonts w:cs="Arial"/>
                <w:sz w:val="18"/>
                <w:szCs w:val="18"/>
              </w:rPr>
              <w:t>33</w:t>
            </w:r>
          </w:p>
        </w:tc>
        <w:tc>
          <w:tcPr>
            <w:tcW w:w="400" w:type="pct"/>
            <w:tcBorders>
              <w:top w:val="nil"/>
            </w:tcBorders>
            <w:shd w:val="clear" w:color="auto" w:fill="auto"/>
            <w:vAlign w:val="center"/>
          </w:tcPr>
          <w:p w14:paraId="43CB67E6" w14:textId="77777777" w:rsidR="000F6636" w:rsidRPr="00741F8C" w:rsidRDefault="000F6636" w:rsidP="00484DB0">
            <w:pPr>
              <w:jc w:val="right"/>
              <w:rPr>
                <w:rFonts w:cs="Arial"/>
                <w:sz w:val="18"/>
                <w:szCs w:val="18"/>
              </w:rPr>
            </w:pPr>
            <w:r w:rsidRPr="00741F8C">
              <w:rPr>
                <w:rFonts w:cs="Arial"/>
                <w:sz w:val="18"/>
                <w:szCs w:val="18"/>
              </w:rPr>
              <w:t>32</w:t>
            </w:r>
          </w:p>
        </w:tc>
        <w:tc>
          <w:tcPr>
            <w:tcW w:w="400" w:type="pct"/>
            <w:gridSpan w:val="2"/>
            <w:tcBorders>
              <w:top w:val="nil"/>
            </w:tcBorders>
            <w:vAlign w:val="center"/>
          </w:tcPr>
          <w:p w14:paraId="6D5DCCCD" w14:textId="77777777" w:rsidR="000F6636" w:rsidRPr="00741F8C" w:rsidRDefault="000F6636" w:rsidP="00484DB0">
            <w:pPr>
              <w:jc w:val="right"/>
              <w:rPr>
                <w:rFonts w:cs="Arial"/>
                <w:sz w:val="18"/>
                <w:szCs w:val="18"/>
              </w:rPr>
            </w:pPr>
            <w:r w:rsidRPr="00741F8C">
              <w:rPr>
                <w:rFonts w:cs="Arial"/>
                <w:sz w:val="18"/>
                <w:szCs w:val="18"/>
              </w:rPr>
              <w:t>32</w:t>
            </w:r>
          </w:p>
        </w:tc>
      </w:tr>
      <w:tr w:rsidR="000F6636" w:rsidRPr="003A4411" w14:paraId="6F6D2824" w14:textId="77777777" w:rsidTr="00484DB0">
        <w:trPr>
          <w:gridAfter w:val="1"/>
          <w:wAfter w:w="11" w:type="pct"/>
          <w:trHeight w:val="251"/>
        </w:trPr>
        <w:tc>
          <w:tcPr>
            <w:tcW w:w="2189" w:type="pct"/>
            <w:tcBorders>
              <w:top w:val="nil"/>
              <w:left w:val="nil"/>
            </w:tcBorders>
            <w:shd w:val="clear" w:color="auto" w:fill="auto"/>
            <w:vAlign w:val="center"/>
          </w:tcPr>
          <w:p w14:paraId="471B9F4E" w14:textId="77777777" w:rsidR="000F6636" w:rsidRPr="00741F8C" w:rsidRDefault="000F6636" w:rsidP="00484DB0">
            <w:pPr>
              <w:ind w:left="356"/>
              <w:rPr>
                <w:sz w:val="18"/>
                <w:szCs w:val="18"/>
              </w:rPr>
            </w:pPr>
            <w:r w:rsidRPr="00741F8C">
              <w:rPr>
                <w:sz w:val="18"/>
                <w:szCs w:val="18"/>
              </w:rPr>
              <w:t>z toho: Eximbanka</w:t>
            </w:r>
          </w:p>
        </w:tc>
        <w:tc>
          <w:tcPr>
            <w:tcW w:w="400" w:type="pct"/>
            <w:tcBorders>
              <w:top w:val="nil"/>
            </w:tcBorders>
            <w:shd w:val="clear" w:color="auto" w:fill="auto"/>
            <w:vAlign w:val="bottom"/>
          </w:tcPr>
          <w:p w14:paraId="09BB4DDA" w14:textId="77777777" w:rsidR="000F6636" w:rsidRPr="00741F8C" w:rsidRDefault="000F6636" w:rsidP="00484DB0">
            <w:pPr>
              <w:jc w:val="right"/>
              <w:rPr>
                <w:rFonts w:cs="Arial"/>
                <w:sz w:val="18"/>
                <w:szCs w:val="18"/>
              </w:rPr>
            </w:pPr>
            <w:r w:rsidRPr="00741F8C">
              <w:rPr>
                <w:rFonts w:cs="Arial"/>
                <w:sz w:val="18"/>
                <w:szCs w:val="18"/>
              </w:rPr>
              <w:t>-2</w:t>
            </w:r>
          </w:p>
        </w:tc>
        <w:tc>
          <w:tcPr>
            <w:tcW w:w="400" w:type="pct"/>
            <w:tcBorders>
              <w:top w:val="nil"/>
            </w:tcBorders>
            <w:shd w:val="clear" w:color="auto" w:fill="auto"/>
            <w:vAlign w:val="bottom"/>
          </w:tcPr>
          <w:p w14:paraId="71A667DA" w14:textId="77777777" w:rsidR="000F6636" w:rsidRPr="00741F8C" w:rsidRDefault="000F6636" w:rsidP="00484DB0">
            <w:pPr>
              <w:jc w:val="right"/>
              <w:rPr>
                <w:rFonts w:cs="Arial"/>
                <w:sz w:val="18"/>
                <w:szCs w:val="18"/>
              </w:rPr>
            </w:pPr>
            <w:r w:rsidRPr="00741F8C">
              <w:rPr>
                <w:rFonts w:cs="Arial"/>
                <w:sz w:val="18"/>
                <w:szCs w:val="18"/>
              </w:rPr>
              <w:t>14</w:t>
            </w:r>
          </w:p>
        </w:tc>
        <w:tc>
          <w:tcPr>
            <w:tcW w:w="400" w:type="pct"/>
            <w:tcBorders>
              <w:top w:val="nil"/>
            </w:tcBorders>
            <w:shd w:val="clear" w:color="auto" w:fill="auto"/>
            <w:vAlign w:val="bottom"/>
          </w:tcPr>
          <w:p w14:paraId="17EB173A" w14:textId="77777777" w:rsidR="000F6636" w:rsidRPr="00741F8C" w:rsidRDefault="000F6636" w:rsidP="00484DB0">
            <w:pPr>
              <w:jc w:val="right"/>
              <w:rPr>
                <w:rFonts w:cs="Arial"/>
                <w:sz w:val="18"/>
                <w:szCs w:val="18"/>
              </w:rPr>
            </w:pPr>
            <w:r w:rsidRPr="00741F8C">
              <w:rPr>
                <w:rFonts w:cs="Arial"/>
                <w:sz w:val="18"/>
                <w:szCs w:val="18"/>
              </w:rPr>
              <w:t>-1</w:t>
            </w:r>
          </w:p>
        </w:tc>
        <w:tc>
          <w:tcPr>
            <w:tcW w:w="400" w:type="pct"/>
            <w:tcBorders>
              <w:top w:val="nil"/>
            </w:tcBorders>
            <w:shd w:val="clear" w:color="auto" w:fill="auto"/>
            <w:vAlign w:val="bottom"/>
          </w:tcPr>
          <w:p w14:paraId="30E6B774" w14:textId="77777777" w:rsidR="000F6636" w:rsidRPr="00741F8C" w:rsidRDefault="000F6636" w:rsidP="00484DB0">
            <w:pPr>
              <w:jc w:val="right"/>
              <w:rPr>
                <w:rFonts w:cs="Arial"/>
                <w:sz w:val="18"/>
                <w:szCs w:val="18"/>
              </w:rPr>
            </w:pPr>
            <w:r w:rsidRPr="00741F8C">
              <w:rPr>
                <w:rFonts w:cs="Arial"/>
                <w:sz w:val="18"/>
                <w:szCs w:val="18"/>
              </w:rPr>
              <w:t>100</w:t>
            </w:r>
          </w:p>
        </w:tc>
        <w:tc>
          <w:tcPr>
            <w:tcW w:w="400" w:type="pct"/>
            <w:gridSpan w:val="2"/>
            <w:tcBorders>
              <w:top w:val="nil"/>
            </w:tcBorders>
            <w:shd w:val="clear" w:color="auto" w:fill="auto"/>
            <w:vAlign w:val="bottom"/>
          </w:tcPr>
          <w:p w14:paraId="1E18BD80" w14:textId="77777777" w:rsidR="000F6636" w:rsidRPr="00741F8C" w:rsidRDefault="000F6636" w:rsidP="00484DB0">
            <w:pPr>
              <w:jc w:val="right"/>
              <w:rPr>
                <w:rFonts w:cs="Arial"/>
                <w:sz w:val="18"/>
                <w:szCs w:val="18"/>
              </w:rPr>
            </w:pPr>
            <w:r w:rsidRPr="00741F8C">
              <w:rPr>
                <w:rFonts w:cs="Arial"/>
                <w:sz w:val="18"/>
                <w:szCs w:val="18"/>
              </w:rPr>
              <w:t>50</w:t>
            </w:r>
          </w:p>
        </w:tc>
        <w:tc>
          <w:tcPr>
            <w:tcW w:w="400" w:type="pct"/>
            <w:tcBorders>
              <w:top w:val="nil"/>
            </w:tcBorders>
            <w:shd w:val="clear" w:color="auto" w:fill="auto"/>
            <w:vAlign w:val="bottom"/>
          </w:tcPr>
          <w:p w14:paraId="362AA19B" w14:textId="77777777" w:rsidR="000F6636" w:rsidRPr="00741F8C" w:rsidRDefault="000F6636" w:rsidP="00484DB0">
            <w:pPr>
              <w:jc w:val="right"/>
              <w:rPr>
                <w:rFonts w:cs="Arial"/>
                <w:sz w:val="18"/>
                <w:szCs w:val="18"/>
              </w:rPr>
            </w:pPr>
            <w:r w:rsidRPr="00741F8C">
              <w:rPr>
                <w:rFonts w:cs="Arial"/>
                <w:sz w:val="18"/>
                <w:szCs w:val="18"/>
              </w:rPr>
              <w:t>50</w:t>
            </w:r>
          </w:p>
        </w:tc>
        <w:tc>
          <w:tcPr>
            <w:tcW w:w="400" w:type="pct"/>
            <w:gridSpan w:val="2"/>
            <w:tcBorders>
              <w:top w:val="nil"/>
            </w:tcBorders>
            <w:vAlign w:val="bottom"/>
          </w:tcPr>
          <w:p w14:paraId="1C868370" w14:textId="77777777" w:rsidR="000F6636" w:rsidRPr="00741F8C" w:rsidRDefault="000F6636" w:rsidP="00484DB0">
            <w:pPr>
              <w:jc w:val="right"/>
              <w:rPr>
                <w:rFonts w:cs="Arial"/>
                <w:sz w:val="18"/>
                <w:szCs w:val="18"/>
              </w:rPr>
            </w:pPr>
            <w:r w:rsidRPr="00741F8C">
              <w:rPr>
                <w:rFonts w:cs="Arial"/>
                <w:sz w:val="18"/>
                <w:szCs w:val="18"/>
              </w:rPr>
              <w:t>50</w:t>
            </w:r>
          </w:p>
        </w:tc>
      </w:tr>
      <w:tr w:rsidR="000F6636" w:rsidRPr="003A4411" w14:paraId="653DBA63" w14:textId="77777777" w:rsidTr="00484DB0">
        <w:trPr>
          <w:gridAfter w:val="1"/>
          <w:wAfter w:w="11" w:type="pct"/>
          <w:trHeight w:val="251"/>
        </w:trPr>
        <w:tc>
          <w:tcPr>
            <w:tcW w:w="2189" w:type="pct"/>
            <w:tcBorders>
              <w:top w:val="nil"/>
              <w:left w:val="nil"/>
            </w:tcBorders>
            <w:shd w:val="clear" w:color="auto" w:fill="auto"/>
            <w:vAlign w:val="center"/>
          </w:tcPr>
          <w:p w14:paraId="49A9DFB8" w14:textId="77777777" w:rsidR="000F6636" w:rsidRPr="00741F8C" w:rsidRDefault="000F6636" w:rsidP="00484DB0">
            <w:pPr>
              <w:rPr>
                <w:sz w:val="18"/>
                <w:szCs w:val="18"/>
              </w:rPr>
            </w:pPr>
            <w:r w:rsidRPr="00741F8C">
              <w:rPr>
                <w:sz w:val="18"/>
                <w:szCs w:val="18"/>
              </w:rPr>
              <w:t>- emisný diskont</w:t>
            </w:r>
          </w:p>
        </w:tc>
        <w:tc>
          <w:tcPr>
            <w:tcW w:w="400" w:type="pct"/>
            <w:tcBorders>
              <w:top w:val="nil"/>
            </w:tcBorders>
            <w:shd w:val="clear" w:color="auto" w:fill="auto"/>
            <w:vAlign w:val="center"/>
          </w:tcPr>
          <w:p w14:paraId="14F86C64" w14:textId="77777777" w:rsidR="000F6636" w:rsidRPr="00741F8C" w:rsidRDefault="000F6636" w:rsidP="00484DB0">
            <w:pPr>
              <w:jc w:val="right"/>
              <w:rPr>
                <w:rFonts w:cs="Arial"/>
                <w:sz w:val="18"/>
                <w:szCs w:val="18"/>
              </w:rPr>
            </w:pPr>
            <w:r w:rsidRPr="00741F8C">
              <w:rPr>
                <w:rFonts w:cs="Arial"/>
                <w:sz w:val="18"/>
                <w:szCs w:val="18"/>
              </w:rPr>
              <w:t>18</w:t>
            </w:r>
          </w:p>
        </w:tc>
        <w:tc>
          <w:tcPr>
            <w:tcW w:w="400" w:type="pct"/>
            <w:tcBorders>
              <w:top w:val="nil"/>
            </w:tcBorders>
            <w:shd w:val="clear" w:color="auto" w:fill="auto"/>
            <w:vAlign w:val="center"/>
          </w:tcPr>
          <w:p w14:paraId="1962E3F0" w14:textId="77777777" w:rsidR="000F6636" w:rsidRPr="00741F8C" w:rsidRDefault="000F6636" w:rsidP="00484DB0">
            <w:pPr>
              <w:jc w:val="right"/>
              <w:rPr>
                <w:rFonts w:cs="Arial"/>
                <w:sz w:val="18"/>
                <w:szCs w:val="18"/>
              </w:rPr>
            </w:pPr>
            <w:r w:rsidRPr="00741F8C">
              <w:rPr>
                <w:rFonts w:cs="Arial"/>
                <w:sz w:val="18"/>
                <w:szCs w:val="18"/>
              </w:rPr>
              <w:t>542</w:t>
            </w:r>
          </w:p>
        </w:tc>
        <w:tc>
          <w:tcPr>
            <w:tcW w:w="400" w:type="pct"/>
            <w:tcBorders>
              <w:top w:val="nil"/>
            </w:tcBorders>
            <w:shd w:val="clear" w:color="auto" w:fill="auto"/>
            <w:vAlign w:val="center"/>
          </w:tcPr>
          <w:p w14:paraId="01CF3D17" w14:textId="77777777" w:rsidR="000F6636" w:rsidRPr="00741F8C" w:rsidRDefault="000F6636" w:rsidP="00484DB0">
            <w:pPr>
              <w:jc w:val="right"/>
              <w:rPr>
                <w:rFonts w:cs="Arial"/>
                <w:sz w:val="18"/>
                <w:szCs w:val="18"/>
              </w:rPr>
            </w:pPr>
            <w:r w:rsidRPr="00741F8C">
              <w:rPr>
                <w:rFonts w:cs="Arial"/>
                <w:sz w:val="18"/>
                <w:szCs w:val="18"/>
              </w:rPr>
              <w:t>454</w:t>
            </w:r>
          </w:p>
        </w:tc>
        <w:tc>
          <w:tcPr>
            <w:tcW w:w="400" w:type="pct"/>
            <w:tcBorders>
              <w:top w:val="nil"/>
            </w:tcBorders>
            <w:shd w:val="clear" w:color="auto" w:fill="auto"/>
            <w:vAlign w:val="center"/>
          </w:tcPr>
          <w:p w14:paraId="0667591A" w14:textId="77777777" w:rsidR="000F6636" w:rsidRPr="00741F8C" w:rsidRDefault="000F6636" w:rsidP="00484DB0">
            <w:pPr>
              <w:jc w:val="right"/>
              <w:rPr>
                <w:rFonts w:cs="Arial"/>
                <w:sz w:val="18"/>
                <w:szCs w:val="18"/>
              </w:rPr>
            </w:pPr>
            <w:r w:rsidRPr="00741F8C">
              <w:rPr>
                <w:rFonts w:cs="Arial"/>
                <w:sz w:val="18"/>
                <w:szCs w:val="18"/>
              </w:rPr>
              <w:t>742</w:t>
            </w:r>
          </w:p>
        </w:tc>
        <w:tc>
          <w:tcPr>
            <w:tcW w:w="400" w:type="pct"/>
            <w:gridSpan w:val="2"/>
            <w:tcBorders>
              <w:top w:val="nil"/>
            </w:tcBorders>
            <w:shd w:val="clear" w:color="auto" w:fill="auto"/>
            <w:vAlign w:val="center"/>
          </w:tcPr>
          <w:p w14:paraId="45D1E156" w14:textId="77777777" w:rsidR="000F6636" w:rsidRPr="00741F8C" w:rsidRDefault="000F6636" w:rsidP="00484DB0">
            <w:pPr>
              <w:jc w:val="right"/>
              <w:rPr>
                <w:rFonts w:cs="Arial"/>
                <w:sz w:val="18"/>
                <w:szCs w:val="18"/>
              </w:rPr>
            </w:pPr>
            <w:r w:rsidRPr="00741F8C">
              <w:rPr>
                <w:rFonts w:cs="Arial"/>
                <w:sz w:val="18"/>
                <w:szCs w:val="18"/>
              </w:rPr>
              <w:t>689</w:t>
            </w:r>
          </w:p>
        </w:tc>
        <w:tc>
          <w:tcPr>
            <w:tcW w:w="400" w:type="pct"/>
            <w:tcBorders>
              <w:top w:val="nil"/>
            </w:tcBorders>
            <w:shd w:val="clear" w:color="auto" w:fill="auto"/>
            <w:vAlign w:val="center"/>
          </w:tcPr>
          <w:p w14:paraId="1FBE7521" w14:textId="77777777" w:rsidR="000F6636" w:rsidRPr="00741F8C" w:rsidRDefault="000F6636" w:rsidP="00484DB0">
            <w:pPr>
              <w:jc w:val="right"/>
              <w:rPr>
                <w:rFonts w:cs="Arial"/>
                <w:sz w:val="18"/>
                <w:szCs w:val="18"/>
              </w:rPr>
            </w:pPr>
            <w:r w:rsidRPr="00741F8C">
              <w:rPr>
                <w:rFonts w:cs="Arial"/>
                <w:sz w:val="18"/>
                <w:szCs w:val="18"/>
              </w:rPr>
              <w:t>272</w:t>
            </w:r>
          </w:p>
        </w:tc>
        <w:tc>
          <w:tcPr>
            <w:tcW w:w="400" w:type="pct"/>
            <w:gridSpan w:val="2"/>
            <w:tcBorders>
              <w:top w:val="nil"/>
            </w:tcBorders>
            <w:vAlign w:val="center"/>
          </w:tcPr>
          <w:p w14:paraId="68A035D2" w14:textId="77777777" w:rsidR="000F6636" w:rsidRPr="00741F8C" w:rsidRDefault="000F6636" w:rsidP="00484DB0">
            <w:pPr>
              <w:jc w:val="right"/>
              <w:rPr>
                <w:rFonts w:cs="Arial"/>
                <w:sz w:val="18"/>
                <w:szCs w:val="18"/>
              </w:rPr>
            </w:pPr>
            <w:r w:rsidRPr="00741F8C">
              <w:rPr>
                <w:rFonts w:cs="Arial"/>
                <w:sz w:val="18"/>
                <w:szCs w:val="18"/>
              </w:rPr>
              <w:t>460</w:t>
            </w:r>
          </w:p>
        </w:tc>
      </w:tr>
      <w:tr w:rsidR="000F6636" w:rsidRPr="003A4411" w14:paraId="1D3D2447" w14:textId="77777777" w:rsidTr="00484DB0">
        <w:trPr>
          <w:gridAfter w:val="1"/>
          <w:wAfter w:w="11" w:type="pct"/>
          <w:trHeight w:val="251"/>
        </w:trPr>
        <w:tc>
          <w:tcPr>
            <w:tcW w:w="2189" w:type="pct"/>
            <w:tcBorders>
              <w:top w:val="nil"/>
              <w:left w:val="nil"/>
            </w:tcBorders>
            <w:shd w:val="clear" w:color="auto" w:fill="auto"/>
            <w:vAlign w:val="center"/>
          </w:tcPr>
          <w:p w14:paraId="0C2466E6" w14:textId="77777777" w:rsidR="000F6636" w:rsidRPr="00741F8C" w:rsidRDefault="000F6636" w:rsidP="00484DB0">
            <w:pPr>
              <w:rPr>
                <w:sz w:val="18"/>
                <w:szCs w:val="18"/>
              </w:rPr>
            </w:pPr>
            <w:r w:rsidRPr="00741F8C">
              <w:rPr>
                <w:sz w:val="18"/>
                <w:szCs w:val="18"/>
              </w:rPr>
              <w:t>- diskont pri splatnosti</w:t>
            </w:r>
          </w:p>
        </w:tc>
        <w:tc>
          <w:tcPr>
            <w:tcW w:w="400" w:type="pct"/>
            <w:tcBorders>
              <w:top w:val="nil"/>
            </w:tcBorders>
            <w:shd w:val="clear" w:color="auto" w:fill="auto"/>
            <w:vAlign w:val="center"/>
          </w:tcPr>
          <w:p w14:paraId="6B8C2D7D" w14:textId="77777777" w:rsidR="000F6636" w:rsidRPr="00741F8C" w:rsidRDefault="000F6636" w:rsidP="00484DB0">
            <w:pPr>
              <w:jc w:val="right"/>
              <w:rPr>
                <w:rFonts w:cs="Arial"/>
                <w:sz w:val="18"/>
                <w:szCs w:val="18"/>
              </w:rPr>
            </w:pPr>
            <w:r w:rsidRPr="00741F8C">
              <w:rPr>
                <w:rFonts w:cs="Arial"/>
                <w:sz w:val="18"/>
                <w:szCs w:val="18"/>
              </w:rPr>
              <w:t>-2</w:t>
            </w:r>
          </w:p>
        </w:tc>
        <w:tc>
          <w:tcPr>
            <w:tcW w:w="400" w:type="pct"/>
            <w:tcBorders>
              <w:top w:val="nil"/>
            </w:tcBorders>
            <w:shd w:val="clear" w:color="auto" w:fill="auto"/>
            <w:vAlign w:val="center"/>
          </w:tcPr>
          <w:p w14:paraId="7BBA0D7E" w14:textId="77777777" w:rsidR="000F6636" w:rsidRPr="00741F8C" w:rsidRDefault="000F6636" w:rsidP="00484DB0">
            <w:pPr>
              <w:jc w:val="right"/>
              <w:rPr>
                <w:rFonts w:cs="Arial"/>
                <w:sz w:val="18"/>
                <w:szCs w:val="18"/>
              </w:rPr>
            </w:pPr>
            <w:r w:rsidRPr="00741F8C">
              <w:rPr>
                <w:rFonts w:cs="Arial"/>
                <w:sz w:val="18"/>
                <w:szCs w:val="18"/>
              </w:rPr>
              <w:t>-11</w:t>
            </w:r>
          </w:p>
        </w:tc>
        <w:tc>
          <w:tcPr>
            <w:tcW w:w="400" w:type="pct"/>
            <w:tcBorders>
              <w:top w:val="nil"/>
            </w:tcBorders>
            <w:shd w:val="clear" w:color="auto" w:fill="auto"/>
            <w:vAlign w:val="center"/>
          </w:tcPr>
          <w:p w14:paraId="2BA488FF" w14:textId="77777777" w:rsidR="000F6636" w:rsidRPr="00741F8C" w:rsidRDefault="000F6636" w:rsidP="00484DB0">
            <w:pPr>
              <w:jc w:val="right"/>
              <w:rPr>
                <w:rFonts w:cs="Arial"/>
                <w:sz w:val="18"/>
                <w:szCs w:val="18"/>
              </w:rPr>
            </w:pPr>
            <w:r w:rsidRPr="00741F8C">
              <w:rPr>
                <w:rFonts w:cs="Arial"/>
                <w:sz w:val="18"/>
                <w:szCs w:val="18"/>
              </w:rPr>
              <w:t>0</w:t>
            </w:r>
          </w:p>
        </w:tc>
        <w:tc>
          <w:tcPr>
            <w:tcW w:w="400" w:type="pct"/>
            <w:tcBorders>
              <w:top w:val="nil"/>
            </w:tcBorders>
            <w:shd w:val="clear" w:color="auto" w:fill="auto"/>
            <w:vAlign w:val="center"/>
          </w:tcPr>
          <w:p w14:paraId="6228599B" w14:textId="77777777" w:rsidR="000F6636" w:rsidRPr="00741F8C" w:rsidRDefault="000F6636" w:rsidP="00484DB0">
            <w:pPr>
              <w:jc w:val="right"/>
              <w:rPr>
                <w:rFonts w:cs="Arial"/>
                <w:sz w:val="18"/>
                <w:szCs w:val="18"/>
              </w:rPr>
            </w:pPr>
            <w:r w:rsidRPr="00741F8C">
              <w:rPr>
                <w:rFonts w:cs="Arial"/>
                <w:sz w:val="18"/>
                <w:szCs w:val="18"/>
              </w:rPr>
              <w:t>-15</w:t>
            </w:r>
          </w:p>
        </w:tc>
        <w:tc>
          <w:tcPr>
            <w:tcW w:w="400" w:type="pct"/>
            <w:gridSpan w:val="2"/>
            <w:tcBorders>
              <w:top w:val="nil"/>
            </w:tcBorders>
            <w:shd w:val="clear" w:color="auto" w:fill="auto"/>
            <w:vAlign w:val="center"/>
          </w:tcPr>
          <w:p w14:paraId="41026746" w14:textId="77777777" w:rsidR="000F6636" w:rsidRPr="00741F8C" w:rsidRDefault="000F6636" w:rsidP="00484DB0">
            <w:pPr>
              <w:jc w:val="right"/>
              <w:rPr>
                <w:rFonts w:cs="Arial"/>
                <w:sz w:val="18"/>
                <w:szCs w:val="18"/>
              </w:rPr>
            </w:pPr>
            <w:r w:rsidRPr="00741F8C">
              <w:rPr>
                <w:rFonts w:cs="Arial"/>
                <w:sz w:val="18"/>
                <w:szCs w:val="18"/>
              </w:rPr>
              <w:t>-53</w:t>
            </w:r>
          </w:p>
        </w:tc>
        <w:tc>
          <w:tcPr>
            <w:tcW w:w="400" w:type="pct"/>
            <w:tcBorders>
              <w:top w:val="nil"/>
            </w:tcBorders>
            <w:shd w:val="clear" w:color="auto" w:fill="auto"/>
            <w:vAlign w:val="center"/>
          </w:tcPr>
          <w:p w14:paraId="1440CBB6" w14:textId="77777777" w:rsidR="000F6636" w:rsidRPr="00741F8C" w:rsidRDefault="000F6636" w:rsidP="00484DB0">
            <w:pPr>
              <w:jc w:val="right"/>
              <w:rPr>
                <w:rFonts w:cs="Arial"/>
                <w:sz w:val="18"/>
                <w:szCs w:val="18"/>
              </w:rPr>
            </w:pPr>
            <w:r w:rsidRPr="00741F8C">
              <w:rPr>
                <w:rFonts w:cs="Arial"/>
                <w:sz w:val="18"/>
                <w:szCs w:val="18"/>
              </w:rPr>
              <w:t>-39</w:t>
            </w:r>
          </w:p>
        </w:tc>
        <w:tc>
          <w:tcPr>
            <w:tcW w:w="400" w:type="pct"/>
            <w:gridSpan w:val="2"/>
            <w:tcBorders>
              <w:top w:val="nil"/>
            </w:tcBorders>
            <w:vAlign w:val="center"/>
          </w:tcPr>
          <w:p w14:paraId="14D3D272" w14:textId="77777777" w:rsidR="000F6636" w:rsidRPr="00741F8C" w:rsidRDefault="000F6636" w:rsidP="00484DB0">
            <w:pPr>
              <w:jc w:val="right"/>
              <w:rPr>
                <w:rFonts w:cs="Arial"/>
                <w:sz w:val="18"/>
                <w:szCs w:val="18"/>
              </w:rPr>
            </w:pPr>
            <w:r w:rsidRPr="00741F8C">
              <w:rPr>
                <w:rFonts w:cs="Arial"/>
                <w:sz w:val="18"/>
                <w:szCs w:val="18"/>
              </w:rPr>
              <w:t>-183</w:t>
            </w:r>
          </w:p>
        </w:tc>
      </w:tr>
      <w:tr w:rsidR="000F6636" w:rsidRPr="003A4411" w14:paraId="76253C4C" w14:textId="77777777" w:rsidTr="00484DB0">
        <w:trPr>
          <w:gridAfter w:val="1"/>
          <w:wAfter w:w="11" w:type="pct"/>
          <w:trHeight w:val="251"/>
        </w:trPr>
        <w:tc>
          <w:tcPr>
            <w:tcW w:w="2189" w:type="pct"/>
            <w:tcBorders>
              <w:top w:val="nil"/>
              <w:left w:val="nil"/>
              <w:bottom w:val="single" w:sz="4" w:space="0" w:color="auto"/>
            </w:tcBorders>
            <w:shd w:val="clear" w:color="auto" w:fill="auto"/>
            <w:vAlign w:val="center"/>
          </w:tcPr>
          <w:p w14:paraId="4DA5687F" w14:textId="77777777" w:rsidR="000F6636" w:rsidRPr="00741F8C" w:rsidRDefault="000F6636" w:rsidP="00484DB0">
            <w:pPr>
              <w:rPr>
                <w:sz w:val="18"/>
                <w:szCs w:val="18"/>
              </w:rPr>
            </w:pPr>
            <w:r w:rsidRPr="00741F8C">
              <w:rPr>
                <w:sz w:val="18"/>
                <w:szCs w:val="18"/>
              </w:rPr>
              <w:t>- ostatné</w:t>
            </w:r>
          </w:p>
        </w:tc>
        <w:tc>
          <w:tcPr>
            <w:tcW w:w="400" w:type="pct"/>
            <w:tcBorders>
              <w:top w:val="nil"/>
              <w:bottom w:val="single" w:sz="4" w:space="0" w:color="auto"/>
            </w:tcBorders>
            <w:shd w:val="clear" w:color="auto" w:fill="auto"/>
            <w:vAlign w:val="center"/>
          </w:tcPr>
          <w:p w14:paraId="5DA6AC86" w14:textId="77777777" w:rsidR="000F6636" w:rsidRPr="00741F8C" w:rsidRDefault="000F6636" w:rsidP="00484DB0">
            <w:pPr>
              <w:jc w:val="right"/>
              <w:rPr>
                <w:rFonts w:cs="Arial"/>
                <w:sz w:val="18"/>
                <w:szCs w:val="18"/>
              </w:rPr>
            </w:pPr>
            <w:r w:rsidRPr="00741F8C">
              <w:rPr>
                <w:rFonts w:cs="Arial"/>
                <w:sz w:val="18"/>
                <w:szCs w:val="18"/>
              </w:rPr>
              <w:t>1 732*</w:t>
            </w:r>
          </w:p>
        </w:tc>
        <w:tc>
          <w:tcPr>
            <w:tcW w:w="400" w:type="pct"/>
            <w:tcBorders>
              <w:top w:val="nil"/>
              <w:bottom w:val="single" w:sz="4" w:space="0" w:color="auto"/>
            </w:tcBorders>
            <w:shd w:val="clear" w:color="auto" w:fill="auto"/>
            <w:vAlign w:val="center"/>
          </w:tcPr>
          <w:p w14:paraId="5E356918" w14:textId="77777777" w:rsidR="000F6636" w:rsidRPr="00741F8C" w:rsidRDefault="000F6636" w:rsidP="00484DB0">
            <w:pPr>
              <w:jc w:val="right"/>
              <w:rPr>
                <w:rFonts w:cs="Arial"/>
                <w:sz w:val="18"/>
                <w:szCs w:val="18"/>
              </w:rPr>
            </w:pPr>
            <w:r w:rsidRPr="00741F8C">
              <w:rPr>
                <w:rFonts w:cs="Arial"/>
                <w:sz w:val="18"/>
                <w:szCs w:val="18"/>
              </w:rPr>
              <w:t>-1 881*</w:t>
            </w:r>
          </w:p>
        </w:tc>
        <w:tc>
          <w:tcPr>
            <w:tcW w:w="400" w:type="pct"/>
            <w:tcBorders>
              <w:top w:val="nil"/>
              <w:bottom w:val="single" w:sz="4" w:space="0" w:color="auto"/>
            </w:tcBorders>
            <w:shd w:val="clear" w:color="auto" w:fill="auto"/>
            <w:vAlign w:val="center"/>
          </w:tcPr>
          <w:p w14:paraId="420DA472" w14:textId="77777777" w:rsidR="000F6636" w:rsidRPr="00741F8C" w:rsidRDefault="000F6636" w:rsidP="00484DB0">
            <w:pPr>
              <w:jc w:val="right"/>
              <w:rPr>
                <w:rFonts w:cs="Arial"/>
                <w:sz w:val="18"/>
                <w:szCs w:val="18"/>
              </w:rPr>
            </w:pPr>
            <w:r w:rsidRPr="00741F8C">
              <w:rPr>
                <w:rFonts w:cs="Arial"/>
                <w:sz w:val="18"/>
                <w:szCs w:val="18"/>
              </w:rPr>
              <w:t>-292</w:t>
            </w:r>
          </w:p>
        </w:tc>
        <w:tc>
          <w:tcPr>
            <w:tcW w:w="400" w:type="pct"/>
            <w:tcBorders>
              <w:top w:val="nil"/>
              <w:bottom w:val="single" w:sz="4" w:space="0" w:color="auto"/>
            </w:tcBorders>
            <w:shd w:val="clear" w:color="auto" w:fill="auto"/>
            <w:vAlign w:val="center"/>
          </w:tcPr>
          <w:p w14:paraId="206A8461" w14:textId="77777777" w:rsidR="000F6636" w:rsidRPr="00741F8C" w:rsidRDefault="000F6636" w:rsidP="00484DB0">
            <w:pPr>
              <w:jc w:val="right"/>
              <w:rPr>
                <w:rFonts w:cs="Arial"/>
                <w:sz w:val="18"/>
                <w:szCs w:val="18"/>
              </w:rPr>
            </w:pPr>
            <w:r w:rsidRPr="00741F8C">
              <w:rPr>
                <w:rFonts w:cs="Arial"/>
                <w:sz w:val="18"/>
                <w:szCs w:val="18"/>
              </w:rPr>
              <w:t>-1</w:t>
            </w:r>
          </w:p>
        </w:tc>
        <w:tc>
          <w:tcPr>
            <w:tcW w:w="400" w:type="pct"/>
            <w:gridSpan w:val="2"/>
            <w:tcBorders>
              <w:top w:val="nil"/>
              <w:bottom w:val="single" w:sz="4" w:space="0" w:color="auto"/>
            </w:tcBorders>
            <w:shd w:val="clear" w:color="auto" w:fill="auto"/>
            <w:vAlign w:val="center"/>
          </w:tcPr>
          <w:p w14:paraId="31654459" w14:textId="77777777" w:rsidR="000F6636" w:rsidRPr="00741F8C" w:rsidRDefault="000F6636" w:rsidP="00484DB0">
            <w:pPr>
              <w:jc w:val="right"/>
              <w:rPr>
                <w:rFonts w:cs="Arial"/>
                <w:sz w:val="18"/>
                <w:szCs w:val="18"/>
              </w:rPr>
            </w:pPr>
            <w:r w:rsidRPr="00741F8C">
              <w:rPr>
                <w:rFonts w:cs="Arial"/>
                <w:sz w:val="18"/>
                <w:szCs w:val="18"/>
              </w:rPr>
              <w:t>0</w:t>
            </w:r>
          </w:p>
        </w:tc>
        <w:tc>
          <w:tcPr>
            <w:tcW w:w="400" w:type="pct"/>
            <w:tcBorders>
              <w:top w:val="nil"/>
              <w:bottom w:val="single" w:sz="4" w:space="0" w:color="auto"/>
            </w:tcBorders>
            <w:shd w:val="clear" w:color="auto" w:fill="auto"/>
            <w:vAlign w:val="center"/>
          </w:tcPr>
          <w:p w14:paraId="14FBCC46" w14:textId="77777777" w:rsidR="000F6636" w:rsidRPr="00741F8C" w:rsidRDefault="000F6636" w:rsidP="00484DB0">
            <w:pPr>
              <w:jc w:val="right"/>
              <w:rPr>
                <w:rFonts w:cs="Arial"/>
                <w:sz w:val="18"/>
                <w:szCs w:val="18"/>
              </w:rPr>
            </w:pPr>
            <w:r w:rsidRPr="00741F8C">
              <w:rPr>
                <w:rFonts w:cs="Arial"/>
                <w:sz w:val="18"/>
                <w:szCs w:val="18"/>
              </w:rPr>
              <w:t>0</w:t>
            </w:r>
          </w:p>
        </w:tc>
        <w:tc>
          <w:tcPr>
            <w:tcW w:w="400" w:type="pct"/>
            <w:gridSpan w:val="2"/>
            <w:tcBorders>
              <w:top w:val="nil"/>
              <w:bottom w:val="single" w:sz="4" w:space="0" w:color="auto"/>
            </w:tcBorders>
            <w:vAlign w:val="center"/>
          </w:tcPr>
          <w:p w14:paraId="1AD846EA" w14:textId="77777777" w:rsidR="000F6636" w:rsidRPr="00741F8C" w:rsidRDefault="000F6636" w:rsidP="00484DB0">
            <w:pPr>
              <w:jc w:val="right"/>
              <w:rPr>
                <w:rFonts w:cs="Arial"/>
                <w:sz w:val="18"/>
                <w:szCs w:val="18"/>
              </w:rPr>
            </w:pPr>
            <w:r w:rsidRPr="00741F8C">
              <w:rPr>
                <w:rFonts w:cs="Arial"/>
                <w:sz w:val="18"/>
                <w:szCs w:val="18"/>
              </w:rPr>
              <w:t>0</w:t>
            </w:r>
          </w:p>
        </w:tc>
      </w:tr>
      <w:tr w:rsidR="000F6636" w:rsidRPr="003A4411" w14:paraId="2B683430" w14:textId="77777777" w:rsidTr="00484DB0">
        <w:trPr>
          <w:gridAfter w:val="1"/>
          <w:wAfter w:w="11" w:type="pct"/>
          <w:trHeight w:val="251"/>
        </w:trPr>
        <w:tc>
          <w:tcPr>
            <w:tcW w:w="2189" w:type="pct"/>
            <w:tcBorders>
              <w:top w:val="single" w:sz="4" w:space="0" w:color="auto"/>
              <w:left w:val="nil"/>
            </w:tcBorders>
            <w:shd w:val="clear" w:color="auto" w:fill="auto"/>
            <w:vAlign w:val="center"/>
          </w:tcPr>
          <w:p w14:paraId="0D871FC8" w14:textId="77777777" w:rsidR="000F6636" w:rsidRPr="00741F8C" w:rsidRDefault="000F6636" w:rsidP="00484DB0">
            <w:pPr>
              <w:rPr>
                <w:b/>
                <w:sz w:val="18"/>
                <w:szCs w:val="18"/>
              </w:rPr>
            </w:pPr>
            <w:r w:rsidRPr="00741F8C">
              <w:rPr>
                <w:b/>
                <w:sz w:val="18"/>
                <w:szCs w:val="18"/>
              </w:rPr>
              <w:t>C. Hrubý dlh verejnej správy (k 31.12.)</w:t>
            </w:r>
          </w:p>
        </w:tc>
        <w:tc>
          <w:tcPr>
            <w:tcW w:w="400" w:type="pct"/>
            <w:tcBorders>
              <w:top w:val="single" w:sz="4" w:space="0" w:color="auto"/>
            </w:tcBorders>
            <w:shd w:val="clear" w:color="auto" w:fill="auto"/>
            <w:vAlign w:val="center"/>
          </w:tcPr>
          <w:p w14:paraId="13DAEBFD" w14:textId="77777777" w:rsidR="000F6636" w:rsidRPr="00741F8C" w:rsidRDefault="000F6636" w:rsidP="00484DB0">
            <w:pPr>
              <w:jc w:val="right"/>
              <w:rPr>
                <w:rFonts w:cs="Arial"/>
                <w:b/>
                <w:bCs/>
                <w:sz w:val="18"/>
                <w:szCs w:val="18"/>
              </w:rPr>
            </w:pPr>
            <w:r w:rsidRPr="00741F8C">
              <w:rPr>
                <w:rFonts w:cs="Arial"/>
                <w:b/>
                <w:bCs/>
                <w:sz w:val="18"/>
                <w:szCs w:val="18"/>
              </w:rPr>
              <w:t>61 238</w:t>
            </w:r>
          </w:p>
        </w:tc>
        <w:tc>
          <w:tcPr>
            <w:tcW w:w="400" w:type="pct"/>
            <w:tcBorders>
              <w:top w:val="single" w:sz="4" w:space="0" w:color="auto"/>
            </w:tcBorders>
            <w:shd w:val="clear" w:color="auto" w:fill="auto"/>
            <w:vAlign w:val="center"/>
          </w:tcPr>
          <w:p w14:paraId="509C0274" w14:textId="77777777" w:rsidR="000F6636" w:rsidRPr="00741F8C" w:rsidRDefault="000F6636" w:rsidP="00484DB0">
            <w:pPr>
              <w:jc w:val="right"/>
              <w:rPr>
                <w:rFonts w:cs="Arial"/>
                <w:b/>
                <w:bCs/>
                <w:sz w:val="18"/>
                <w:szCs w:val="18"/>
              </w:rPr>
            </w:pPr>
            <w:r w:rsidRPr="00741F8C">
              <w:rPr>
                <w:rFonts w:cs="Arial"/>
                <w:b/>
                <w:bCs/>
                <w:sz w:val="18"/>
                <w:szCs w:val="18"/>
              </w:rPr>
              <w:t>63 378</w:t>
            </w:r>
          </w:p>
        </w:tc>
        <w:tc>
          <w:tcPr>
            <w:tcW w:w="400" w:type="pct"/>
            <w:tcBorders>
              <w:top w:val="single" w:sz="4" w:space="0" w:color="auto"/>
            </w:tcBorders>
            <w:shd w:val="clear" w:color="auto" w:fill="auto"/>
            <w:vAlign w:val="center"/>
          </w:tcPr>
          <w:p w14:paraId="0C17092A" w14:textId="77777777" w:rsidR="000F6636" w:rsidRPr="00741F8C" w:rsidRDefault="000F6636" w:rsidP="00484DB0">
            <w:pPr>
              <w:jc w:val="right"/>
              <w:rPr>
                <w:rFonts w:cs="Arial"/>
                <w:b/>
                <w:bCs/>
                <w:sz w:val="18"/>
                <w:szCs w:val="18"/>
              </w:rPr>
            </w:pPr>
            <w:r w:rsidRPr="00741F8C">
              <w:rPr>
                <w:rFonts w:cs="Arial"/>
                <w:b/>
                <w:bCs/>
                <w:sz w:val="18"/>
                <w:szCs w:val="18"/>
              </w:rPr>
              <w:t>68 830</w:t>
            </w:r>
          </w:p>
        </w:tc>
        <w:tc>
          <w:tcPr>
            <w:tcW w:w="400" w:type="pct"/>
            <w:tcBorders>
              <w:top w:val="single" w:sz="4" w:space="0" w:color="auto"/>
            </w:tcBorders>
            <w:shd w:val="clear" w:color="auto" w:fill="auto"/>
            <w:vAlign w:val="center"/>
          </w:tcPr>
          <w:p w14:paraId="6AC74EBF" w14:textId="77777777" w:rsidR="000F6636" w:rsidRPr="00741F8C" w:rsidRDefault="000F6636" w:rsidP="00484DB0">
            <w:pPr>
              <w:jc w:val="right"/>
              <w:rPr>
                <w:rFonts w:cs="Arial"/>
                <w:b/>
                <w:bCs/>
                <w:sz w:val="18"/>
                <w:szCs w:val="18"/>
              </w:rPr>
            </w:pPr>
            <w:r w:rsidRPr="00741F8C">
              <w:rPr>
                <w:rFonts w:cs="Arial"/>
                <w:b/>
                <w:bCs/>
                <w:sz w:val="18"/>
                <w:szCs w:val="18"/>
              </w:rPr>
              <w:t>76 838</w:t>
            </w:r>
          </w:p>
        </w:tc>
        <w:tc>
          <w:tcPr>
            <w:tcW w:w="400" w:type="pct"/>
            <w:gridSpan w:val="2"/>
            <w:tcBorders>
              <w:top w:val="single" w:sz="4" w:space="0" w:color="auto"/>
            </w:tcBorders>
            <w:shd w:val="clear" w:color="auto" w:fill="auto"/>
            <w:vAlign w:val="center"/>
          </w:tcPr>
          <w:p w14:paraId="7B24E1F4" w14:textId="77777777" w:rsidR="000F6636" w:rsidRPr="00741F8C" w:rsidRDefault="000F6636" w:rsidP="00484DB0">
            <w:pPr>
              <w:jc w:val="right"/>
              <w:rPr>
                <w:rFonts w:cs="Arial"/>
                <w:b/>
                <w:bCs/>
                <w:sz w:val="18"/>
                <w:szCs w:val="18"/>
              </w:rPr>
            </w:pPr>
            <w:r w:rsidRPr="00741F8C">
              <w:rPr>
                <w:rFonts w:cs="Arial"/>
                <w:b/>
                <w:bCs/>
                <w:sz w:val="18"/>
                <w:szCs w:val="18"/>
              </w:rPr>
              <w:t>83 514</w:t>
            </w:r>
          </w:p>
        </w:tc>
        <w:tc>
          <w:tcPr>
            <w:tcW w:w="400" w:type="pct"/>
            <w:tcBorders>
              <w:top w:val="single" w:sz="4" w:space="0" w:color="auto"/>
            </w:tcBorders>
            <w:shd w:val="clear" w:color="auto" w:fill="auto"/>
            <w:vAlign w:val="center"/>
          </w:tcPr>
          <w:p w14:paraId="50FD557C" w14:textId="77777777" w:rsidR="000F6636" w:rsidRPr="00741F8C" w:rsidRDefault="000F6636" w:rsidP="00484DB0">
            <w:pPr>
              <w:jc w:val="right"/>
              <w:rPr>
                <w:rFonts w:cs="Arial"/>
                <w:b/>
                <w:bCs/>
                <w:sz w:val="18"/>
                <w:szCs w:val="18"/>
              </w:rPr>
            </w:pPr>
            <w:r w:rsidRPr="00741F8C">
              <w:rPr>
                <w:rFonts w:cs="Arial"/>
                <w:b/>
                <w:bCs/>
                <w:sz w:val="18"/>
                <w:szCs w:val="18"/>
              </w:rPr>
              <w:t>89 793</w:t>
            </w:r>
          </w:p>
        </w:tc>
        <w:tc>
          <w:tcPr>
            <w:tcW w:w="400" w:type="pct"/>
            <w:gridSpan w:val="2"/>
            <w:tcBorders>
              <w:top w:val="single" w:sz="4" w:space="0" w:color="auto"/>
            </w:tcBorders>
            <w:vAlign w:val="center"/>
          </w:tcPr>
          <w:p w14:paraId="21C55C07" w14:textId="77777777" w:rsidR="000F6636" w:rsidRPr="00741F8C" w:rsidRDefault="000F6636" w:rsidP="00484DB0">
            <w:pPr>
              <w:jc w:val="right"/>
              <w:rPr>
                <w:rFonts w:cs="Arial"/>
                <w:b/>
                <w:bCs/>
                <w:sz w:val="18"/>
                <w:szCs w:val="18"/>
              </w:rPr>
            </w:pPr>
            <w:r w:rsidRPr="00741F8C">
              <w:rPr>
                <w:rFonts w:cs="Arial"/>
                <w:b/>
                <w:bCs/>
                <w:sz w:val="18"/>
                <w:szCs w:val="18"/>
              </w:rPr>
              <w:t>95 066</w:t>
            </w:r>
          </w:p>
        </w:tc>
      </w:tr>
      <w:tr w:rsidR="000F6636" w:rsidRPr="003A4411" w14:paraId="03ABDAF1" w14:textId="77777777" w:rsidTr="00484DB0">
        <w:trPr>
          <w:gridAfter w:val="1"/>
          <w:wAfter w:w="11" w:type="pct"/>
          <w:trHeight w:val="251"/>
        </w:trPr>
        <w:tc>
          <w:tcPr>
            <w:tcW w:w="2189" w:type="pct"/>
            <w:tcBorders>
              <w:top w:val="nil"/>
              <w:left w:val="nil"/>
              <w:bottom w:val="single" w:sz="4" w:space="0" w:color="auto"/>
            </w:tcBorders>
            <w:shd w:val="clear" w:color="auto" w:fill="auto"/>
            <w:vAlign w:val="center"/>
          </w:tcPr>
          <w:p w14:paraId="57A6DF64" w14:textId="77777777" w:rsidR="000F6636" w:rsidRPr="00741F8C" w:rsidRDefault="000F6636" w:rsidP="00484DB0">
            <w:pPr>
              <w:ind w:left="214"/>
              <w:rPr>
                <w:b/>
                <w:sz w:val="18"/>
                <w:szCs w:val="18"/>
              </w:rPr>
            </w:pPr>
            <w:r w:rsidRPr="00741F8C">
              <w:rPr>
                <w:b/>
                <w:sz w:val="18"/>
                <w:szCs w:val="18"/>
              </w:rPr>
              <w:t>v % HDP</w:t>
            </w:r>
          </w:p>
        </w:tc>
        <w:tc>
          <w:tcPr>
            <w:tcW w:w="400" w:type="pct"/>
            <w:tcBorders>
              <w:top w:val="nil"/>
              <w:bottom w:val="single" w:sz="4" w:space="0" w:color="auto"/>
            </w:tcBorders>
            <w:shd w:val="clear" w:color="auto" w:fill="auto"/>
            <w:vAlign w:val="center"/>
          </w:tcPr>
          <w:p w14:paraId="37D4E3E2" w14:textId="77777777" w:rsidR="000F6636" w:rsidRPr="00741F8C" w:rsidRDefault="000F6636" w:rsidP="00484DB0">
            <w:pPr>
              <w:jc w:val="right"/>
              <w:rPr>
                <w:rFonts w:cs="Arial"/>
                <w:b/>
                <w:bCs/>
                <w:sz w:val="18"/>
                <w:szCs w:val="18"/>
              </w:rPr>
            </w:pPr>
            <w:r w:rsidRPr="00741F8C">
              <w:rPr>
                <w:rFonts w:cs="Arial"/>
                <w:b/>
                <w:bCs/>
                <w:sz w:val="18"/>
                <w:szCs w:val="18"/>
              </w:rPr>
              <w:t>61,1</w:t>
            </w:r>
          </w:p>
        </w:tc>
        <w:tc>
          <w:tcPr>
            <w:tcW w:w="400" w:type="pct"/>
            <w:tcBorders>
              <w:top w:val="nil"/>
              <w:bottom w:val="single" w:sz="4" w:space="0" w:color="auto"/>
            </w:tcBorders>
            <w:shd w:val="clear" w:color="auto" w:fill="auto"/>
            <w:vAlign w:val="center"/>
          </w:tcPr>
          <w:p w14:paraId="7D3725CC" w14:textId="77777777" w:rsidR="000F6636" w:rsidRPr="00741F8C" w:rsidRDefault="000F6636" w:rsidP="00484DB0">
            <w:pPr>
              <w:jc w:val="right"/>
              <w:rPr>
                <w:rFonts w:cs="Arial"/>
                <w:b/>
                <w:bCs/>
                <w:sz w:val="18"/>
                <w:szCs w:val="18"/>
              </w:rPr>
            </w:pPr>
            <w:r w:rsidRPr="00741F8C">
              <w:rPr>
                <w:rFonts w:cs="Arial"/>
                <w:b/>
                <w:bCs/>
                <w:sz w:val="18"/>
                <w:szCs w:val="18"/>
              </w:rPr>
              <w:t>57,7</w:t>
            </w:r>
          </w:p>
        </w:tc>
        <w:tc>
          <w:tcPr>
            <w:tcW w:w="400" w:type="pct"/>
            <w:tcBorders>
              <w:top w:val="nil"/>
              <w:bottom w:val="single" w:sz="4" w:space="0" w:color="auto"/>
            </w:tcBorders>
            <w:shd w:val="clear" w:color="auto" w:fill="auto"/>
            <w:vAlign w:val="center"/>
          </w:tcPr>
          <w:p w14:paraId="47B1F500" w14:textId="77777777" w:rsidR="000F6636" w:rsidRPr="00741F8C" w:rsidRDefault="000F6636" w:rsidP="00484DB0">
            <w:pPr>
              <w:jc w:val="right"/>
              <w:rPr>
                <w:rFonts w:cs="Arial"/>
                <w:b/>
                <w:bCs/>
                <w:sz w:val="18"/>
                <w:szCs w:val="18"/>
              </w:rPr>
            </w:pPr>
            <w:r w:rsidRPr="00741F8C">
              <w:rPr>
                <w:rFonts w:cs="Arial"/>
                <w:b/>
                <w:bCs/>
                <w:sz w:val="18"/>
                <w:szCs w:val="18"/>
              </w:rPr>
              <w:t>56,0</w:t>
            </w:r>
          </w:p>
        </w:tc>
        <w:tc>
          <w:tcPr>
            <w:tcW w:w="400" w:type="pct"/>
            <w:tcBorders>
              <w:top w:val="nil"/>
              <w:bottom w:val="single" w:sz="4" w:space="0" w:color="auto"/>
            </w:tcBorders>
            <w:shd w:val="clear" w:color="auto" w:fill="auto"/>
            <w:vAlign w:val="center"/>
          </w:tcPr>
          <w:p w14:paraId="1110DE70" w14:textId="77777777" w:rsidR="000F6636" w:rsidRPr="00741F8C" w:rsidRDefault="000F6636" w:rsidP="00484DB0">
            <w:pPr>
              <w:jc w:val="right"/>
              <w:rPr>
                <w:rFonts w:cs="Arial"/>
                <w:b/>
                <w:bCs/>
                <w:sz w:val="18"/>
                <w:szCs w:val="18"/>
              </w:rPr>
            </w:pPr>
            <w:r w:rsidRPr="00741F8C">
              <w:rPr>
                <w:rFonts w:cs="Arial"/>
                <w:b/>
                <w:bCs/>
                <w:sz w:val="18"/>
                <w:szCs w:val="18"/>
              </w:rPr>
              <w:t>58,5</w:t>
            </w:r>
          </w:p>
        </w:tc>
        <w:tc>
          <w:tcPr>
            <w:tcW w:w="400" w:type="pct"/>
            <w:gridSpan w:val="2"/>
            <w:tcBorders>
              <w:top w:val="nil"/>
              <w:bottom w:val="single" w:sz="4" w:space="0" w:color="auto"/>
            </w:tcBorders>
            <w:shd w:val="clear" w:color="auto" w:fill="auto"/>
            <w:vAlign w:val="center"/>
          </w:tcPr>
          <w:p w14:paraId="4F323592" w14:textId="77777777" w:rsidR="000F6636" w:rsidRPr="00741F8C" w:rsidRDefault="000F6636" w:rsidP="00484DB0">
            <w:pPr>
              <w:jc w:val="right"/>
              <w:rPr>
                <w:rFonts w:cs="Arial"/>
                <w:b/>
                <w:bCs/>
                <w:sz w:val="18"/>
                <w:szCs w:val="18"/>
              </w:rPr>
            </w:pPr>
            <w:r w:rsidRPr="00741F8C">
              <w:rPr>
                <w:rFonts w:cs="Arial"/>
                <w:b/>
                <w:bCs/>
                <w:sz w:val="18"/>
                <w:szCs w:val="18"/>
              </w:rPr>
              <w:t>59,5</w:t>
            </w:r>
          </w:p>
        </w:tc>
        <w:tc>
          <w:tcPr>
            <w:tcW w:w="400" w:type="pct"/>
            <w:tcBorders>
              <w:top w:val="nil"/>
              <w:bottom w:val="single" w:sz="4" w:space="0" w:color="auto"/>
            </w:tcBorders>
            <w:shd w:val="clear" w:color="auto" w:fill="auto"/>
            <w:vAlign w:val="center"/>
          </w:tcPr>
          <w:p w14:paraId="543DF56F" w14:textId="77777777" w:rsidR="000F6636" w:rsidRPr="00741F8C" w:rsidRDefault="000F6636" w:rsidP="00484DB0">
            <w:pPr>
              <w:jc w:val="right"/>
              <w:rPr>
                <w:rFonts w:cs="Arial"/>
                <w:b/>
                <w:bCs/>
                <w:sz w:val="18"/>
                <w:szCs w:val="18"/>
              </w:rPr>
            </w:pPr>
            <w:r w:rsidRPr="00741F8C">
              <w:rPr>
                <w:rFonts w:cs="Arial"/>
                <w:b/>
                <w:bCs/>
                <w:sz w:val="18"/>
                <w:szCs w:val="18"/>
              </w:rPr>
              <w:t>61,1</w:t>
            </w:r>
          </w:p>
        </w:tc>
        <w:tc>
          <w:tcPr>
            <w:tcW w:w="400" w:type="pct"/>
            <w:gridSpan w:val="2"/>
            <w:tcBorders>
              <w:top w:val="nil"/>
              <w:bottom w:val="single" w:sz="4" w:space="0" w:color="auto"/>
            </w:tcBorders>
            <w:vAlign w:val="center"/>
          </w:tcPr>
          <w:p w14:paraId="67FD8388" w14:textId="77777777" w:rsidR="000F6636" w:rsidRPr="00741F8C" w:rsidRDefault="000F6636" w:rsidP="00484DB0">
            <w:pPr>
              <w:jc w:val="right"/>
              <w:rPr>
                <w:rFonts w:cs="Arial"/>
                <w:b/>
                <w:bCs/>
                <w:sz w:val="18"/>
                <w:szCs w:val="18"/>
              </w:rPr>
            </w:pPr>
            <w:r w:rsidRPr="00741F8C">
              <w:rPr>
                <w:rFonts w:cs="Arial"/>
                <w:b/>
                <w:bCs/>
                <w:sz w:val="18"/>
                <w:szCs w:val="18"/>
              </w:rPr>
              <w:t>62,3</w:t>
            </w:r>
          </w:p>
        </w:tc>
      </w:tr>
      <w:tr w:rsidR="000F6636" w:rsidRPr="003A4411" w14:paraId="777BCCBD" w14:textId="77777777" w:rsidTr="00484DB0">
        <w:trPr>
          <w:gridAfter w:val="1"/>
          <w:wAfter w:w="11" w:type="pct"/>
          <w:trHeight w:val="251"/>
        </w:trPr>
        <w:tc>
          <w:tcPr>
            <w:tcW w:w="2189" w:type="pct"/>
            <w:tcBorders>
              <w:top w:val="single" w:sz="4" w:space="0" w:color="auto"/>
              <w:left w:val="nil"/>
              <w:right w:val="nil"/>
            </w:tcBorders>
            <w:shd w:val="clear" w:color="auto" w:fill="auto"/>
            <w:vAlign w:val="center"/>
          </w:tcPr>
          <w:p w14:paraId="72FAFD8E" w14:textId="77777777" w:rsidR="000F6636" w:rsidRPr="00741F8C" w:rsidRDefault="000F6636" w:rsidP="00484DB0">
            <w:pPr>
              <w:rPr>
                <w:b/>
                <w:sz w:val="18"/>
                <w:szCs w:val="18"/>
              </w:rPr>
            </w:pPr>
            <w:r w:rsidRPr="00741F8C">
              <w:rPr>
                <w:b/>
                <w:sz w:val="18"/>
                <w:szCs w:val="18"/>
              </w:rPr>
              <w:t>D. Zmena hrubého dlhu oproti Programu stability (p. b.)</w:t>
            </w:r>
          </w:p>
        </w:tc>
        <w:tc>
          <w:tcPr>
            <w:tcW w:w="400" w:type="pct"/>
            <w:tcBorders>
              <w:top w:val="single" w:sz="4" w:space="0" w:color="auto"/>
              <w:left w:val="nil"/>
              <w:bottom w:val="nil"/>
              <w:right w:val="nil"/>
            </w:tcBorders>
            <w:shd w:val="clear" w:color="auto" w:fill="auto"/>
            <w:vAlign w:val="center"/>
          </w:tcPr>
          <w:p w14:paraId="21DE1EA8" w14:textId="77777777" w:rsidR="000F6636" w:rsidRPr="00741F8C" w:rsidRDefault="000F6636" w:rsidP="00484DB0">
            <w:pPr>
              <w:jc w:val="right"/>
              <w:rPr>
                <w:rFonts w:cs="Arial"/>
                <w:b/>
                <w:bCs/>
                <w:sz w:val="18"/>
                <w:szCs w:val="18"/>
              </w:rPr>
            </w:pPr>
            <w:r w:rsidRPr="00741F8C">
              <w:rPr>
                <w:rFonts w:cs="Arial"/>
                <w:b/>
                <w:bCs/>
                <w:sz w:val="18"/>
                <w:szCs w:val="18"/>
              </w:rPr>
              <w:t>0,0</w:t>
            </w:r>
          </w:p>
        </w:tc>
        <w:tc>
          <w:tcPr>
            <w:tcW w:w="400" w:type="pct"/>
            <w:tcBorders>
              <w:top w:val="single" w:sz="4" w:space="0" w:color="auto"/>
              <w:left w:val="nil"/>
              <w:bottom w:val="nil"/>
              <w:right w:val="nil"/>
            </w:tcBorders>
            <w:shd w:val="clear" w:color="auto" w:fill="auto"/>
            <w:vAlign w:val="center"/>
          </w:tcPr>
          <w:p w14:paraId="614AE66D" w14:textId="77777777" w:rsidR="000F6636" w:rsidRPr="00741F8C" w:rsidRDefault="000F6636" w:rsidP="00484DB0">
            <w:pPr>
              <w:jc w:val="right"/>
              <w:rPr>
                <w:rFonts w:cs="Arial"/>
                <w:b/>
                <w:bCs/>
                <w:sz w:val="18"/>
                <w:szCs w:val="18"/>
              </w:rPr>
            </w:pPr>
            <w:r w:rsidRPr="00741F8C">
              <w:rPr>
                <w:rFonts w:cs="Arial"/>
                <w:b/>
                <w:bCs/>
                <w:sz w:val="18"/>
                <w:szCs w:val="18"/>
              </w:rPr>
              <w:t>-0,1</w:t>
            </w:r>
          </w:p>
        </w:tc>
        <w:tc>
          <w:tcPr>
            <w:tcW w:w="400" w:type="pct"/>
            <w:tcBorders>
              <w:top w:val="single" w:sz="4" w:space="0" w:color="auto"/>
              <w:left w:val="nil"/>
              <w:bottom w:val="nil"/>
              <w:right w:val="nil"/>
            </w:tcBorders>
            <w:shd w:val="clear" w:color="auto" w:fill="auto"/>
            <w:vAlign w:val="center"/>
          </w:tcPr>
          <w:p w14:paraId="1176C3CF" w14:textId="77777777" w:rsidR="000F6636" w:rsidRPr="00741F8C" w:rsidRDefault="000F6636" w:rsidP="00484DB0">
            <w:pPr>
              <w:jc w:val="right"/>
              <w:rPr>
                <w:rFonts w:cs="Arial"/>
                <w:b/>
                <w:bCs/>
                <w:sz w:val="18"/>
                <w:szCs w:val="18"/>
              </w:rPr>
            </w:pPr>
            <w:r w:rsidRPr="00741F8C">
              <w:rPr>
                <w:rFonts w:cs="Arial"/>
                <w:b/>
                <w:bCs/>
                <w:sz w:val="18"/>
                <w:szCs w:val="18"/>
              </w:rPr>
              <w:t>-2,6</w:t>
            </w:r>
          </w:p>
        </w:tc>
        <w:tc>
          <w:tcPr>
            <w:tcW w:w="400" w:type="pct"/>
            <w:tcBorders>
              <w:top w:val="single" w:sz="4" w:space="0" w:color="auto"/>
              <w:left w:val="nil"/>
              <w:bottom w:val="nil"/>
              <w:right w:val="nil"/>
            </w:tcBorders>
            <w:shd w:val="clear" w:color="auto" w:fill="auto"/>
            <w:vAlign w:val="center"/>
          </w:tcPr>
          <w:p w14:paraId="1442985F" w14:textId="77777777" w:rsidR="000F6636" w:rsidRPr="00741F8C" w:rsidRDefault="000F6636" w:rsidP="00484DB0">
            <w:pPr>
              <w:jc w:val="right"/>
              <w:rPr>
                <w:rFonts w:cs="Arial"/>
                <w:b/>
                <w:bCs/>
                <w:sz w:val="18"/>
                <w:szCs w:val="18"/>
              </w:rPr>
            </w:pPr>
            <w:r w:rsidRPr="00741F8C">
              <w:rPr>
                <w:rFonts w:cs="Arial"/>
                <w:b/>
                <w:bCs/>
                <w:sz w:val="18"/>
                <w:szCs w:val="18"/>
              </w:rPr>
              <w:t>0,0</w:t>
            </w:r>
          </w:p>
        </w:tc>
        <w:tc>
          <w:tcPr>
            <w:tcW w:w="400" w:type="pct"/>
            <w:gridSpan w:val="2"/>
            <w:tcBorders>
              <w:top w:val="single" w:sz="4" w:space="0" w:color="auto"/>
              <w:left w:val="nil"/>
              <w:bottom w:val="nil"/>
              <w:right w:val="nil"/>
            </w:tcBorders>
            <w:shd w:val="clear" w:color="auto" w:fill="auto"/>
            <w:vAlign w:val="center"/>
          </w:tcPr>
          <w:p w14:paraId="59DC2284" w14:textId="77777777" w:rsidR="000F6636" w:rsidRPr="00741F8C" w:rsidRDefault="000F6636" w:rsidP="00484DB0">
            <w:pPr>
              <w:jc w:val="right"/>
              <w:rPr>
                <w:rFonts w:cs="Arial"/>
                <w:b/>
                <w:bCs/>
                <w:sz w:val="18"/>
                <w:szCs w:val="18"/>
              </w:rPr>
            </w:pPr>
            <w:r w:rsidRPr="00741F8C">
              <w:rPr>
                <w:rFonts w:cs="Arial"/>
                <w:b/>
                <w:bCs/>
                <w:sz w:val="18"/>
                <w:szCs w:val="18"/>
              </w:rPr>
              <w:t>2,4</w:t>
            </w:r>
          </w:p>
        </w:tc>
        <w:tc>
          <w:tcPr>
            <w:tcW w:w="400" w:type="pct"/>
            <w:tcBorders>
              <w:top w:val="single" w:sz="4" w:space="0" w:color="auto"/>
              <w:left w:val="nil"/>
              <w:bottom w:val="nil"/>
              <w:right w:val="nil"/>
            </w:tcBorders>
            <w:shd w:val="clear" w:color="auto" w:fill="auto"/>
            <w:vAlign w:val="center"/>
          </w:tcPr>
          <w:p w14:paraId="6D251005" w14:textId="77777777" w:rsidR="000F6636" w:rsidRPr="00741F8C" w:rsidRDefault="000F6636" w:rsidP="00484DB0">
            <w:pPr>
              <w:jc w:val="right"/>
              <w:rPr>
                <w:rFonts w:cs="Arial"/>
                <w:b/>
                <w:bCs/>
                <w:sz w:val="18"/>
                <w:szCs w:val="18"/>
              </w:rPr>
            </w:pPr>
            <w:r w:rsidRPr="00741F8C">
              <w:rPr>
                <w:rFonts w:cs="Arial"/>
                <w:b/>
                <w:bCs/>
                <w:sz w:val="18"/>
                <w:szCs w:val="18"/>
              </w:rPr>
              <w:t>3,4</w:t>
            </w:r>
          </w:p>
        </w:tc>
        <w:tc>
          <w:tcPr>
            <w:tcW w:w="400" w:type="pct"/>
            <w:gridSpan w:val="2"/>
            <w:tcBorders>
              <w:top w:val="single" w:sz="4" w:space="0" w:color="auto"/>
              <w:left w:val="nil"/>
              <w:bottom w:val="nil"/>
              <w:right w:val="nil"/>
            </w:tcBorders>
            <w:vAlign w:val="center"/>
          </w:tcPr>
          <w:p w14:paraId="41E48980" w14:textId="77777777" w:rsidR="000F6636" w:rsidRPr="00741F8C" w:rsidRDefault="000F6636" w:rsidP="00484DB0">
            <w:pPr>
              <w:jc w:val="right"/>
              <w:rPr>
                <w:rFonts w:cs="Arial"/>
                <w:b/>
                <w:bCs/>
                <w:sz w:val="18"/>
                <w:szCs w:val="18"/>
              </w:rPr>
            </w:pPr>
          </w:p>
        </w:tc>
      </w:tr>
      <w:tr w:rsidR="000F6636" w:rsidRPr="003A4411" w14:paraId="624F8E49" w14:textId="77777777" w:rsidTr="00484DB0">
        <w:trPr>
          <w:gridAfter w:val="1"/>
          <w:wAfter w:w="11" w:type="pct"/>
          <w:trHeight w:val="251"/>
        </w:trPr>
        <w:tc>
          <w:tcPr>
            <w:tcW w:w="2189" w:type="pct"/>
            <w:tcBorders>
              <w:left w:val="nil"/>
              <w:bottom w:val="nil"/>
              <w:right w:val="nil"/>
            </w:tcBorders>
            <w:shd w:val="clear" w:color="auto" w:fill="auto"/>
            <w:vAlign w:val="center"/>
          </w:tcPr>
          <w:p w14:paraId="636A554F" w14:textId="77777777" w:rsidR="000F6636" w:rsidRPr="00741F8C" w:rsidRDefault="000F6636" w:rsidP="00484DB0">
            <w:pPr>
              <w:ind w:firstLine="356"/>
              <w:rPr>
                <w:sz w:val="18"/>
                <w:szCs w:val="18"/>
              </w:rPr>
            </w:pPr>
            <w:r w:rsidRPr="00741F8C">
              <w:rPr>
                <w:sz w:val="18"/>
                <w:szCs w:val="18"/>
              </w:rPr>
              <w:t xml:space="preserve">z toho: príspevok zmeny prognózy nom. HDP </w:t>
            </w:r>
          </w:p>
        </w:tc>
        <w:tc>
          <w:tcPr>
            <w:tcW w:w="400" w:type="pct"/>
            <w:tcBorders>
              <w:top w:val="nil"/>
              <w:left w:val="nil"/>
              <w:bottom w:val="nil"/>
              <w:right w:val="nil"/>
            </w:tcBorders>
            <w:shd w:val="clear" w:color="auto" w:fill="auto"/>
            <w:vAlign w:val="center"/>
          </w:tcPr>
          <w:p w14:paraId="0157B236" w14:textId="77777777" w:rsidR="000F6636" w:rsidRPr="00741F8C" w:rsidRDefault="000F6636" w:rsidP="00484DB0">
            <w:pPr>
              <w:jc w:val="right"/>
              <w:rPr>
                <w:rFonts w:cs="Arial"/>
                <w:sz w:val="18"/>
                <w:szCs w:val="18"/>
              </w:rPr>
            </w:pPr>
            <w:r w:rsidRPr="00741F8C">
              <w:rPr>
                <w:rFonts w:cs="Arial"/>
                <w:sz w:val="18"/>
                <w:szCs w:val="18"/>
              </w:rPr>
              <w:t>0,0</w:t>
            </w:r>
          </w:p>
        </w:tc>
        <w:tc>
          <w:tcPr>
            <w:tcW w:w="400" w:type="pct"/>
            <w:tcBorders>
              <w:top w:val="nil"/>
              <w:left w:val="nil"/>
              <w:bottom w:val="nil"/>
              <w:right w:val="nil"/>
            </w:tcBorders>
            <w:shd w:val="clear" w:color="auto" w:fill="auto"/>
            <w:vAlign w:val="center"/>
          </w:tcPr>
          <w:p w14:paraId="1C5C746C" w14:textId="77777777" w:rsidR="000F6636" w:rsidRPr="00741F8C" w:rsidRDefault="000F6636" w:rsidP="00484DB0">
            <w:pPr>
              <w:jc w:val="right"/>
              <w:rPr>
                <w:rFonts w:cs="Arial"/>
                <w:sz w:val="18"/>
                <w:szCs w:val="18"/>
              </w:rPr>
            </w:pPr>
            <w:r w:rsidRPr="00741F8C">
              <w:rPr>
                <w:rFonts w:cs="Arial"/>
                <w:sz w:val="18"/>
                <w:szCs w:val="18"/>
              </w:rPr>
              <w:t>-0,1</w:t>
            </w:r>
          </w:p>
        </w:tc>
        <w:tc>
          <w:tcPr>
            <w:tcW w:w="400" w:type="pct"/>
            <w:tcBorders>
              <w:top w:val="nil"/>
              <w:left w:val="nil"/>
              <w:bottom w:val="nil"/>
              <w:right w:val="nil"/>
            </w:tcBorders>
            <w:shd w:val="clear" w:color="auto" w:fill="auto"/>
            <w:vAlign w:val="center"/>
          </w:tcPr>
          <w:p w14:paraId="21EB0C8F" w14:textId="77777777" w:rsidR="000F6636" w:rsidRPr="00741F8C" w:rsidRDefault="000F6636" w:rsidP="00484DB0">
            <w:pPr>
              <w:jc w:val="right"/>
              <w:rPr>
                <w:rFonts w:cs="Arial"/>
                <w:sz w:val="18"/>
                <w:szCs w:val="18"/>
              </w:rPr>
            </w:pPr>
            <w:r w:rsidRPr="00741F8C">
              <w:rPr>
                <w:rFonts w:cs="Arial"/>
                <w:sz w:val="18"/>
                <w:szCs w:val="18"/>
              </w:rPr>
              <w:t>-1,5</w:t>
            </w:r>
          </w:p>
        </w:tc>
        <w:tc>
          <w:tcPr>
            <w:tcW w:w="400" w:type="pct"/>
            <w:tcBorders>
              <w:top w:val="nil"/>
              <w:left w:val="nil"/>
              <w:bottom w:val="nil"/>
              <w:right w:val="nil"/>
            </w:tcBorders>
            <w:shd w:val="clear" w:color="auto" w:fill="auto"/>
            <w:vAlign w:val="center"/>
          </w:tcPr>
          <w:p w14:paraId="514D8734"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gridSpan w:val="2"/>
            <w:tcBorders>
              <w:top w:val="nil"/>
              <w:left w:val="nil"/>
              <w:bottom w:val="nil"/>
              <w:right w:val="nil"/>
            </w:tcBorders>
            <w:shd w:val="clear" w:color="auto" w:fill="auto"/>
            <w:vAlign w:val="center"/>
          </w:tcPr>
          <w:p w14:paraId="2648AF65"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tcBorders>
              <w:top w:val="nil"/>
              <w:left w:val="nil"/>
              <w:bottom w:val="nil"/>
              <w:right w:val="nil"/>
            </w:tcBorders>
            <w:shd w:val="clear" w:color="auto" w:fill="auto"/>
            <w:vAlign w:val="center"/>
          </w:tcPr>
          <w:p w14:paraId="4D7D7B39" w14:textId="77777777" w:rsidR="000F6636" w:rsidRPr="00741F8C" w:rsidRDefault="000F6636" w:rsidP="00484DB0">
            <w:pPr>
              <w:jc w:val="right"/>
              <w:rPr>
                <w:rFonts w:cs="Arial"/>
                <w:sz w:val="18"/>
                <w:szCs w:val="18"/>
              </w:rPr>
            </w:pPr>
            <w:r w:rsidRPr="00741F8C">
              <w:rPr>
                <w:rFonts w:cs="Arial"/>
                <w:sz w:val="18"/>
                <w:szCs w:val="18"/>
              </w:rPr>
              <w:t>-1,4</w:t>
            </w:r>
          </w:p>
        </w:tc>
        <w:tc>
          <w:tcPr>
            <w:tcW w:w="400" w:type="pct"/>
            <w:gridSpan w:val="2"/>
            <w:tcBorders>
              <w:top w:val="nil"/>
              <w:left w:val="nil"/>
              <w:bottom w:val="nil"/>
              <w:right w:val="nil"/>
            </w:tcBorders>
            <w:vAlign w:val="center"/>
          </w:tcPr>
          <w:p w14:paraId="61ED2920" w14:textId="77777777" w:rsidR="000F6636" w:rsidRPr="00741F8C" w:rsidRDefault="000F6636" w:rsidP="00484DB0">
            <w:pPr>
              <w:jc w:val="right"/>
              <w:rPr>
                <w:rFonts w:cs="Arial"/>
                <w:sz w:val="18"/>
                <w:szCs w:val="18"/>
              </w:rPr>
            </w:pPr>
          </w:p>
        </w:tc>
      </w:tr>
      <w:tr w:rsidR="000F6636" w:rsidRPr="003A4411" w14:paraId="59525507" w14:textId="77777777" w:rsidTr="00484DB0">
        <w:trPr>
          <w:gridAfter w:val="1"/>
          <w:wAfter w:w="11" w:type="pct"/>
          <w:trHeight w:val="251"/>
        </w:trPr>
        <w:tc>
          <w:tcPr>
            <w:tcW w:w="2189" w:type="pct"/>
            <w:tcBorders>
              <w:top w:val="nil"/>
              <w:left w:val="nil"/>
              <w:bottom w:val="single" w:sz="8" w:space="0" w:color="000000"/>
              <w:right w:val="nil"/>
            </w:tcBorders>
            <w:shd w:val="clear" w:color="auto" w:fill="auto"/>
            <w:vAlign w:val="center"/>
          </w:tcPr>
          <w:p w14:paraId="2112624F" w14:textId="77777777" w:rsidR="000F6636" w:rsidRPr="00741F8C" w:rsidRDefault="000F6636" w:rsidP="00484DB0">
            <w:pPr>
              <w:ind w:firstLine="356"/>
              <w:rPr>
                <w:sz w:val="18"/>
                <w:szCs w:val="18"/>
              </w:rPr>
            </w:pPr>
            <w:r w:rsidRPr="00741F8C">
              <w:rPr>
                <w:sz w:val="18"/>
                <w:szCs w:val="18"/>
              </w:rPr>
              <w:t xml:space="preserve">            príspevok zmeny prognózy nom. dlhu</w:t>
            </w:r>
          </w:p>
        </w:tc>
        <w:tc>
          <w:tcPr>
            <w:tcW w:w="400" w:type="pct"/>
            <w:tcBorders>
              <w:top w:val="nil"/>
              <w:left w:val="nil"/>
              <w:bottom w:val="single" w:sz="8" w:space="0" w:color="000000"/>
              <w:right w:val="nil"/>
            </w:tcBorders>
            <w:shd w:val="clear" w:color="auto" w:fill="auto"/>
            <w:vAlign w:val="center"/>
          </w:tcPr>
          <w:p w14:paraId="595237BB" w14:textId="77777777" w:rsidR="000F6636" w:rsidRPr="00741F8C" w:rsidRDefault="000F6636" w:rsidP="00484DB0">
            <w:pPr>
              <w:jc w:val="right"/>
              <w:rPr>
                <w:rFonts w:cs="Arial"/>
                <w:sz w:val="18"/>
                <w:szCs w:val="18"/>
              </w:rPr>
            </w:pPr>
            <w:r w:rsidRPr="00741F8C">
              <w:rPr>
                <w:rFonts w:cs="Arial"/>
                <w:sz w:val="18"/>
                <w:szCs w:val="18"/>
              </w:rPr>
              <w:t>0,0</w:t>
            </w:r>
          </w:p>
        </w:tc>
        <w:tc>
          <w:tcPr>
            <w:tcW w:w="400" w:type="pct"/>
            <w:tcBorders>
              <w:top w:val="nil"/>
              <w:left w:val="nil"/>
              <w:bottom w:val="single" w:sz="8" w:space="0" w:color="000000"/>
              <w:right w:val="nil"/>
            </w:tcBorders>
            <w:shd w:val="clear" w:color="auto" w:fill="auto"/>
            <w:vAlign w:val="center"/>
          </w:tcPr>
          <w:p w14:paraId="4230E244" w14:textId="77777777" w:rsidR="000F6636" w:rsidRPr="00741F8C" w:rsidRDefault="000F6636" w:rsidP="00484DB0">
            <w:pPr>
              <w:jc w:val="right"/>
              <w:rPr>
                <w:rFonts w:cs="Arial"/>
                <w:sz w:val="18"/>
                <w:szCs w:val="18"/>
              </w:rPr>
            </w:pPr>
            <w:r w:rsidRPr="00741F8C">
              <w:rPr>
                <w:rFonts w:cs="Arial"/>
                <w:sz w:val="18"/>
                <w:szCs w:val="18"/>
              </w:rPr>
              <w:t>0,0</w:t>
            </w:r>
          </w:p>
        </w:tc>
        <w:tc>
          <w:tcPr>
            <w:tcW w:w="400" w:type="pct"/>
            <w:tcBorders>
              <w:top w:val="nil"/>
              <w:left w:val="nil"/>
              <w:bottom w:val="single" w:sz="8" w:space="0" w:color="000000"/>
              <w:right w:val="nil"/>
            </w:tcBorders>
            <w:shd w:val="clear" w:color="auto" w:fill="auto"/>
            <w:vAlign w:val="center"/>
          </w:tcPr>
          <w:p w14:paraId="686522AB" w14:textId="77777777" w:rsidR="000F6636" w:rsidRPr="00741F8C" w:rsidRDefault="000F6636" w:rsidP="00484DB0">
            <w:pPr>
              <w:jc w:val="right"/>
              <w:rPr>
                <w:rFonts w:cs="Arial"/>
                <w:sz w:val="18"/>
                <w:szCs w:val="18"/>
              </w:rPr>
            </w:pPr>
            <w:r w:rsidRPr="00741F8C">
              <w:rPr>
                <w:rFonts w:cs="Arial"/>
                <w:sz w:val="18"/>
                <w:szCs w:val="18"/>
              </w:rPr>
              <w:t>-1,1</w:t>
            </w:r>
          </w:p>
        </w:tc>
        <w:tc>
          <w:tcPr>
            <w:tcW w:w="400" w:type="pct"/>
            <w:tcBorders>
              <w:top w:val="nil"/>
              <w:left w:val="nil"/>
              <w:bottom w:val="single" w:sz="8" w:space="0" w:color="000000"/>
              <w:right w:val="nil"/>
            </w:tcBorders>
            <w:shd w:val="clear" w:color="auto" w:fill="auto"/>
            <w:vAlign w:val="center"/>
          </w:tcPr>
          <w:p w14:paraId="0AEFDD68" w14:textId="77777777" w:rsidR="000F6636" w:rsidRPr="00741F8C" w:rsidRDefault="000F6636" w:rsidP="00484DB0">
            <w:pPr>
              <w:jc w:val="right"/>
              <w:rPr>
                <w:rFonts w:cs="Arial"/>
                <w:sz w:val="18"/>
                <w:szCs w:val="18"/>
              </w:rPr>
            </w:pPr>
            <w:r w:rsidRPr="00741F8C">
              <w:rPr>
                <w:rFonts w:cs="Arial"/>
                <w:sz w:val="18"/>
                <w:szCs w:val="18"/>
              </w:rPr>
              <w:t>1,3</w:t>
            </w:r>
          </w:p>
        </w:tc>
        <w:tc>
          <w:tcPr>
            <w:tcW w:w="400" w:type="pct"/>
            <w:gridSpan w:val="2"/>
            <w:tcBorders>
              <w:top w:val="nil"/>
              <w:left w:val="nil"/>
              <w:bottom w:val="single" w:sz="8" w:space="0" w:color="000000"/>
              <w:right w:val="nil"/>
            </w:tcBorders>
            <w:shd w:val="clear" w:color="auto" w:fill="auto"/>
            <w:vAlign w:val="center"/>
          </w:tcPr>
          <w:p w14:paraId="2F0D85BF" w14:textId="77777777" w:rsidR="000F6636" w:rsidRPr="00741F8C" w:rsidRDefault="000F6636" w:rsidP="00484DB0">
            <w:pPr>
              <w:jc w:val="right"/>
              <w:rPr>
                <w:rFonts w:cs="Arial"/>
                <w:sz w:val="18"/>
                <w:szCs w:val="18"/>
              </w:rPr>
            </w:pPr>
            <w:r w:rsidRPr="00741F8C">
              <w:rPr>
                <w:rFonts w:cs="Arial"/>
                <w:sz w:val="18"/>
                <w:szCs w:val="18"/>
              </w:rPr>
              <w:t>3,7</w:t>
            </w:r>
          </w:p>
        </w:tc>
        <w:tc>
          <w:tcPr>
            <w:tcW w:w="400" w:type="pct"/>
            <w:tcBorders>
              <w:top w:val="nil"/>
              <w:left w:val="nil"/>
              <w:bottom w:val="single" w:sz="8" w:space="0" w:color="000000"/>
              <w:right w:val="nil"/>
            </w:tcBorders>
            <w:shd w:val="clear" w:color="auto" w:fill="auto"/>
            <w:vAlign w:val="center"/>
          </w:tcPr>
          <w:p w14:paraId="34D0B53F" w14:textId="77777777" w:rsidR="000F6636" w:rsidRPr="00741F8C" w:rsidRDefault="000F6636" w:rsidP="00484DB0">
            <w:pPr>
              <w:jc w:val="right"/>
              <w:rPr>
                <w:rFonts w:cs="Arial"/>
                <w:sz w:val="18"/>
                <w:szCs w:val="18"/>
              </w:rPr>
            </w:pPr>
            <w:r w:rsidRPr="00741F8C">
              <w:rPr>
                <w:rFonts w:cs="Arial"/>
                <w:sz w:val="18"/>
                <w:szCs w:val="18"/>
              </w:rPr>
              <w:t>4,8</w:t>
            </w:r>
          </w:p>
        </w:tc>
        <w:tc>
          <w:tcPr>
            <w:tcW w:w="400" w:type="pct"/>
            <w:gridSpan w:val="2"/>
            <w:tcBorders>
              <w:top w:val="nil"/>
              <w:left w:val="nil"/>
              <w:bottom w:val="single" w:sz="8" w:space="0" w:color="000000"/>
              <w:right w:val="nil"/>
            </w:tcBorders>
            <w:vAlign w:val="center"/>
          </w:tcPr>
          <w:p w14:paraId="45C608F4" w14:textId="77777777" w:rsidR="000F6636" w:rsidRPr="00741F8C" w:rsidRDefault="000F6636" w:rsidP="00484DB0">
            <w:pPr>
              <w:jc w:val="right"/>
              <w:rPr>
                <w:rFonts w:cs="Arial"/>
                <w:sz w:val="18"/>
                <w:szCs w:val="18"/>
              </w:rPr>
            </w:pPr>
          </w:p>
        </w:tc>
      </w:tr>
      <w:tr w:rsidR="000F6636" w:rsidRPr="007C2DC9" w14:paraId="14BC96E6" w14:textId="77777777" w:rsidTr="00484DB0">
        <w:trPr>
          <w:trHeight w:val="249"/>
        </w:trPr>
        <w:tc>
          <w:tcPr>
            <w:tcW w:w="5000" w:type="pct"/>
            <w:gridSpan w:val="11"/>
            <w:tcBorders>
              <w:left w:val="nil"/>
              <w:right w:val="nil"/>
            </w:tcBorders>
            <w:shd w:val="clear" w:color="auto" w:fill="auto"/>
            <w:vAlign w:val="center"/>
          </w:tcPr>
          <w:p w14:paraId="4694C5F5" w14:textId="77777777" w:rsidR="000F6636" w:rsidRDefault="000F6636" w:rsidP="00484DB0">
            <w:pPr>
              <w:jc w:val="both"/>
              <w:rPr>
                <w:rFonts w:cs="Times New Roman"/>
                <w:i/>
                <w:iCs/>
                <w:sz w:val="16"/>
                <w:szCs w:val="14"/>
              </w:rPr>
            </w:pPr>
            <w:r w:rsidRPr="002F5BE5">
              <w:rPr>
                <w:rFonts w:cs="Times New Roman"/>
                <w:i/>
                <w:iCs/>
                <w:sz w:val="16"/>
                <w:szCs w:val="14"/>
              </w:rPr>
              <w:t>Prognóza predpokladá hotovostné deficity ŠR pri splnení nominálnych cieľov deficitov VS 5 % HDP v</w:t>
            </w:r>
            <w:r>
              <w:rPr>
                <w:rFonts w:cs="Times New Roman"/>
                <w:i/>
                <w:iCs/>
                <w:sz w:val="16"/>
                <w:szCs w:val="14"/>
              </w:rPr>
              <w:t> </w:t>
            </w:r>
            <w:r w:rsidRPr="002F5BE5">
              <w:rPr>
                <w:rFonts w:cs="Times New Roman"/>
                <w:i/>
                <w:iCs/>
                <w:sz w:val="16"/>
                <w:szCs w:val="14"/>
              </w:rPr>
              <w:t>2025</w:t>
            </w:r>
            <w:r>
              <w:rPr>
                <w:rFonts w:cs="Times New Roman"/>
                <w:i/>
                <w:iCs/>
                <w:sz w:val="16"/>
                <w:szCs w:val="14"/>
              </w:rPr>
              <w:t xml:space="preserve">, </w:t>
            </w:r>
            <w:r w:rsidRPr="002F5BE5">
              <w:rPr>
                <w:rFonts w:cs="Times New Roman"/>
                <w:i/>
                <w:iCs/>
                <w:sz w:val="16"/>
                <w:szCs w:val="14"/>
              </w:rPr>
              <w:t>4 % HDP v</w:t>
            </w:r>
            <w:r>
              <w:rPr>
                <w:rFonts w:cs="Times New Roman"/>
                <w:i/>
                <w:iCs/>
                <w:sz w:val="16"/>
                <w:szCs w:val="14"/>
              </w:rPr>
              <w:t> </w:t>
            </w:r>
            <w:r w:rsidRPr="002F5BE5">
              <w:rPr>
                <w:rFonts w:cs="Times New Roman"/>
                <w:i/>
                <w:iCs/>
                <w:sz w:val="16"/>
                <w:szCs w:val="14"/>
              </w:rPr>
              <w:t>2026</w:t>
            </w:r>
            <w:r>
              <w:rPr>
                <w:rFonts w:cs="Times New Roman"/>
                <w:i/>
                <w:iCs/>
                <w:sz w:val="16"/>
                <w:szCs w:val="14"/>
              </w:rPr>
              <w:t xml:space="preserve"> a 3 % HDP v 2027</w:t>
            </w:r>
            <w:r w:rsidRPr="002F5BE5">
              <w:rPr>
                <w:rFonts w:cs="Times New Roman"/>
                <w:i/>
                <w:iCs/>
                <w:sz w:val="16"/>
                <w:szCs w:val="14"/>
              </w:rPr>
              <w:t>.</w:t>
            </w:r>
          </w:p>
          <w:p w14:paraId="547B2EBB" w14:textId="77777777" w:rsidR="000F6636" w:rsidRPr="002F5BE5" w:rsidRDefault="000F6636" w:rsidP="00484DB0">
            <w:pPr>
              <w:jc w:val="right"/>
              <w:rPr>
                <w:sz w:val="16"/>
                <w:szCs w:val="16"/>
              </w:rPr>
            </w:pPr>
            <w:r w:rsidRPr="002F5BE5">
              <w:rPr>
                <w:rFonts w:cs="Times New Roman"/>
                <w:i/>
                <w:iCs/>
                <w:sz w:val="16"/>
                <w:szCs w:val="14"/>
              </w:rPr>
              <w:t xml:space="preserve"> Zdroj: MF SR</w:t>
            </w:r>
          </w:p>
        </w:tc>
      </w:tr>
      <w:tr w:rsidR="000F6636" w:rsidRPr="007C2DC9" w14:paraId="7DB9DDF4" w14:textId="77777777" w:rsidTr="00484DB0">
        <w:trPr>
          <w:trHeight w:val="249"/>
        </w:trPr>
        <w:tc>
          <w:tcPr>
            <w:tcW w:w="4034" w:type="pct"/>
            <w:gridSpan w:val="6"/>
            <w:tcBorders>
              <w:left w:val="nil"/>
              <w:right w:val="nil"/>
            </w:tcBorders>
            <w:shd w:val="clear" w:color="auto" w:fill="auto"/>
            <w:vAlign w:val="center"/>
          </w:tcPr>
          <w:p w14:paraId="21F5BCAA" w14:textId="77777777" w:rsidR="000F6636" w:rsidRPr="007C2DC9" w:rsidRDefault="000F6636" w:rsidP="00484DB0">
            <w:pPr>
              <w:rPr>
                <w:i/>
                <w:sz w:val="16"/>
                <w:szCs w:val="16"/>
                <w:highlight w:val="yellow"/>
              </w:rPr>
            </w:pPr>
          </w:p>
        </w:tc>
        <w:tc>
          <w:tcPr>
            <w:tcW w:w="599" w:type="pct"/>
            <w:gridSpan w:val="3"/>
            <w:tcBorders>
              <w:left w:val="nil"/>
              <w:right w:val="nil"/>
            </w:tcBorders>
            <w:shd w:val="clear" w:color="auto" w:fill="auto"/>
            <w:vAlign w:val="center"/>
          </w:tcPr>
          <w:p w14:paraId="6B5387B1" w14:textId="77777777" w:rsidR="000F6636" w:rsidRPr="007C2DC9" w:rsidRDefault="000F6636" w:rsidP="00484DB0">
            <w:pPr>
              <w:jc w:val="right"/>
              <w:rPr>
                <w:i/>
                <w:sz w:val="16"/>
                <w:szCs w:val="16"/>
                <w:highlight w:val="yellow"/>
              </w:rPr>
            </w:pPr>
          </w:p>
        </w:tc>
        <w:tc>
          <w:tcPr>
            <w:tcW w:w="367" w:type="pct"/>
            <w:gridSpan w:val="2"/>
            <w:tcBorders>
              <w:left w:val="nil"/>
              <w:right w:val="nil"/>
            </w:tcBorders>
          </w:tcPr>
          <w:p w14:paraId="7E898B81" w14:textId="77777777" w:rsidR="000F6636" w:rsidRPr="007C2DC9" w:rsidRDefault="000F6636" w:rsidP="00484DB0">
            <w:pPr>
              <w:jc w:val="right"/>
              <w:rPr>
                <w:i/>
                <w:sz w:val="16"/>
                <w:szCs w:val="16"/>
                <w:highlight w:val="yellow"/>
              </w:rPr>
            </w:pPr>
          </w:p>
        </w:tc>
      </w:tr>
    </w:tbl>
    <w:p w14:paraId="5E84D0DA" w14:textId="77777777" w:rsidR="000F6636" w:rsidRDefault="000F6636" w:rsidP="000F6636">
      <w:pPr>
        <w:rPr>
          <w:b/>
          <w:color w:val="2C9ADC"/>
          <w:sz w:val="24"/>
          <w:szCs w:val="24"/>
        </w:rPr>
      </w:pPr>
    </w:p>
    <w:p w14:paraId="284D14BD" w14:textId="77777777" w:rsidR="000F6636" w:rsidRPr="00C32637" w:rsidRDefault="000F6636" w:rsidP="000F6636">
      <w:pPr>
        <w:rPr>
          <w:b/>
          <w:color w:val="2C9ADC"/>
          <w:sz w:val="24"/>
          <w:szCs w:val="24"/>
        </w:rPr>
      </w:pPr>
      <w:r w:rsidRPr="00C32637">
        <w:rPr>
          <w:b/>
          <w:color w:val="2C9ADC"/>
          <w:sz w:val="24"/>
          <w:szCs w:val="24"/>
        </w:rPr>
        <w:t>Príloha 4 – Jednorazové a dočasné opatrenia</w:t>
      </w:r>
    </w:p>
    <w:p w14:paraId="30214C76" w14:textId="77777777" w:rsidR="000F6636" w:rsidRPr="00C32637" w:rsidRDefault="000F6636" w:rsidP="000F6636">
      <w:pPr>
        <w:contextualSpacing/>
        <w:jc w:val="both"/>
        <w:rPr>
          <w:rFonts w:cs="Times New Roman"/>
        </w:rPr>
      </w:pPr>
      <w:r w:rsidRPr="00C32637">
        <w:rPr>
          <w:rFonts w:cs="Times New Roman"/>
        </w:rPr>
        <w:t>Program stability SR na roky 2024 až 2027 počíta s nasledovnými jednorazovými a dočasnými opatreniami na horizonte rokov 2023 až 2027 podľa národnej metodiky.</w:t>
      </w:r>
      <w:r w:rsidRPr="00C32637">
        <w:rPr>
          <w:rStyle w:val="Odkaznapoznmkupodiarou"/>
        </w:rPr>
        <w:footnoteReference w:id="49"/>
      </w:r>
    </w:p>
    <w:tbl>
      <w:tblPr>
        <w:tblW w:w="9070" w:type="dxa"/>
        <w:tblLayout w:type="fixed"/>
        <w:tblCellMar>
          <w:left w:w="70" w:type="dxa"/>
          <w:right w:w="70" w:type="dxa"/>
        </w:tblCellMar>
        <w:tblLook w:val="04A0" w:firstRow="1" w:lastRow="0" w:firstColumn="1" w:lastColumn="0" w:noHBand="0" w:noVBand="1"/>
      </w:tblPr>
      <w:tblGrid>
        <w:gridCol w:w="7651"/>
        <w:gridCol w:w="1419"/>
      </w:tblGrid>
      <w:tr w:rsidR="000F6636" w:rsidRPr="007C2DC9" w14:paraId="20DBEB9B" w14:textId="77777777" w:rsidTr="00484DB0">
        <w:trPr>
          <w:trHeight w:val="236"/>
        </w:trPr>
        <w:tc>
          <w:tcPr>
            <w:tcW w:w="9070" w:type="dxa"/>
            <w:gridSpan w:val="2"/>
            <w:tcBorders>
              <w:top w:val="nil"/>
              <w:left w:val="nil"/>
              <w:bottom w:val="nil"/>
              <w:right w:val="nil"/>
            </w:tcBorders>
            <w:shd w:val="clear" w:color="auto" w:fill="auto"/>
            <w:noWrap/>
            <w:vAlign w:val="center"/>
            <w:hideMark/>
          </w:tcPr>
          <w:p w14:paraId="087F0E62" w14:textId="33DA26CA" w:rsidR="000F6636" w:rsidRPr="00B14D03" w:rsidRDefault="000F6636" w:rsidP="00484DB0">
            <w:pPr>
              <w:spacing w:before="240"/>
              <w:rPr>
                <w:rFonts w:cs="Times New Roman"/>
                <w:b/>
                <w:bCs/>
                <w:color w:val="2C9ADC" w:themeColor="accent1"/>
                <w:sz w:val="20"/>
              </w:rPr>
            </w:pPr>
            <w:bookmarkStart w:id="230" w:name="_Toc53500237"/>
            <w:bookmarkStart w:id="231" w:name="_Toc85887948"/>
            <w:bookmarkStart w:id="232" w:name="_Toc117765237"/>
            <w:bookmarkStart w:id="233" w:name="_Toc153185523"/>
            <w:bookmarkStart w:id="234" w:name="_Toc164684563"/>
            <w:r w:rsidRPr="00B14D03">
              <w:rPr>
                <w:rFonts w:cs="Times New Roman"/>
                <w:b/>
                <w:bCs/>
                <w:color w:val="2C9ADC" w:themeColor="accent1"/>
                <w:sz w:val="20"/>
              </w:rPr>
              <w:t xml:space="preserve">TABUĽKA </w:t>
            </w:r>
            <w:r w:rsidRPr="00B14D03">
              <w:rPr>
                <w:b/>
                <w:color w:val="2C9ADC" w:themeColor="accent1"/>
                <w:sz w:val="20"/>
              </w:rPr>
              <w:fldChar w:fldCharType="begin"/>
            </w:r>
            <w:r w:rsidRPr="00B14D03">
              <w:rPr>
                <w:b/>
                <w:color w:val="2C9ADC" w:themeColor="accent1"/>
                <w:sz w:val="20"/>
              </w:rPr>
              <w:instrText xml:space="preserve"> SEQ TABUĽKA \* ARABIC </w:instrText>
            </w:r>
            <w:r w:rsidRPr="00B14D03">
              <w:rPr>
                <w:b/>
                <w:color w:val="2C9ADC" w:themeColor="accent1"/>
                <w:sz w:val="20"/>
              </w:rPr>
              <w:fldChar w:fldCharType="separate"/>
            </w:r>
            <w:r w:rsidR="007435E9">
              <w:rPr>
                <w:b/>
                <w:noProof/>
                <w:color w:val="2C9ADC" w:themeColor="accent1"/>
                <w:sz w:val="20"/>
              </w:rPr>
              <w:t>14</w:t>
            </w:r>
            <w:r w:rsidRPr="00B14D03">
              <w:rPr>
                <w:b/>
                <w:color w:val="2C9ADC" w:themeColor="accent1"/>
                <w:sz w:val="20"/>
              </w:rPr>
              <w:fldChar w:fldCharType="end"/>
            </w:r>
            <w:r w:rsidRPr="00B14D03">
              <w:rPr>
                <w:b/>
                <w:color w:val="2C9ADC" w:themeColor="accent1"/>
                <w:sz w:val="20"/>
              </w:rPr>
              <w:t xml:space="preserve"> –</w:t>
            </w:r>
            <w:r w:rsidRPr="00B14D03">
              <w:rPr>
                <w:rFonts w:cs="Times New Roman"/>
                <w:b/>
                <w:bCs/>
                <w:color w:val="2C9ADC" w:themeColor="accent1"/>
                <w:sz w:val="20"/>
              </w:rPr>
              <w:t xml:space="preserve"> Zoznam jednorazových a dočasných opatrení</w:t>
            </w:r>
            <w:bookmarkEnd w:id="230"/>
            <w:bookmarkEnd w:id="231"/>
            <w:bookmarkEnd w:id="232"/>
            <w:bookmarkEnd w:id="233"/>
            <w:bookmarkEnd w:id="234"/>
            <w:r w:rsidRPr="00B14D03">
              <w:rPr>
                <w:rFonts w:cs="Times New Roman"/>
                <w:b/>
                <w:bCs/>
                <w:color w:val="2C9ADC" w:themeColor="accent1"/>
                <w:sz w:val="20"/>
              </w:rPr>
              <w:t xml:space="preserve"> </w:t>
            </w:r>
          </w:p>
          <w:tbl>
            <w:tblPr>
              <w:tblW w:w="9107" w:type="dxa"/>
              <w:tblLayout w:type="fixed"/>
              <w:tblCellMar>
                <w:left w:w="70" w:type="dxa"/>
                <w:right w:w="70" w:type="dxa"/>
              </w:tblCellMar>
              <w:tblLook w:val="04A0" w:firstRow="1" w:lastRow="0" w:firstColumn="1" w:lastColumn="0" w:noHBand="0" w:noVBand="1"/>
            </w:tblPr>
            <w:tblGrid>
              <w:gridCol w:w="5725"/>
              <w:gridCol w:w="663"/>
              <w:gridCol w:w="663"/>
              <w:gridCol w:w="663"/>
              <w:gridCol w:w="663"/>
              <w:gridCol w:w="730"/>
            </w:tblGrid>
            <w:tr w:rsidR="000F6636" w:rsidRPr="007C2DC9" w14:paraId="468B6093" w14:textId="77777777" w:rsidTr="00484DB0">
              <w:trPr>
                <w:trHeight w:val="244"/>
              </w:trPr>
              <w:tc>
                <w:tcPr>
                  <w:tcW w:w="5725" w:type="dxa"/>
                  <w:tcBorders>
                    <w:top w:val="nil"/>
                    <w:left w:val="nil"/>
                    <w:bottom w:val="single" w:sz="8" w:space="0" w:color="auto"/>
                    <w:right w:val="nil"/>
                  </w:tcBorders>
                  <w:shd w:val="clear" w:color="auto" w:fill="auto"/>
                  <w:noWrap/>
                  <w:vAlign w:val="bottom"/>
                  <w:hideMark/>
                </w:tcPr>
                <w:p w14:paraId="0D576BF8" w14:textId="77777777" w:rsidR="000F6636" w:rsidRPr="00B35F2C" w:rsidRDefault="000F6636" w:rsidP="00484DB0">
                  <w:pPr>
                    <w:rPr>
                      <w:rFonts w:cs="Times New Roman"/>
                      <w:b/>
                      <w:bCs/>
                      <w:color w:val="000000"/>
                      <w:sz w:val="16"/>
                      <w:szCs w:val="16"/>
                    </w:rPr>
                  </w:pPr>
                  <w:r w:rsidRPr="00B35F2C">
                    <w:rPr>
                      <w:rFonts w:cs="Times New Roman"/>
                      <w:b/>
                      <w:bCs/>
                      <w:color w:val="000000"/>
                      <w:sz w:val="16"/>
                      <w:szCs w:val="16"/>
                    </w:rPr>
                    <w:t> (ESA 2010, v mil. eur)</w:t>
                  </w:r>
                </w:p>
              </w:tc>
              <w:tc>
                <w:tcPr>
                  <w:tcW w:w="663" w:type="dxa"/>
                  <w:tcBorders>
                    <w:top w:val="nil"/>
                    <w:left w:val="nil"/>
                    <w:bottom w:val="single" w:sz="8" w:space="0" w:color="auto"/>
                    <w:right w:val="nil"/>
                  </w:tcBorders>
                  <w:shd w:val="clear" w:color="auto" w:fill="auto"/>
                  <w:noWrap/>
                  <w:vAlign w:val="bottom"/>
                  <w:hideMark/>
                </w:tcPr>
                <w:p w14:paraId="6DD5BC91"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2023</w:t>
                  </w:r>
                </w:p>
              </w:tc>
              <w:tc>
                <w:tcPr>
                  <w:tcW w:w="663" w:type="dxa"/>
                  <w:tcBorders>
                    <w:top w:val="nil"/>
                    <w:left w:val="nil"/>
                    <w:bottom w:val="single" w:sz="8" w:space="0" w:color="auto"/>
                    <w:right w:val="nil"/>
                  </w:tcBorders>
                  <w:shd w:val="clear" w:color="auto" w:fill="auto"/>
                  <w:noWrap/>
                  <w:vAlign w:val="bottom"/>
                  <w:hideMark/>
                </w:tcPr>
                <w:p w14:paraId="3BAFFEB6"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2024</w:t>
                  </w:r>
                </w:p>
              </w:tc>
              <w:tc>
                <w:tcPr>
                  <w:tcW w:w="663" w:type="dxa"/>
                  <w:tcBorders>
                    <w:top w:val="nil"/>
                    <w:left w:val="nil"/>
                    <w:bottom w:val="single" w:sz="8" w:space="0" w:color="auto"/>
                    <w:right w:val="nil"/>
                  </w:tcBorders>
                  <w:shd w:val="clear" w:color="auto" w:fill="auto"/>
                  <w:noWrap/>
                  <w:vAlign w:val="bottom"/>
                  <w:hideMark/>
                </w:tcPr>
                <w:p w14:paraId="69CB65A7"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2025</w:t>
                  </w:r>
                </w:p>
              </w:tc>
              <w:tc>
                <w:tcPr>
                  <w:tcW w:w="663" w:type="dxa"/>
                  <w:tcBorders>
                    <w:top w:val="nil"/>
                    <w:left w:val="nil"/>
                    <w:bottom w:val="single" w:sz="8" w:space="0" w:color="auto"/>
                    <w:right w:val="nil"/>
                  </w:tcBorders>
                  <w:shd w:val="clear" w:color="auto" w:fill="auto"/>
                  <w:noWrap/>
                  <w:vAlign w:val="bottom"/>
                  <w:hideMark/>
                </w:tcPr>
                <w:p w14:paraId="3B07BA32"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2026</w:t>
                  </w:r>
                </w:p>
              </w:tc>
              <w:tc>
                <w:tcPr>
                  <w:tcW w:w="730" w:type="dxa"/>
                  <w:tcBorders>
                    <w:top w:val="nil"/>
                    <w:left w:val="nil"/>
                    <w:bottom w:val="single" w:sz="8" w:space="0" w:color="auto"/>
                    <w:right w:val="nil"/>
                  </w:tcBorders>
                  <w:shd w:val="clear" w:color="auto" w:fill="auto"/>
                  <w:noWrap/>
                  <w:vAlign w:val="bottom"/>
                  <w:hideMark/>
                </w:tcPr>
                <w:p w14:paraId="327ED3AD"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2027</w:t>
                  </w:r>
                </w:p>
              </w:tc>
            </w:tr>
            <w:tr w:rsidR="000F6636" w:rsidRPr="007C2DC9" w14:paraId="6FC3F609" w14:textId="77777777" w:rsidTr="00484DB0">
              <w:trPr>
                <w:trHeight w:val="234"/>
              </w:trPr>
              <w:tc>
                <w:tcPr>
                  <w:tcW w:w="5725" w:type="dxa"/>
                  <w:tcBorders>
                    <w:top w:val="nil"/>
                    <w:left w:val="nil"/>
                    <w:bottom w:val="nil"/>
                    <w:right w:val="nil"/>
                  </w:tcBorders>
                  <w:shd w:val="clear" w:color="auto" w:fill="auto"/>
                  <w:noWrap/>
                  <w:vAlign w:val="center"/>
                  <w:hideMark/>
                </w:tcPr>
                <w:p w14:paraId="6C04C13D" w14:textId="77777777" w:rsidR="000F6636" w:rsidRPr="00B35F2C" w:rsidRDefault="000F6636" w:rsidP="00484DB0">
                  <w:pPr>
                    <w:rPr>
                      <w:rFonts w:cs="Calibri"/>
                      <w:color w:val="000000"/>
                      <w:sz w:val="18"/>
                      <w:szCs w:val="18"/>
                    </w:rPr>
                  </w:pPr>
                  <w:r w:rsidRPr="00B35F2C">
                    <w:rPr>
                      <w:rFonts w:cs="Calibri"/>
                      <w:color w:val="000000"/>
                      <w:sz w:val="18"/>
                      <w:szCs w:val="18"/>
                    </w:rPr>
                    <w:t>Čistý vplyv opatrení vlády v boji s pandémiou COVID-19 (ponížený o preplatenie z EU fondov)</w:t>
                  </w:r>
                </w:p>
              </w:tc>
              <w:tc>
                <w:tcPr>
                  <w:tcW w:w="663" w:type="dxa"/>
                  <w:tcBorders>
                    <w:top w:val="single" w:sz="8" w:space="0" w:color="auto"/>
                    <w:left w:val="nil"/>
                    <w:bottom w:val="nil"/>
                    <w:right w:val="nil"/>
                  </w:tcBorders>
                  <w:shd w:val="clear" w:color="auto" w:fill="auto"/>
                  <w:vAlign w:val="center"/>
                  <w:hideMark/>
                </w:tcPr>
                <w:p w14:paraId="0D763933"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-91</w:t>
                  </w:r>
                </w:p>
              </w:tc>
              <w:tc>
                <w:tcPr>
                  <w:tcW w:w="663" w:type="dxa"/>
                  <w:tcBorders>
                    <w:top w:val="nil"/>
                    <w:left w:val="nil"/>
                    <w:bottom w:val="nil"/>
                    <w:right w:val="nil"/>
                  </w:tcBorders>
                  <w:shd w:val="clear" w:color="auto" w:fill="auto"/>
                  <w:vAlign w:val="center"/>
                  <w:hideMark/>
                </w:tcPr>
                <w:p w14:paraId="0B7D0CB5"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w:t>
                  </w:r>
                </w:p>
              </w:tc>
              <w:tc>
                <w:tcPr>
                  <w:tcW w:w="663" w:type="dxa"/>
                  <w:tcBorders>
                    <w:top w:val="nil"/>
                    <w:left w:val="nil"/>
                    <w:bottom w:val="nil"/>
                    <w:right w:val="nil"/>
                  </w:tcBorders>
                  <w:shd w:val="clear" w:color="auto" w:fill="auto"/>
                  <w:vAlign w:val="center"/>
                  <w:hideMark/>
                </w:tcPr>
                <w:p w14:paraId="575D318D"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663" w:type="dxa"/>
                  <w:tcBorders>
                    <w:top w:val="nil"/>
                    <w:left w:val="nil"/>
                    <w:bottom w:val="nil"/>
                    <w:right w:val="nil"/>
                  </w:tcBorders>
                  <w:shd w:val="clear" w:color="auto" w:fill="auto"/>
                  <w:vAlign w:val="center"/>
                  <w:hideMark/>
                </w:tcPr>
                <w:p w14:paraId="2D42D819"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730" w:type="dxa"/>
                  <w:tcBorders>
                    <w:top w:val="nil"/>
                    <w:left w:val="nil"/>
                    <w:bottom w:val="nil"/>
                    <w:right w:val="nil"/>
                  </w:tcBorders>
                  <w:shd w:val="clear" w:color="auto" w:fill="auto"/>
                  <w:vAlign w:val="center"/>
                  <w:hideMark/>
                </w:tcPr>
                <w:p w14:paraId="786903CE"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r>
            <w:tr w:rsidR="000F6636" w:rsidRPr="007C2DC9" w14:paraId="606B7549" w14:textId="77777777" w:rsidTr="00484DB0">
              <w:trPr>
                <w:trHeight w:val="234"/>
              </w:trPr>
              <w:tc>
                <w:tcPr>
                  <w:tcW w:w="5725" w:type="dxa"/>
                  <w:tcBorders>
                    <w:top w:val="nil"/>
                    <w:left w:val="nil"/>
                    <w:bottom w:val="nil"/>
                    <w:right w:val="nil"/>
                  </w:tcBorders>
                  <w:shd w:val="clear" w:color="auto" w:fill="auto"/>
                  <w:noWrap/>
                  <w:vAlign w:val="center"/>
                  <w:hideMark/>
                </w:tcPr>
                <w:p w14:paraId="4BC2AF61" w14:textId="77777777" w:rsidR="000F6636" w:rsidRPr="00B35F2C" w:rsidRDefault="000F6636" w:rsidP="00484DB0">
                  <w:pPr>
                    <w:rPr>
                      <w:rFonts w:cs="Calibri"/>
                      <w:color w:val="000000"/>
                      <w:sz w:val="18"/>
                      <w:szCs w:val="18"/>
                    </w:rPr>
                  </w:pPr>
                  <w:r w:rsidRPr="00B35F2C">
                    <w:rPr>
                      <w:rFonts w:cs="Calibri"/>
                      <w:color w:val="000000"/>
                      <w:sz w:val="18"/>
                      <w:szCs w:val="18"/>
                    </w:rPr>
                    <w:t>Čistý vplyv výdavkov vyvolaných vojnou na Ukrajine (ponížený o preplatenie z EU fondov)</w:t>
                  </w:r>
                </w:p>
              </w:tc>
              <w:tc>
                <w:tcPr>
                  <w:tcW w:w="663" w:type="dxa"/>
                  <w:tcBorders>
                    <w:top w:val="nil"/>
                    <w:left w:val="nil"/>
                    <w:bottom w:val="nil"/>
                    <w:right w:val="nil"/>
                  </w:tcBorders>
                  <w:shd w:val="clear" w:color="auto" w:fill="auto"/>
                  <w:vAlign w:val="center"/>
                  <w:hideMark/>
                </w:tcPr>
                <w:p w14:paraId="06CEFCAD"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-108</w:t>
                  </w:r>
                </w:p>
              </w:tc>
              <w:tc>
                <w:tcPr>
                  <w:tcW w:w="663" w:type="dxa"/>
                  <w:tcBorders>
                    <w:top w:val="nil"/>
                    <w:left w:val="nil"/>
                    <w:bottom w:val="nil"/>
                    <w:right w:val="nil"/>
                  </w:tcBorders>
                  <w:shd w:val="clear" w:color="auto" w:fill="auto"/>
                  <w:vAlign w:val="center"/>
                  <w:hideMark/>
                </w:tcPr>
                <w:p w14:paraId="4DC0238E"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-26</w:t>
                  </w:r>
                </w:p>
              </w:tc>
              <w:tc>
                <w:tcPr>
                  <w:tcW w:w="663" w:type="dxa"/>
                  <w:tcBorders>
                    <w:top w:val="nil"/>
                    <w:left w:val="nil"/>
                    <w:bottom w:val="nil"/>
                    <w:right w:val="nil"/>
                  </w:tcBorders>
                  <w:shd w:val="clear" w:color="auto" w:fill="auto"/>
                  <w:vAlign w:val="center"/>
                  <w:hideMark/>
                </w:tcPr>
                <w:p w14:paraId="5F20ECF4"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663" w:type="dxa"/>
                  <w:tcBorders>
                    <w:top w:val="nil"/>
                    <w:left w:val="nil"/>
                    <w:bottom w:val="nil"/>
                    <w:right w:val="nil"/>
                  </w:tcBorders>
                  <w:shd w:val="clear" w:color="auto" w:fill="auto"/>
                  <w:vAlign w:val="center"/>
                  <w:hideMark/>
                </w:tcPr>
                <w:p w14:paraId="0D2F3BD6"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730" w:type="dxa"/>
                  <w:tcBorders>
                    <w:top w:val="nil"/>
                    <w:left w:val="nil"/>
                    <w:bottom w:val="nil"/>
                    <w:right w:val="nil"/>
                  </w:tcBorders>
                  <w:shd w:val="clear" w:color="auto" w:fill="auto"/>
                  <w:vAlign w:val="center"/>
                  <w:hideMark/>
                </w:tcPr>
                <w:p w14:paraId="6817497F"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r>
            <w:tr w:rsidR="000F6636" w:rsidRPr="007C2DC9" w14:paraId="6F38CA39" w14:textId="77777777" w:rsidTr="00484DB0">
              <w:trPr>
                <w:trHeight w:val="234"/>
              </w:trPr>
              <w:tc>
                <w:tcPr>
                  <w:tcW w:w="5725" w:type="dxa"/>
                  <w:tcBorders>
                    <w:top w:val="nil"/>
                    <w:left w:val="nil"/>
                    <w:bottom w:val="nil"/>
                    <w:right w:val="nil"/>
                  </w:tcBorders>
                  <w:shd w:val="clear" w:color="auto" w:fill="auto"/>
                  <w:noWrap/>
                  <w:vAlign w:val="bottom"/>
                  <w:hideMark/>
                </w:tcPr>
                <w:p w14:paraId="157F5DCB" w14:textId="21694090" w:rsidR="000F6636" w:rsidRPr="00B35F2C" w:rsidRDefault="000F6636" w:rsidP="00484DB0">
                  <w:pPr>
                    <w:rPr>
                      <w:rFonts w:cs="Calibri"/>
                      <w:color w:val="000000"/>
                      <w:sz w:val="18"/>
                      <w:szCs w:val="18"/>
                    </w:rPr>
                  </w:pPr>
                  <w:r w:rsidRPr="00B35F2C">
                    <w:rPr>
                      <w:rFonts w:cs="Calibri"/>
                      <w:color w:val="000000"/>
                      <w:sz w:val="18"/>
                      <w:szCs w:val="18"/>
                    </w:rPr>
                    <w:t>Čistý vplyv schém podpory súvisiac</w:t>
                  </w:r>
                  <w:r w:rsidR="00EC7CA1">
                    <w:rPr>
                      <w:rFonts w:cs="Calibri"/>
                      <w:color w:val="000000"/>
                      <w:sz w:val="18"/>
                      <w:szCs w:val="18"/>
                    </w:rPr>
                    <w:t>ich</w:t>
                  </w:r>
                  <w:r w:rsidRPr="00B35F2C">
                    <w:rPr>
                      <w:rFonts w:cs="Calibri"/>
                      <w:color w:val="000000"/>
                      <w:sz w:val="18"/>
                      <w:szCs w:val="18"/>
                    </w:rPr>
                    <w:t xml:space="preserve"> </w:t>
                  </w:r>
                  <w:r w:rsidR="00EC7CA1">
                    <w:rPr>
                      <w:rFonts w:cs="Calibri"/>
                      <w:color w:val="000000"/>
                      <w:sz w:val="18"/>
                      <w:szCs w:val="18"/>
                    </w:rPr>
                    <w:t>s</w:t>
                  </w:r>
                  <w:r w:rsidRPr="00B35F2C">
                    <w:rPr>
                      <w:rFonts w:cs="Calibri"/>
                      <w:color w:val="000000"/>
                      <w:sz w:val="18"/>
                      <w:szCs w:val="18"/>
                    </w:rPr>
                    <w:t xml:space="preserve"> vysokými cenami energií (ponížený o preplatenie z EU fondov)</w:t>
                  </w:r>
                </w:p>
              </w:tc>
              <w:tc>
                <w:tcPr>
                  <w:tcW w:w="663" w:type="dxa"/>
                  <w:tcBorders>
                    <w:top w:val="nil"/>
                    <w:left w:val="nil"/>
                    <w:bottom w:val="nil"/>
                    <w:right w:val="nil"/>
                  </w:tcBorders>
                  <w:shd w:val="clear" w:color="auto" w:fill="auto"/>
                  <w:noWrap/>
                  <w:vAlign w:val="center"/>
                  <w:hideMark/>
                </w:tcPr>
                <w:p w14:paraId="523DFA47"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-1986</w:t>
                  </w:r>
                </w:p>
              </w:tc>
              <w:tc>
                <w:tcPr>
                  <w:tcW w:w="663" w:type="dxa"/>
                  <w:tcBorders>
                    <w:top w:val="nil"/>
                    <w:left w:val="nil"/>
                    <w:bottom w:val="nil"/>
                    <w:right w:val="nil"/>
                  </w:tcBorders>
                  <w:shd w:val="clear" w:color="auto" w:fill="auto"/>
                  <w:vAlign w:val="center"/>
                  <w:hideMark/>
                </w:tcPr>
                <w:p w14:paraId="2EB76536"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-800</w:t>
                  </w:r>
                </w:p>
              </w:tc>
              <w:tc>
                <w:tcPr>
                  <w:tcW w:w="663" w:type="dxa"/>
                  <w:tcBorders>
                    <w:top w:val="nil"/>
                    <w:left w:val="nil"/>
                    <w:bottom w:val="nil"/>
                    <w:right w:val="nil"/>
                  </w:tcBorders>
                  <w:shd w:val="clear" w:color="auto" w:fill="auto"/>
                  <w:vAlign w:val="center"/>
                  <w:hideMark/>
                </w:tcPr>
                <w:p w14:paraId="4CB2A647"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663" w:type="dxa"/>
                  <w:tcBorders>
                    <w:top w:val="nil"/>
                    <w:left w:val="nil"/>
                    <w:bottom w:val="nil"/>
                    <w:right w:val="nil"/>
                  </w:tcBorders>
                  <w:shd w:val="clear" w:color="auto" w:fill="auto"/>
                  <w:vAlign w:val="center"/>
                  <w:hideMark/>
                </w:tcPr>
                <w:p w14:paraId="7CA1CD94"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730" w:type="dxa"/>
                  <w:tcBorders>
                    <w:top w:val="nil"/>
                    <w:left w:val="nil"/>
                    <w:bottom w:val="nil"/>
                    <w:right w:val="nil"/>
                  </w:tcBorders>
                  <w:shd w:val="clear" w:color="auto" w:fill="auto"/>
                  <w:vAlign w:val="center"/>
                  <w:hideMark/>
                </w:tcPr>
                <w:p w14:paraId="66589429"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r>
            <w:tr w:rsidR="000F6636" w:rsidRPr="007C2DC9" w14:paraId="3DC9E81A" w14:textId="77777777" w:rsidTr="00484DB0">
              <w:trPr>
                <w:trHeight w:val="234"/>
              </w:trPr>
              <w:tc>
                <w:tcPr>
                  <w:tcW w:w="5725" w:type="dxa"/>
                  <w:tcBorders>
                    <w:top w:val="nil"/>
                    <w:left w:val="nil"/>
                    <w:right w:val="nil"/>
                  </w:tcBorders>
                  <w:shd w:val="clear" w:color="auto" w:fill="auto"/>
                  <w:noWrap/>
                  <w:vAlign w:val="bottom"/>
                  <w:hideMark/>
                </w:tcPr>
                <w:p w14:paraId="70B2EB09" w14:textId="77777777" w:rsidR="000F6636" w:rsidRPr="00B35F2C" w:rsidRDefault="000F6636" w:rsidP="00484DB0">
                  <w:pPr>
                    <w:rPr>
                      <w:rFonts w:cs="Calibri"/>
                      <w:color w:val="000000"/>
                      <w:sz w:val="18"/>
                      <w:szCs w:val="18"/>
                    </w:rPr>
                  </w:pPr>
                  <w:r w:rsidRPr="00B35F2C">
                    <w:rPr>
                      <w:rFonts w:cs="Calibri"/>
                      <w:color w:val="000000"/>
                      <w:sz w:val="18"/>
                      <w:szCs w:val="18"/>
                    </w:rPr>
                    <w:t>Dočasné príjmy z nariadenia EÚ ohľadom nadmerných ziskov</w:t>
                  </w:r>
                </w:p>
              </w:tc>
              <w:tc>
                <w:tcPr>
                  <w:tcW w:w="663" w:type="dxa"/>
                  <w:tcBorders>
                    <w:top w:val="nil"/>
                    <w:left w:val="nil"/>
                    <w:right w:val="nil"/>
                  </w:tcBorders>
                  <w:shd w:val="clear" w:color="auto" w:fill="auto"/>
                  <w:noWrap/>
                  <w:vAlign w:val="bottom"/>
                  <w:hideMark/>
                </w:tcPr>
                <w:p w14:paraId="1AEF9BB4"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329</w:t>
                  </w:r>
                </w:p>
              </w:tc>
              <w:tc>
                <w:tcPr>
                  <w:tcW w:w="663" w:type="dxa"/>
                  <w:tcBorders>
                    <w:top w:val="nil"/>
                    <w:left w:val="nil"/>
                    <w:right w:val="nil"/>
                  </w:tcBorders>
                  <w:shd w:val="clear" w:color="auto" w:fill="auto"/>
                  <w:vAlign w:val="bottom"/>
                  <w:hideMark/>
                </w:tcPr>
                <w:p w14:paraId="7534FD5D"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129</w:t>
                  </w:r>
                </w:p>
              </w:tc>
              <w:tc>
                <w:tcPr>
                  <w:tcW w:w="663" w:type="dxa"/>
                  <w:tcBorders>
                    <w:top w:val="nil"/>
                    <w:left w:val="nil"/>
                    <w:right w:val="nil"/>
                  </w:tcBorders>
                  <w:shd w:val="clear" w:color="auto" w:fill="auto"/>
                  <w:vAlign w:val="center"/>
                  <w:hideMark/>
                </w:tcPr>
                <w:p w14:paraId="0CE8C2BD"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663" w:type="dxa"/>
                  <w:tcBorders>
                    <w:top w:val="nil"/>
                    <w:left w:val="nil"/>
                    <w:right w:val="nil"/>
                  </w:tcBorders>
                  <w:shd w:val="clear" w:color="auto" w:fill="auto"/>
                  <w:vAlign w:val="center"/>
                  <w:hideMark/>
                </w:tcPr>
                <w:p w14:paraId="58837A24"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730" w:type="dxa"/>
                  <w:tcBorders>
                    <w:top w:val="nil"/>
                    <w:left w:val="nil"/>
                    <w:right w:val="nil"/>
                  </w:tcBorders>
                  <w:shd w:val="clear" w:color="auto" w:fill="auto"/>
                  <w:vAlign w:val="center"/>
                  <w:hideMark/>
                </w:tcPr>
                <w:p w14:paraId="46F19ABC"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r>
            <w:tr w:rsidR="000F6636" w:rsidRPr="007C2DC9" w14:paraId="2C79C7BC" w14:textId="77777777" w:rsidTr="00484DB0">
              <w:trPr>
                <w:trHeight w:val="234"/>
              </w:trPr>
              <w:tc>
                <w:tcPr>
                  <w:tcW w:w="5725" w:type="dxa"/>
                  <w:tcBorders>
                    <w:top w:val="nil"/>
                    <w:left w:val="nil"/>
                    <w:bottom w:val="single" w:sz="4" w:space="0" w:color="auto"/>
                    <w:right w:val="nil"/>
                  </w:tcBorders>
                  <w:shd w:val="clear" w:color="auto" w:fill="auto"/>
                  <w:noWrap/>
                  <w:vAlign w:val="bottom"/>
                  <w:hideMark/>
                </w:tcPr>
                <w:p w14:paraId="05DA0411" w14:textId="77777777" w:rsidR="000F6636" w:rsidRPr="00B35F2C" w:rsidRDefault="000F6636" w:rsidP="00484DB0">
                  <w:pPr>
                    <w:rPr>
                      <w:rFonts w:cs="Calibri"/>
                      <w:color w:val="000000"/>
                      <w:sz w:val="18"/>
                      <w:szCs w:val="18"/>
                    </w:rPr>
                  </w:pPr>
                  <w:r w:rsidRPr="00B35F2C">
                    <w:rPr>
                      <w:rFonts w:cs="Calibri"/>
                      <w:color w:val="000000"/>
                      <w:sz w:val="18"/>
                      <w:szCs w:val="18"/>
                    </w:rPr>
                    <w:t>Cenové stropy pre výrobcov elektrickej energie</w:t>
                  </w:r>
                </w:p>
              </w:tc>
              <w:tc>
                <w:tcPr>
                  <w:tcW w:w="663" w:type="dxa"/>
                  <w:tcBorders>
                    <w:top w:val="nil"/>
                    <w:left w:val="nil"/>
                    <w:bottom w:val="single" w:sz="4" w:space="0" w:color="auto"/>
                    <w:right w:val="nil"/>
                  </w:tcBorders>
                  <w:shd w:val="clear" w:color="auto" w:fill="auto"/>
                  <w:noWrap/>
                  <w:vAlign w:val="center"/>
                  <w:hideMark/>
                </w:tcPr>
                <w:p w14:paraId="17DAB2C1"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30</w:t>
                  </w:r>
                </w:p>
              </w:tc>
              <w:tc>
                <w:tcPr>
                  <w:tcW w:w="663" w:type="dxa"/>
                  <w:tcBorders>
                    <w:top w:val="nil"/>
                    <w:left w:val="nil"/>
                    <w:bottom w:val="single" w:sz="4" w:space="0" w:color="auto"/>
                    <w:right w:val="nil"/>
                  </w:tcBorders>
                  <w:shd w:val="clear" w:color="auto" w:fill="auto"/>
                  <w:vAlign w:val="center"/>
                  <w:hideMark/>
                </w:tcPr>
                <w:p w14:paraId="3C0860E4" w14:textId="77777777" w:rsidR="000F6636" w:rsidRPr="00B35F2C" w:rsidRDefault="000F6636" w:rsidP="00484DB0">
                  <w:pPr>
                    <w:jc w:val="center"/>
                    <w:rPr>
                      <w:rFonts w:cs="Calibri"/>
                      <w:color w:val="000000"/>
                      <w:sz w:val="18"/>
                      <w:szCs w:val="18"/>
                      <w:highlight w:val="yellow"/>
                    </w:rPr>
                  </w:pPr>
                  <w:r w:rsidRPr="00B35F2C">
                    <w:rPr>
                      <w:rFonts w:cs="Calibri"/>
                      <w:color w:val="000000"/>
                      <w:sz w:val="18"/>
                      <w:szCs w:val="18"/>
                    </w:rPr>
                    <w:t>5</w:t>
                  </w:r>
                </w:p>
              </w:tc>
              <w:tc>
                <w:tcPr>
                  <w:tcW w:w="663" w:type="dxa"/>
                  <w:tcBorders>
                    <w:top w:val="nil"/>
                    <w:left w:val="nil"/>
                    <w:bottom w:val="single" w:sz="4" w:space="0" w:color="auto"/>
                    <w:right w:val="nil"/>
                  </w:tcBorders>
                  <w:shd w:val="clear" w:color="auto" w:fill="auto"/>
                  <w:vAlign w:val="center"/>
                  <w:hideMark/>
                </w:tcPr>
                <w:p w14:paraId="2879EF4F"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663" w:type="dxa"/>
                  <w:tcBorders>
                    <w:top w:val="nil"/>
                    <w:left w:val="nil"/>
                    <w:bottom w:val="single" w:sz="4" w:space="0" w:color="auto"/>
                    <w:right w:val="nil"/>
                  </w:tcBorders>
                  <w:shd w:val="clear" w:color="auto" w:fill="auto"/>
                  <w:vAlign w:val="center"/>
                  <w:hideMark/>
                </w:tcPr>
                <w:p w14:paraId="68DE736D"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c>
                <w:tcPr>
                  <w:tcW w:w="730" w:type="dxa"/>
                  <w:tcBorders>
                    <w:top w:val="nil"/>
                    <w:left w:val="nil"/>
                    <w:bottom w:val="single" w:sz="4" w:space="0" w:color="auto"/>
                    <w:right w:val="nil"/>
                  </w:tcBorders>
                  <w:shd w:val="clear" w:color="auto" w:fill="auto"/>
                  <w:vAlign w:val="center"/>
                  <w:hideMark/>
                </w:tcPr>
                <w:p w14:paraId="38FF129C" w14:textId="77777777" w:rsidR="000F6636" w:rsidRPr="00B35F2C" w:rsidRDefault="000F6636" w:rsidP="00484DB0">
                  <w:pPr>
                    <w:jc w:val="center"/>
                    <w:rPr>
                      <w:rFonts w:cs="Calibri"/>
                      <w:color w:val="000000"/>
                      <w:sz w:val="18"/>
                      <w:szCs w:val="18"/>
                    </w:rPr>
                  </w:pPr>
                  <w:r w:rsidRPr="00B35F2C">
                    <w:rPr>
                      <w:rFonts w:cs="Calibri"/>
                      <w:color w:val="000000"/>
                      <w:sz w:val="18"/>
                      <w:szCs w:val="18"/>
                    </w:rPr>
                    <w:t>-</w:t>
                  </w:r>
                </w:p>
              </w:tc>
            </w:tr>
            <w:tr w:rsidR="000F6636" w:rsidRPr="007C2DC9" w14:paraId="484098C7" w14:textId="77777777" w:rsidTr="00484DB0">
              <w:trPr>
                <w:trHeight w:val="64"/>
              </w:trPr>
              <w:tc>
                <w:tcPr>
                  <w:tcW w:w="5725" w:type="dxa"/>
                  <w:tcBorders>
                    <w:top w:val="single" w:sz="4" w:space="0" w:color="auto"/>
                    <w:left w:val="nil"/>
                    <w:bottom w:val="nil"/>
                    <w:right w:val="nil"/>
                  </w:tcBorders>
                  <w:shd w:val="clear" w:color="auto" w:fill="auto"/>
                  <w:noWrap/>
                  <w:vAlign w:val="bottom"/>
                  <w:hideMark/>
                </w:tcPr>
                <w:p w14:paraId="56F041B3" w14:textId="77777777" w:rsidR="000F6636" w:rsidRPr="00B35F2C" w:rsidRDefault="000F6636" w:rsidP="00484DB0">
                  <w:pPr>
                    <w:rPr>
                      <w:rFonts w:cs="Calibri"/>
                      <w:b/>
                      <w:bCs/>
                      <w:color w:val="000000"/>
                      <w:sz w:val="18"/>
                      <w:szCs w:val="18"/>
                    </w:rPr>
                  </w:pPr>
                  <w:r w:rsidRPr="00B35F2C">
                    <w:rPr>
                      <w:rFonts w:cs="Calibri"/>
                      <w:b/>
                      <w:bCs/>
                      <w:color w:val="000000"/>
                      <w:sz w:val="18"/>
                      <w:szCs w:val="18"/>
                    </w:rPr>
                    <w:t xml:space="preserve">Spolu  </w:t>
                  </w:r>
                </w:p>
              </w:tc>
              <w:tc>
                <w:tcPr>
                  <w:tcW w:w="663" w:type="dxa"/>
                  <w:tcBorders>
                    <w:top w:val="single" w:sz="4" w:space="0" w:color="auto"/>
                    <w:left w:val="nil"/>
                    <w:bottom w:val="nil"/>
                    <w:right w:val="nil"/>
                  </w:tcBorders>
                  <w:shd w:val="clear" w:color="auto" w:fill="auto"/>
                  <w:noWrap/>
                  <w:vAlign w:val="bottom"/>
                  <w:hideMark/>
                </w:tcPr>
                <w:p w14:paraId="5A155807" w14:textId="77777777" w:rsidR="000F6636" w:rsidRPr="00B35F2C" w:rsidRDefault="000F6636" w:rsidP="00484DB0">
                  <w:pPr>
                    <w:jc w:val="center"/>
                    <w:rPr>
                      <w:rFonts w:cs="Calibri"/>
                      <w:b/>
                      <w:bCs/>
                      <w:color w:val="000000"/>
                      <w:sz w:val="18"/>
                      <w:szCs w:val="18"/>
                      <w:highlight w:val="yellow"/>
                    </w:rPr>
                  </w:pPr>
                  <w:r w:rsidRPr="00B35F2C">
                    <w:rPr>
                      <w:rFonts w:cs="Calibri"/>
                      <w:b/>
                      <w:bCs/>
                      <w:color w:val="000000"/>
                      <w:sz w:val="18"/>
                      <w:szCs w:val="18"/>
                    </w:rPr>
                    <w:t>-1827</w:t>
                  </w:r>
                </w:p>
              </w:tc>
              <w:tc>
                <w:tcPr>
                  <w:tcW w:w="663" w:type="dxa"/>
                  <w:tcBorders>
                    <w:top w:val="single" w:sz="4" w:space="0" w:color="auto"/>
                    <w:left w:val="nil"/>
                    <w:bottom w:val="nil"/>
                    <w:right w:val="nil"/>
                  </w:tcBorders>
                  <w:shd w:val="clear" w:color="auto" w:fill="auto"/>
                  <w:vAlign w:val="bottom"/>
                  <w:hideMark/>
                </w:tcPr>
                <w:p w14:paraId="7FDEE2E0" w14:textId="77777777" w:rsidR="000F6636" w:rsidRPr="00B35F2C" w:rsidRDefault="000F6636" w:rsidP="00484DB0">
                  <w:pPr>
                    <w:jc w:val="center"/>
                    <w:rPr>
                      <w:rFonts w:cs="Calibri"/>
                      <w:b/>
                      <w:bCs/>
                      <w:color w:val="000000"/>
                      <w:sz w:val="18"/>
                      <w:szCs w:val="18"/>
                      <w:highlight w:val="yellow"/>
                    </w:rPr>
                  </w:pPr>
                  <w:r w:rsidRPr="00B35F2C">
                    <w:rPr>
                      <w:rFonts w:cs="Calibri"/>
                      <w:b/>
                      <w:bCs/>
                      <w:color w:val="000000"/>
                      <w:sz w:val="18"/>
                      <w:szCs w:val="18"/>
                    </w:rPr>
                    <w:t>-692</w:t>
                  </w:r>
                </w:p>
              </w:tc>
              <w:tc>
                <w:tcPr>
                  <w:tcW w:w="663" w:type="dxa"/>
                  <w:tcBorders>
                    <w:top w:val="single" w:sz="4" w:space="0" w:color="auto"/>
                    <w:left w:val="nil"/>
                    <w:bottom w:val="nil"/>
                    <w:right w:val="nil"/>
                  </w:tcBorders>
                  <w:shd w:val="clear" w:color="auto" w:fill="auto"/>
                  <w:vAlign w:val="bottom"/>
                  <w:hideMark/>
                </w:tcPr>
                <w:p w14:paraId="24B29F84"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0</w:t>
                  </w:r>
                </w:p>
              </w:tc>
              <w:tc>
                <w:tcPr>
                  <w:tcW w:w="663" w:type="dxa"/>
                  <w:tcBorders>
                    <w:top w:val="single" w:sz="4" w:space="0" w:color="auto"/>
                    <w:left w:val="nil"/>
                    <w:bottom w:val="nil"/>
                    <w:right w:val="nil"/>
                  </w:tcBorders>
                  <w:shd w:val="clear" w:color="auto" w:fill="auto"/>
                  <w:vAlign w:val="bottom"/>
                  <w:hideMark/>
                </w:tcPr>
                <w:p w14:paraId="739E5368"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0</w:t>
                  </w:r>
                </w:p>
              </w:tc>
              <w:tc>
                <w:tcPr>
                  <w:tcW w:w="730" w:type="dxa"/>
                  <w:tcBorders>
                    <w:top w:val="single" w:sz="4" w:space="0" w:color="auto"/>
                    <w:left w:val="nil"/>
                    <w:bottom w:val="nil"/>
                    <w:right w:val="nil"/>
                  </w:tcBorders>
                  <w:shd w:val="clear" w:color="auto" w:fill="auto"/>
                  <w:vAlign w:val="bottom"/>
                  <w:hideMark/>
                </w:tcPr>
                <w:p w14:paraId="1BF2AF6D" w14:textId="77777777" w:rsidR="000F6636" w:rsidRPr="00B35F2C" w:rsidRDefault="000F6636" w:rsidP="00484DB0">
                  <w:pPr>
                    <w:jc w:val="center"/>
                    <w:rPr>
                      <w:rFonts w:cs="Calibri"/>
                      <w:b/>
                      <w:bCs/>
                      <w:color w:val="000000"/>
                      <w:sz w:val="18"/>
                      <w:szCs w:val="18"/>
                    </w:rPr>
                  </w:pPr>
                  <w:r w:rsidRPr="00B35F2C">
                    <w:rPr>
                      <w:rFonts w:cs="Calibri"/>
                      <w:b/>
                      <w:bCs/>
                      <w:color w:val="000000"/>
                      <w:sz w:val="18"/>
                      <w:szCs w:val="18"/>
                    </w:rPr>
                    <w:t>0</w:t>
                  </w:r>
                </w:p>
              </w:tc>
            </w:tr>
          </w:tbl>
          <w:p w14:paraId="7131DC43" w14:textId="77777777" w:rsidR="000F6636" w:rsidRPr="007C2DC9" w:rsidRDefault="000F6636" w:rsidP="00484DB0">
            <w:pPr>
              <w:spacing w:before="240"/>
              <w:rPr>
                <w:rFonts w:cs="Times New Roman"/>
                <w:b/>
                <w:bCs/>
                <w:color w:val="2C9ADC" w:themeColor="accent1"/>
                <w:highlight w:val="yellow"/>
              </w:rPr>
            </w:pPr>
          </w:p>
        </w:tc>
      </w:tr>
      <w:tr w:rsidR="000F6636" w:rsidRPr="007C2DC9" w14:paraId="1867509B" w14:textId="77777777" w:rsidTr="00484DB0">
        <w:trPr>
          <w:trHeight w:val="308"/>
        </w:trPr>
        <w:tc>
          <w:tcPr>
            <w:tcW w:w="7651" w:type="dxa"/>
            <w:tcBorders>
              <w:top w:val="single" w:sz="8" w:space="0" w:color="auto"/>
              <w:left w:val="nil"/>
              <w:bottom w:val="nil"/>
              <w:right w:val="nil"/>
            </w:tcBorders>
            <w:shd w:val="clear" w:color="auto" w:fill="auto"/>
            <w:vAlign w:val="center"/>
            <w:hideMark/>
          </w:tcPr>
          <w:p w14:paraId="2FEA5720" w14:textId="77777777" w:rsidR="000F6636" w:rsidRPr="00C32637" w:rsidRDefault="000F6636" w:rsidP="00484DB0">
            <w:pPr>
              <w:rPr>
                <w:rFonts w:cs="Times New Roman"/>
                <w:color w:val="000000"/>
                <w:sz w:val="14"/>
                <w:szCs w:val="14"/>
              </w:rPr>
            </w:pPr>
          </w:p>
        </w:tc>
        <w:tc>
          <w:tcPr>
            <w:tcW w:w="1419" w:type="dxa"/>
            <w:tcBorders>
              <w:top w:val="single" w:sz="8" w:space="0" w:color="auto"/>
              <w:left w:val="nil"/>
              <w:bottom w:val="nil"/>
              <w:right w:val="nil"/>
            </w:tcBorders>
            <w:shd w:val="clear" w:color="auto" w:fill="auto"/>
            <w:noWrap/>
            <w:vAlign w:val="center"/>
            <w:hideMark/>
          </w:tcPr>
          <w:p w14:paraId="4C1D3AD8" w14:textId="77777777" w:rsidR="000F6636" w:rsidRPr="00C32637" w:rsidRDefault="000F6636" w:rsidP="00484DB0">
            <w:pPr>
              <w:jc w:val="right"/>
              <w:rPr>
                <w:rFonts w:cs="Times New Roman"/>
                <w:i/>
                <w:color w:val="000000"/>
                <w:sz w:val="16"/>
                <w:szCs w:val="16"/>
              </w:rPr>
            </w:pPr>
            <w:r w:rsidRPr="00C32637">
              <w:rPr>
                <w:rFonts w:cs="Times New Roman"/>
                <w:i/>
                <w:color w:val="000000"/>
                <w:sz w:val="16"/>
                <w:szCs w:val="16"/>
              </w:rPr>
              <w:t>Zdroj: MF SR</w:t>
            </w:r>
          </w:p>
        </w:tc>
      </w:tr>
    </w:tbl>
    <w:p w14:paraId="4E8BFF82" w14:textId="77777777" w:rsidR="000F6636" w:rsidRPr="007C2DC9" w:rsidRDefault="000F6636" w:rsidP="000F6636">
      <w:pPr>
        <w:rPr>
          <w:b/>
          <w:color w:val="2C9ADC"/>
          <w:sz w:val="24"/>
          <w:szCs w:val="24"/>
          <w:highlight w:val="yellow"/>
        </w:rPr>
      </w:pPr>
      <w:r w:rsidRPr="007C2DC9">
        <w:rPr>
          <w:b/>
          <w:color w:val="2C9ADC"/>
          <w:sz w:val="24"/>
          <w:szCs w:val="24"/>
          <w:highlight w:val="yellow"/>
        </w:rPr>
        <w:br w:type="page"/>
      </w:r>
    </w:p>
    <w:p w14:paraId="6BD5F6B7" w14:textId="77777777" w:rsidR="000F6636" w:rsidRPr="00F23255" w:rsidRDefault="000F6636" w:rsidP="000F6636">
      <w:pPr>
        <w:spacing w:before="360" w:after="240"/>
        <w:jc w:val="both"/>
        <w:rPr>
          <w:b/>
          <w:color w:val="2C9ADC"/>
          <w:sz w:val="24"/>
          <w:szCs w:val="24"/>
        </w:rPr>
      </w:pPr>
      <w:r w:rsidRPr="00F23255">
        <w:rPr>
          <w:b/>
          <w:color w:val="2C9ADC"/>
          <w:sz w:val="24"/>
          <w:szCs w:val="24"/>
        </w:rPr>
        <w:lastRenderedPageBreak/>
        <w:t>Príloha 5 – Diskrečné opatrenia (DRM a DEM)</w:t>
      </w:r>
    </w:p>
    <w:p w14:paraId="0A66B82E" w14:textId="77777777" w:rsidR="000F6636" w:rsidRPr="00F23255" w:rsidRDefault="000F6636" w:rsidP="000F6636">
      <w:pPr>
        <w:jc w:val="both"/>
      </w:pPr>
      <w:r w:rsidRPr="00F23255">
        <w:t>Metodika EK definuje diskrečné príjmové opatrenia ako opatrenia legislatívneho charakteru</w:t>
      </w:r>
      <w:r w:rsidRPr="00F23255">
        <w:rPr>
          <w:rStyle w:val="Odkaznapoznmkupodiarou"/>
        </w:rPr>
        <w:footnoteReference w:id="50"/>
      </w:r>
      <w:r w:rsidRPr="00F23255">
        <w:t xml:space="preserve"> s vplyvom na príjmy verejnej správy. Ich vyhodnocovanie sa uskutočňuje pomocou tzv. dodatočných vplyvov (marginálnych zmien) týchto opatrení. Rozlišuje sa, či sa jedná o trvalé alebo jednorazové opatrenie. Trvalé opatrenie sa zaznamená s vplyvom v prvom roku (v čase nadobudnutia účinnosti) a v ostatných rokoch bez vplyvu. Inými slovami, zmena vplyvu opatrenia v nasledujúcich rokoch z dôvodu makroekonomického vývoja sa nezohľadňuje. Ak dochádza k rozdielnym vplyvom kvôli posunutej platnosti opatrenia zaznamená sa len marginálna zmena.</w:t>
      </w:r>
      <w:r w:rsidRPr="00F23255">
        <w:rPr>
          <w:rStyle w:val="Odkaznapoznmkupodiarou"/>
        </w:rPr>
        <w:footnoteReference w:id="51"/>
      </w:r>
      <w:r w:rsidRPr="00F23255">
        <w:t xml:space="preserve"> Pri jednorazových príjmových opatreniach sa zaznamenáva vplyv v jednom roku a v nasledujúcom výpadok v rovnakej sume, tzn. celkový vplyv opatrenia v dvoch po sebe idúcich rokoch je nulový.</w:t>
      </w:r>
    </w:p>
    <w:p w14:paraId="21B46D31" w14:textId="77777777" w:rsidR="000F6636" w:rsidRPr="00F23255" w:rsidRDefault="000F6636" w:rsidP="000F6636">
      <w:pPr>
        <w:jc w:val="both"/>
      </w:pPr>
    </w:p>
    <w:p w14:paraId="21CDB849" w14:textId="5197EBB2" w:rsidR="000F6636" w:rsidRPr="00F23255" w:rsidRDefault="000F6636" w:rsidP="000F6636">
      <w:pPr>
        <w:pStyle w:val="Tabuka"/>
      </w:pPr>
      <w:bookmarkStart w:id="235" w:name="_Toc526783499"/>
      <w:bookmarkStart w:id="236" w:name="_Toc53500239"/>
      <w:bookmarkStart w:id="237" w:name="_Toc85887950"/>
      <w:bookmarkStart w:id="238" w:name="_Toc117765238"/>
      <w:bookmarkStart w:id="239" w:name="_Toc153185524"/>
      <w:bookmarkStart w:id="240" w:name="_Toc164684564"/>
      <w:r w:rsidRPr="00F23255">
        <w:t xml:space="preserve">TABUĽKA </w:t>
      </w:r>
      <w:fldSimple w:instr=" SEQ TABUĽKA \* ARABIC ">
        <w:r w:rsidR="007435E9">
          <w:rPr>
            <w:noProof/>
          </w:rPr>
          <w:t>15</w:t>
        </w:r>
      </w:fldSimple>
      <w:r w:rsidRPr="00F23255">
        <w:t xml:space="preserve"> – Diskrečné príjmové opatrenia – medziročné vplyvy opatrení (mil. eur, ESA2010)</w:t>
      </w:r>
      <w:bookmarkEnd w:id="235"/>
      <w:bookmarkEnd w:id="236"/>
      <w:bookmarkEnd w:id="237"/>
      <w:bookmarkEnd w:id="238"/>
      <w:bookmarkEnd w:id="239"/>
      <w:bookmarkEnd w:id="240"/>
    </w:p>
    <w:tbl>
      <w:tblPr>
        <w:tblW w:w="9072" w:type="dxa"/>
        <w:tblCellMar>
          <w:left w:w="70" w:type="dxa"/>
          <w:right w:w="70" w:type="dxa"/>
        </w:tblCellMar>
        <w:tblLook w:val="04A0" w:firstRow="1" w:lastRow="0" w:firstColumn="1" w:lastColumn="0" w:noHBand="0" w:noVBand="1"/>
      </w:tblPr>
      <w:tblGrid>
        <w:gridCol w:w="6237"/>
        <w:gridCol w:w="567"/>
        <w:gridCol w:w="567"/>
        <w:gridCol w:w="567"/>
        <w:gridCol w:w="567"/>
        <w:gridCol w:w="567"/>
      </w:tblGrid>
      <w:tr w:rsidR="000F6636" w:rsidRPr="007C2DC9" w14:paraId="6159EAB2" w14:textId="77777777" w:rsidTr="00484DB0">
        <w:trPr>
          <w:trHeight w:val="26"/>
        </w:trPr>
        <w:tc>
          <w:tcPr>
            <w:tcW w:w="6237" w:type="dxa"/>
            <w:tcBorders>
              <w:top w:val="single" w:sz="4" w:space="0" w:color="auto"/>
              <w:left w:val="nil"/>
              <w:bottom w:val="single" w:sz="8" w:space="0" w:color="auto"/>
              <w:right w:val="nil"/>
            </w:tcBorders>
            <w:shd w:val="clear" w:color="auto" w:fill="auto"/>
            <w:noWrap/>
            <w:vAlign w:val="center"/>
            <w:hideMark/>
          </w:tcPr>
          <w:p w14:paraId="6C2386EF" w14:textId="77777777" w:rsidR="000F6636" w:rsidRPr="00CD565F" w:rsidRDefault="000F6636" w:rsidP="00484DB0">
            <w:pPr>
              <w:rPr>
                <w:rFonts w:cs="Times New Roman"/>
                <w:b/>
                <w:bCs/>
                <w:color w:val="000000"/>
                <w:sz w:val="18"/>
                <w:szCs w:val="18"/>
              </w:rPr>
            </w:pPr>
            <w:r w:rsidRPr="00CD565F">
              <w:rPr>
                <w:rFonts w:cs="Times New Roman"/>
                <w:b/>
                <w:bCs/>
                <w:color w:val="000000"/>
                <w:sz w:val="18"/>
                <w:szCs w:val="18"/>
              </w:rPr>
              <w:t>Popis</w:t>
            </w:r>
          </w:p>
        </w:tc>
        <w:tc>
          <w:tcPr>
            <w:tcW w:w="567" w:type="dxa"/>
            <w:tcBorders>
              <w:top w:val="single" w:sz="4" w:space="0" w:color="auto"/>
              <w:left w:val="nil"/>
              <w:bottom w:val="single" w:sz="8" w:space="0" w:color="auto"/>
              <w:right w:val="nil"/>
            </w:tcBorders>
            <w:shd w:val="clear" w:color="auto" w:fill="auto"/>
            <w:noWrap/>
            <w:vAlign w:val="center"/>
            <w:hideMark/>
          </w:tcPr>
          <w:p w14:paraId="29FC646E" w14:textId="77777777" w:rsidR="000F6636" w:rsidRPr="00CD565F" w:rsidRDefault="000F6636" w:rsidP="00484DB0">
            <w:pPr>
              <w:jc w:val="center"/>
              <w:rPr>
                <w:rFonts w:cs="Times New Roman"/>
                <w:b/>
                <w:bCs/>
                <w:color w:val="000000"/>
                <w:sz w:val="18"/>
                <w:szCs w:val="18"/>
              </w:rPr>
            </w:pPr>
            <w:r w:rsidRPr="00CD565F">
              <w:rPr>
                <w:rFonts w:cs="Times New Roman"/>
                <w:b/>
                <w:bCs/>
                <w:color w:val="000000"/>
                <w:sz w:val="18"/>
                <w:szCs w:val="18"/>
              </w:rPr>
              <w:t>2023</w:t>
            </w:r>
          </w:p>
        </w:tc>
        <w:tc>
          <w:tcPr>
            <w:tcW w:w="567" w:type="dxa"/>
            <w:tcBorders>
              <w:top w:val="single" w:sz="4" w:space="0" w:color="auto"/>
              <w:left w:val="nil"/>
              <w:bottom w:val="single" w:sz="8" w:space="0" w:color="auto"/>
              <w:right w:val="nil"/>
            </w:tcBorders>
            <w:shd w:val="clear" w:color="auto" w:fill="auto"/>
            <w:noWrap/>
            <w:hideMark/>
          </w:tcPr>
          <w:p w14:paraId="52A58F20" w14:textId="77777777" w:rsidR="000F6636" w:rsidRPr="00CD565F" w:rsidRDefault="000F6636" w:rsidP="00484DB0">
            <w:pPr>
              <w:jc w:val="center"/>
              <w:rPr>
                <w:rFonts w:cs="Times New Roman"/>
                <w:b/>
                <w:bCs/>
                <w:color w:val="000000"/>
                <w:sz w:val="18"/>
                <w:szCs w:val="18"/>
              </w:rPr>
            </w:pPr>
            <w:r w:rsidRPr="00CD565F">
              <w:rPr>
                <w:rFonts w:cs="Times New Roman"/>
                <w:b/>
                <w:bCs/>
                <w:color w:val="000000"/>
                <w:sz w:val="18"/>
                <w:szCs w:val="18"/>
              </w:rPr>
              <w:t>2024</w:t>
            </w:r>
          </w:p>
        </w:tc>
        <w:tc>
          <w:tcPr>
            <w:tcW w:w="567" w:type="dxa"/>
            <w:tcBorders>
              <w:top w:val="single" w:sz="4" w:space="0" w:color="auto"/>
              <w:left w:val="nil"/>
              <w:bottom w:val="single" w:sz="8" w:space="0" w:color="auto"/>
              <w:right w:val="nil"/>
            </w:tcBorders>
            <w:shd w:val="clear" w:color="auto" w:fill="auto"/>
            <w:noWrap/>
            <w:vAlign w:val="center"/>
            <w:hideMark/>
          </w:tcPr>
          <w:p w14:paraId="34709D2F" w14:textId="77777777" w:rsidR="000F6636" w:rsidRPr="00CD565F" w:rsidRDefault="000F6636" w:rsidP="00484DB0">
            <w:pPr>
              <w:jc w:val="center"/>
              <w:rPr>
                <w:rFonts w:cs="Times New Roman"/>
                <w:b/>
                <w:bCs/>
                <w:color w:val="000000"/>
                <w:sz w:val="18"/>
                <w:szCs w:val="18"/>
              </w:rPr>
            </w:pPr>
            <w:r w:rsidRPr="00CD565F">
              <w:rPr>
                <w:rFonts w:cs="Times New Roman"/>
                <w:b/>
                <w:bCs/>
                <w:color w:val="000000"/>
                <w:sz w:val="18"/>
                <w:szCs w:val="18"/>
              </w:rPr>
              <w:t>2025</w:t>
            </w:r>
          </w:p>
        </w:tc>
        <w:tc>
          <w:tcPr>
            <w:tcW w:w="567" w:type="dxa"/>
            <w:tcBorders>
              <w:top w:val="single" w:sz="4" w:space="0" w:color="auto"/>
              <w:left w:val="nil"/>
              <w:bottom w:val="single" w:sz="8" w:space="0" w:color="auto"/>
              <w:right w:val="nil"/>
            </w:tcBorders>
            <w:shd w:val="clear" w:color="auto" w:fill="auto"/>
            <w:noWrap/>
            <w:hideMark/>
          </w:tcPr>
          <w:p w14:paraId="5F4AF6C1" w14:textId="77777777" w:rsidR="000F6636" w:rsidRPr="00CD565F" w:rsidRDefault="000F6636" w:rsidP="00484DB0">
            <w:pPr>
              <w:jc w:val="center"/>
              <w:rPr>
                <w:rFonts w:cs="Times New Roman"/>
                <w:b/>
                <w:bCs/>
                <w:color w:val="000000"/>
                <w:sz w:val="18"/>
                <w:szCs w:val="18"/>
              </w:rPr>
            </w:pPr>
            <w:r w:rsidRPr="00CD565F">
              <w:rPr>
                <w:rFonts w:cs="Times New Roman"/>
                <w:b/>
                <w:bCs/>
                <w:color w:val="000000"/>
                <w:sz w:val="18"/>
                <w:szCs w:val="18"/>
              </w:rPr>
              <w:t>2026</w:t>
            </w:r>
          </w:p>
        </w:tc>
        <w:tc>
          <w:tcPr>
            <w:tcW w:w="567" w:type="dxa"/>
            <w:tcBorders>
              <w:top w:val="single" w:sz="4" w:space="0" w:color="auto"/>
              <w:left w:val="nil"/>
              <w:bottom w:val="single" w:sz="8" w:space="0" w:color="auto"/>
              <w:right w:val="nil"/>
            </w:tcBorders>
            <w:shd w:val="clear" w:color="auto" w:fill="auto"/>
            <w:noWrap/>
            <w:hideMark/>
          </w:tcPr>
          <w:p w14:paraId="59E92C6B" w14:textId="77777777" w:rsidR="000F6636" w:rsidRPr="00CD565F" w:rsidRDefault="000F6636" w:rsidP="00484DB0">
            <w:pPr>
              <w:jc w:val="center"/>
              <w:rPr>
                <w:rFonts w:cs="Times New Roman"/>
                <w:b/>
                <w:bCs/>
                <w:color w:val="000000"/>
                <w:sz w:val="18"/>
                <w:szCs w:val="18"/>
              </w:rPr>
            </w:pPr>
            <w:r w:rsidRPr="00CD565F">
              <w:rPr>
                <w:rFonts w:cs="Times New Roman"/>
                <w:b/>
                <w:bCs/>
                <w:color w:val="000000"/>
                <w:sz w:val="18"/>
                <w:szCs w:val="18"/>
              </w:rPr>
              <w:t>2027</w:t>
            </w:r>
          </w:p>
        </w:tc>
      </w:tr>
      <w:tr w:rsidR="000F6636" w:rsidRPr="007C2DC9" w14:paraId="7CD5B007" w14:textId="77777777" w:rsidTr="00484DB0">
        <w:trPr>
          <w:trHeight w:val="26"/>
        </w:trPr>
        <w:tc>
          <w:tcPr>
            <w:tcW w:w="6237" w:type="dxa"/>
            <w:tcBorders>
              <w:top w:val="nil"/>
              <w:left w:val="nil"/>
              <w:bottom w:val="nil"/>
              <w:right w:val="nil"/>
            </w:tcBorders>
            <w:shd w:val="clear" w:color="auto" w:fill="auto"/>
          </w:tcPr>
          <w:p w14:paraId="518DA919" w14:textId="77777777" w:rsidR="000F6636" w:rsidRPr="00FE2D91" w:rsidRDefault="000F6636" w:rsidP="00484DB0">
            <w:pPr>
              <w:pStyle w:val="Bezriadkovania"/>
              <w:rPr>
                <w:sz w:val="18"/>
                <w:szCs w:val="18"/>
                <w:highlight w:val="yellow"/>
              </w:rPr>
            </w:pPr>
            <w:r w:rsidRPr="00FE2D91">
              <w:rPr>
                <w:sz w:val="18"/>
                <w:szCs w:val="18"/>
              </w:rPr>
              <w:t>Zmena v registračnom poplatku motorového vozidla</w:t>
            </w:r>
          </w:p>
        </w:tc>
        <w:tc>
          <w:tcPr>
            <w:tcW w:w="567" w:type="dxa"/>
            <w:tcBorders>
              <w:top w:val="nil"/>
              <w:left w:val="nil"/>
              <w:bottom w:val="nil"/>
              <w:right w:val="nil"/>
            </w:tcBorders>
            <w:shd w:val="clear" w:color="auto" w:fill="auto"/>
            <w:noWrap/>
          </w:tcPr>
          <w:p w14:paraId="429CF647" w14:textId="77777777" w:rsidR="000F6636" w:rsidRPr="00C518D0" w:rsidRDefault="000F6636" w:rsidP="00484DB0">
            <w:pPr>
              <w:pStyle w:val="Bezriadkovania"/>
              <w:jc w:val="center"/>
              <w:rPr>
                <w:sz w:val="18"/>
                <w:szCs w:val="18"/>
              </w:rPr>
            </w:pPr>
            <w:r w:rsidRPr="00F803F5">
              <w:rPr>
                <w:sz w:val="18"/>
                <w:szCs w:val="18"/>
              </w:rPr>
              <w:t>-13</w:t>
            </w:r>
          </w:p>
        </w:tc>
        <w:tc>
          <w:tcPr>
            <w:tcW w:w="567" w:type="dxa"/>
            <w:tcBorders>
              <w:top w:val="nil"/>
              <w:left w:val="nil"/>
              <w:bottom w:val="nil"/>
              <w:right w:val="nil"/>
            </w:tcBorders>
            <w:shd w:val="clear" w:color="auto" w:fill="auto"/>
            <w:noWrap/>
          </w:tcPr>
          <w:p w14:paraId="1AA0E59A" w14:textId="77777777" w:rsidR="000F6636" w:rsidRPr="00C518D0" w:rsidRDefault="000F6636" w:rsidP="00484DB0">
            <w:pPr>
              <w:pStyle w:val="Bezriadkovania"/>
              <w:jc w:val="center"/>
              <w:rPr>
                <w:sz w:val="18"/>
                <w:szCs w:val="18"/>
              </w:rPr>
            </w:pPr>
            <w:r w:rsidRPr="00F803F5">
              <w:rPr>
                <w:sz w:val="18"/>
                <w:szCs w:val="18"/>
              </w:rPr>
              <w:t>-14</w:t>
            </w:r>
          </w:p>
        </w:tc>
        <w:tc>
          <w:tcPr>
            <w:tcW w:w="567" w:type="dxa"/>
            <w:tcBorders>
              <w:top w:val="nil"/>
              <w:left w:val="nil"/>
              <w:bottom w:val="nil"/>
              <w:right w:val="nil"/>
            </w:tcBorders>
            <w:shd w:val="clear" w:color="auto" w:fill="auto"/>
            <w:noWrap/>
          </w:tcPr>
          <w:p w14:paraId="2994F65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2BA9C87"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C13C0B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3BD83A0" w14:textId="77777777" w:rsidTr="00484DB0">
        <w:trPr>
          <w:trHeight w:val="26"/>
        </w:trPr>
        <w:tc>
          <w:tcPr>
            <w:tcW w:w="6237" w:type="dxa"/>
            <w:tcBorders>
              <w:top w:val="nil"/>
              <w:left w:val="nil"/>
              <w:bottom w:val="nil"/>
              <w:right w:val="nil"/>
            </w:tcBorders>
            <w:shd w:val="clear" w:color="auto" w:fill="auto"/>
          </w:tcPr>
          <w:p w14:paraId="2CCF048A" w14:textId="77777777" w:rsidR="000F6636" w:rsidRPr="00FE2D91" w:rsidRDefault="000F6636" w:rsidP="00484DB0">
            <w:pPr>
              <w:pStyle w:val="Bezriadkovania"/>
              <w:rPr>
                <w:sz w:val="18"/>
                <w:szCs w:val="18"/>
                <w:highlight w:val="yellow"/>
              </w:rPr>
            </w:pPr>
            <w:r w:rsidRPr="00FE2D91">
              <w:rPr>
                <w:sz w:val="18"/>
                <w:szCs w:val="18"/>
              </w:rPr>
              <w:t>Úpravy v superodpočte (veda a výskum a priemysel 4.0)</w:t>
            </w:r>
          </w:p>
        </w:tc>
        <w:tc>
          <w:tcPr>
            <w:tcW w:w="567" w:type="dxa"/>
            <w:tcBorders>
              <w:top w:val="nil"/>
              <w:left w:val="nil"/>
              <w:bottom w:val="nil"/>
              <w:right w:val="nil"/>
            </w:tcBorders>
            <w:shd w:val="clear" w:color="auto" w:fill="auto"/>
            <w:noWrap/>
          </w:tcPr>
          <w:p w14:paraId="1CEDEFB0" w14:textId="77777777" w:rsidR="000F6636" w:rsidRPr="00C518D0" w:rsidRDefault="000F6636" w:rsidP="00484DB0">
            <w:pPr>
              <w:pStyle w:val="Bezriadkovania"/>
              <w:jc w:val="center"/>
              <w:rPr>
                <w:sz w:val="18"/>
                <w:szCs w:val="18"/>
              </w:rPr>
            </w:pPr>
            <w:r w:rsidRPr="00F803F5">
              <w:rPr>
                <w:sz w:val="18"/>
                <w:szCs w:val="18"/>
              </w:rPr>
              <w:t>-15</w:t>
            </w:r>
          </w:p>
        </w:tc>
        <w:tc>
          <w:tcPr>
            <w:tcW w:w="567" w:type="dxa"/>
            <w:tcBorders>
              <w:top w:val="nil"/>
              <w:left w:val="nil"/>
              <w:bottom w:val="nil"/>
              <w:right w:val="nil"/>
            </w:tcBorders>
            <w:shd w:val="clear" w:color="auto" w:fill="auto"/>
            <w:noWrap/>
          </w:tcPr>
          <w:p w14:paraId="6F10E65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661624E"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1054E4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3991B6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FAD62F0" w14:textId="77777777" w:rsidTr="00484DB0">
        <w:trPr>
          <w:trHeight w:val="26"/>
        </w:trPr>
        <w:tc>
          <w:tcPr>
            <w:tcW w:w="6237" w:type="dxa"/>
            <w:tcBorders>
              <w:top w:val="nil"/>
              <w:left w:val="nil"/>
              <w:bottom w:val="nil"/>
              <w:right w:val="nil"/>
            </w:tcBorders>
            <w:shd w:val="clear" w:color="auto" w:fill="auto"/>
          </w:tcPr>
          <w:p w14:paraId="486F9453" w14:textId="77777777" w:rsidR="000F6636" w:rsidRPr="00FE2D91" w:rsidRDefault="000F6636" w:rsidP="00484DB0">
            <w:pPr>
              <w:pStyle w:val="Bezriadkovania"/>
              <w:rPr>
                <w:sz w:val="18"/>
                <w:szCs w:val="18"/>
                <w:highlight w:val="yellow"/>
              </w:rPr>
            </w:pPr>
            <w:r w:rsidRPr="00FE2D91">
              <w:rPr>
                <w:sz w:val="18"/>
                <w:szCs w:val="18"/>
              </w:rPr>
              <w:t>Zavedenie sezónnej odvodovo-odpočítateľnej položky na sociálne odvody</w:t>
            </w:r>
          </w:p>
        </w:tc>
        <w:tc>
          <w:tcPr>
            <w:tcW w:w="567" w:type="dxa"/>
            <w:tcBorders>
              <w:top w:val="nil"/>
              <w:left w:val="nil"/>
              <w:bottom w:val="nil"/>
              <w:right w:val="nil"/>
            </w:tcBorders>
            <w:shd w:val="clear" w:color="auto" w:fill="auto"/>
            <w:noWrap/>
          </w:tcPr>
          <w:p w14:paraId="7B9A1016" w14:textId="77777777" w:rsidR="000F6636" w:rsidRPr="00C518D0" w:rsidRDefault="000F6636" w:rsidP="00484DB0">
            <w:pPr>
              <w:pStyle w:val="Bezriadkovania"/>
              <w:jc w:val="center"/>
              <w:rPr>
                <w:sz w:val="18"/>
                <w:szCs w:val="18"/>
              </w:rPr>
            </w:pPr>
            <w:r w:rsidRPr="00F803F5">
              <w:rPr>
                <w:sz w:val="18"/>
                <w:szCs w:val="18"/>
              </w:rPr>
              <w:t>-11</w:t>
            </w:r>
          </w:p>
        </w:tc>
        <w:tc>
          <w:tcPr>
            <w:tcW w:w="567" w:type="dxa"/>
            <w:tcBorders>
              <w:top w:val="nil"/>
              <w:left w:val="nil"/>
              <w:bottom w:val="nil"/>
              <w:right w:val="nil"/>
            </w:tcBorders>
            <w:shd w:val="clear" w:color="auto" w:fill="auto"/>
            <w:noWrap/>
          </w:tcPr>
          <w:p w14:paraId="6068175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453A46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7D676F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299F4F2E" w14:textId="77777777" w:rsidR="000F6636" w:rsidRPr="00C518D0" w:rsidRDefault="000F6636" w:rsidP="00484DB0">
            <w:pPr>
              <w:pStyle w:val="Bezriadkovania"/>
              <w:jc w:val="center"/>
              <w:rPr>
                <w:sz w:val="18"/>
                <w:szCs w:val="18"/>
              </w:rPr>
            </w:pPr>
            <w:r w:rsidRPr="00C518D0">
              <w:rPr>
                <w:sz w:val="18"/>
                <w:szCs w:val="18"/>
              </w:rPr>
              <w:t>-</w:t>
            </w:r>
          </w:p>
        </w:tc>
      </w:tr>
      <w:tr w:rsidR="004A1C01" w:rsidRPr="007C2DC9" w14:paraId="6B10992B" w14:textId="77777777" w:rsidTr="00484DB0">
        <w:trPr>
          <w:trHeight w:val="26"/>
        </w:trPr>
        <w:tc>
          <w:tcPr>
            <w:tcW w:w="6237" w:type="dxa"/>
            <w:tcBorders>
              <w:top w:val="nil"/>
              <w:left w:val="nil"/>
              <w:bottom w:val="nil"/>
              <w:right w:val="nil"/>
            </w:tcBorders>
            <w:shd w:val="clear" w:color="auto" w:fill="auto"/>
          </w:tcPr>
          <w:p w14:paraId="19B9791E" w14:textId="77777777" w:rsidR="004A1C01" w:rsidRPr="00FE2D91" w:rsidRDefault="004A1C01" w:rsidP="004A1C01">
            <w:pPr>
              <w:pStyle w:val="Bezriadkovania"/>
              <w:rPr>
                <w:sz w:val="18"/>
                <w:szCs w:val="18"/>
                <w:highlight w:val="yellow"/>
              </w:rPr>
            </w:pPr>
            <w:r w:rsidRPr="00FE2D91">
              <w:rPr>
                <w:sz w:val="18"/>
                <w:szCs w:val="18"/>
              </w:rPr>
              <w:t>Prvotná implementácia účtovného štandardu IFRS 17 na poisťovne</w:t>
            </w:r>
          </w:p>
        </w:tc>
        <w:tc>
          <w:tcPr>
            <w:tcW w:w="567" w:type="dxa"/>
            <w:tcBorders>
              <w:top w:val="nil"/>
              <w:left w:val="nil"/>
              <w:bottom w:val="nil"/>
              <w:right w:val="nil"/>
            </w:tcBorders>
            <w:shd w:val="clear" w:color="auto" w:fill="auto"/>
            <w:noWrap/>
          </w:tcPr>
          <w:p w14:paraId="7B6824E6" w14:textId="03F97FEF" w:rsidR="004A1C01" w:rsidRPr="004A1C01" w:rsidRDefault="004A1C01" w:rsidP="004A1C01">
            <w:pPr>
              <w:pStyle w:val="Bezriadkovania"/>
              <w:jc w:val="center"/>
              <w:rPr>
                <w:sz w:val="18"/>
                <w:szCs w:val="28"/>
              </w:rPr>
            </w:pPr>
            <w:r w:rsidRPr="004A1C01">
              <w:rPr>
                <w:sz w:val="18"/>
                <w:szCs w:val="28"/>
              </w:rPr>
              <w:t>23</w:t>
            </w:r>
          </w:p>
        </w:tc>
        <w:tc>
          <w:tcPr>
            <w:tcW w:w="567" w:type="dxa"/>
            <w:tcBorders>
              <w:top w:val="nil"/>
              <w:left w:val="nil"/>
              <w:bottom w:val="nil"/>
              <w:right w:val="nil"/>
            </w:tcBorders>
            <w:shd w:val="clear" w:color="auto" w:fill="auto"/>
            <w:noWrap/>
          </w:tcPr>
          <w:p w14:paraId="655C83D0" w14:textId="440BCEB8" w:rsidR="004A1C01" w:rsidRPr="004A1C01" w:rsidRDefault="004A1C01" w:rsidP="004A1C01">
            <w:pPr>
              <w:pStyle w:val="Bezriadkovania"/>
              <w:jc w:val="center"/>
              <w:rPr>
                <w:sz w:val="18"/>
                <w:szCs w:val="28"/>
              </w:rPr>
            </w:pPr>
            <w:r w:rsidRPr="004A1C01">
              <w:rPr>
                <w:sz w:val="18"/>
                <w:szCs w:val="28"/>
              </w:rPr>
              <w:t>3</w:t>
            </w:r>
          </w:p>
        </w:tc>
        <w:tc>
          <w:tcPr>
            <w:tcW w:w="567" w:type="dxa"/>
            <w:tcBorders>
              <w:top w:val="nil"/>
              <w:left w:val="nil"/>
              <w:bottom w:val="nil"/>
              <w:right w:val="nil"/>
            </w:tcBorders>
            <w:shd w:val="clear" w:color="auto" w:fill="auto"/>
            <w:noWrap/>
          </w:tcPr>
          <w:p w14:paraId="2939B0EF" w14:textId="4FE29D9D" w:rsidR="004A1C01" w:rsidRPr="004A1C01" w:rsidRDefault="004A1C01" w:rsidP="004A1C01">
            <w:pPr>
              <w:pStyle w:val="Bezriadkovania"/>
              <w:jc w:val="center"/>
              <w:rPr>
                <w:sz w:val="18"/>
                <w:szCs w:val="28"/>
              </w:rPr>
            </w:pPr>
            <w:r w:rsidRPr="004A1C01">
              <w:rPr>
                <w:sz w:val="18"/>
                <w:szCs w:val="28"/>
              </w:rPr>
              <w:t>-10</w:t>
            </w:r>
          </w:p>
        </w:tc>
        <w:tc>
          <w:tcPr>
            <w:tcW w:w="567" w:type="dxa"/>
            <w:tcBorders>
              <w:top w:val="nil"/>
              <w:left w:val="nil"/>
              <w:bottom w:val="nil"/>
              <w:right w:val="nil"/>
            </w:tcBorders>
            <w:shd w:val="clear" w:color="auto" w:fill="auto"/>
            <w:noWrap/>
          </w:tcPr>
          <w:p w14:paraId="254589A8" w14:textId="0B38BCFC" w:rsidR="004A1C01" w:rsidRPr="004A1C01" w:rsidRDefault="004A1C01" w:rsidP="004A1C01">
            <w:pPr>
              <w:pStyle w:val="Bezriadkovania"/>
              <w:jc w:val="center"/>
              <w:rPr>
                <w:sz w:val="18"/>
                <w:szCs w:val="28"/>
              </w:rPr>
            </w:pPr>
            <w:r w:rsidRPr="004A1C01">
              <w:rPr>
                <w:sz w:val="18"/>
                <w:szCs w:val="28"/>
              </w:rPr>
              <w:t>-17</w:t>
            </w:r>
          </w:p>
        </w:tc>
        <w:tc>
          <w:tcPr>
            <w:tcW w:w="567" w:type="dxa"/>
            <w:tcBorders>
              <w:top w:val="nil"/>
              <w:left w:val="nil"/>
              <w:bottom w:val="nil"/>
              <w:right w:val="nil"/>
            </w:tcBorders>
            <w:shd w:val="clear" w:color="auto" w:fill="auto"/>
            <w:noWrap/>
          </w:tcPr>
          <w:p w14:paraId="77BEBAC9" w14:textId="77777777" w:rsidR="004A1C01" w:rsidRPr="00C518D0" w:rsidRDefault="004A1C01" w:rsidP="004A1C01">
            <w:pPr>
              <w:pStyle w:val="Bezriadkovania"/>
              <w:jc w:val="center"/>
              <w:rPr>
                <w:sz w:val="18"/>
                <w:szCs w:val="18"/>
              </w:rPr>
            </w:pPr>
            <w:r w:rsidRPr="00C518D0">
              <w:rPr>
                <w:sz w:val="18"/>
                <w:szCs w:val="18"/>
              </w:rPr>
              <w:t>-</w:t>
            </w:r>
          </w:p>
        </w:tc>
      </w:tr>
      <w:tr w:rsidR="000F6636" w:rsidRPr="007C2DC9" w14:paraId="0994F399" w14:textId="77777777" w:rsidTr="00484DB0">
        <w:trPr>
          <w:trHeight w:val="26"/>
        </w:trPr>
        <w:tc>
          <w:tcPr>
            <w:tcW w:w="6237" w:type="dxa"/>
            <w:tcBorders>
              <w:top w:val="nil"/>
              <w:left w:val="nil"/>
              <w:bottom w:val="nil"/>
              <w:right w:val="nil"/>
            </w:tcBorders>
            <w:shd w:val="clear" w:color="auto" w:fill="auto"/>
          </w:tcPr>
          <w:p w14:paraId="76D0F30A" w14:textId="77777777" w:rsidR="000F6636" w:rsidRPr="00FE2D91" w:rsidRDefault="000F6636" w:rsidP="00484DB0">
            <w:pPr>
              <w:pStyle w:val="Bezriadkovania"/>
              <w:rPr>
                <w:sz w:val="18"/>
                <w:szCs w:val="18"/>
                <w:highlight w:val="yellow"/>
              </w:rPr>
            </w:pPr>
            <w:r w:rsidRPr="00FE2D91">
              <w:rPr>
                <w:sz w:val="18"/>
                <w:szCs w:val="18"/>
              </w:rPr>
              <w:t>Reforma II. piliera (automatický vstup, sporenie aj počas dôchodku, zníženie poplatkov)</w:t>
            </w:r>
          </w:p>
        </w:tc>
        <w:tc>
          <w:tcPr>
            <w:tcW w:w="567" w:type="dxa"/>
            <w:tcBorders>
              <w:top w:val="nil"/>
              <w:left w:val="nil"/>
              <w:bottom w:val="nil"/>
              <w:right w:val="nil"/>
            </w:tcBorders>
            <w:shd w:val="clear" w:color="auto" w:fill="auto"/>
            <w:noWrap/>
          </w:tcPr>
          <w:p w14:paraId="4908C08A" w14:textId="77777777" w:rsidR="000F6636" w:rsidRPr="00C518D0" w:rsidRDefault="000F6636" w:rsidP="00484DB0">
            <w:pPr>
              <w:pStyle w:val="Bezriadkovania"/>
              <w:jc w:val="center"/>
              <w:rPr>
                <w:sz w:val="18"/>
                <w:szCs w:val="18"/>
              </w:rPr>
            </w:pPr>
            <w:r w:rsidRPr="00F803F5">
              <w:rPr>
                <w:sz w:val="18"/>
                <w:szCs w:val="18"/>
              </w:rPr>
              <w:t>-11</w:t>
            </w:r>
          </w:p>
        </w:tc>
        <w:tc>
          <w:tcPr>
            <w:tcW w:w="567" w:type="dxa"/>
            <w:tcBorders>
              <w:top w:val="nil"/>
              <w:left w:val="nil"/>
              <w:bottom w:val="nil"/>
              <w:right w:val="nil"/>
            </w:tcBorders>
            <w:shd w:val="clear" w:color="auto" w:fill="auto"/>
            <w:noWrap/>
          </w:tcPr>
          <w:p w14:paraId="6FCF5C5A" w14:textId="77777777" w:rsidR="000F6636" w:rsidRPr="00C518D0" w:rsidRDefault="000F6636" w:rsidP="00484DB0">
            <w:pPr>
              <w:pStyle w:val="Bezriadkovania"/>
              <w:jc w:val="center"/>
              <w:rPr>
                <w:sz w:val="18"/>
                <w:szCs w:val="18"/>
              </w:rPr>
            </w:pPr>
            <w:r w:rsidRPr="00F803F5">
              <w:rPr>
                <w:sz w:val="18"/>
                <w:szCs w:val="18"/>
              </w:rPr>
              <w:t>-22</w:t>
            </w:r>
          </w:p>
        </w:tc>
        <w:tc>
          <w:tcPr>
            <w:tcW w:w="567" w:type="dxa"/>
            <w:tcBorders>
              <w:top w:val="nil"/>
              <w:left w:val="nil"/>
              <w:bottom w:val="nil"/>
              <w:right w:val="nil"/>
            </w:tcBorders>
            <w:shd w:val="clear" w:color="auto" w:fill="auto"/>
            <w:noWrap/>
          </w:tcPr>
          <w:p w14:paraId="0116C9F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24E66C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4CA225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ECD3A3E" w14:textId="77777777" w:rsidTr="00484DB0">
        <w:trPr>
          <w:trHeight w:val="26"/>
        </w:trPr>
        <w:tc>
          <w:tcPr>
            <w:tcW w:w="6237" w:type="dxa"/>
            <w:tcBorders>
              <w:top w:val="nil"/>
              <w:left w:val="nil"/>
              <w:bottom w:val="nil"/>
              <w:right w:val="nil"/>
            </w:tcBorders>
            <w:shd w:val="clear" w:color="auto" w:fill="auto"/>
          </w:tcPr>
          <w:p w14:paraId="3251F5D9" w14:textId="77777777" w:rsidR="000F6636" w:rsidRPr="00FE2D91" w:rsidRDefault="000F6636" w:rsidP="00484DB0">
            <w:pPr>
              <w:pStyle w:val="Bezriadkovania"/>
              <w:rPr>
                <w:sz w:val="18"/>
                <w:szCs w:val="18"/>
                <w:highlight w:val="yellow"/>
              </w:rPr>
            </w:pPr>
            <w:r w:rsidRPr="00FE2D91">
              <w:rPr>
                <w:sz w:val="18"/>
                <w:szCs w:val="18"/>
              </w:rPr>
              <w:t>Zvýšenie sadzby odvodu z internetových hazardných hier</w:t>
            </w:r>
            <w:r w:rsidRPr="00FE2D91">
              <w:rPr>
                <w:rFonts w:ascii="Arial" w:hAnsi="Arial" w:cs="Arial"/>
                <w:sz w:val="18"/>
                <w:szCs w:val="18"/>
              </w:rPr>
              <w:t>​</w:t>
            </w:r>
          </w:p>
        </w:tc>
        <w:tc>
          <w:tcPr>
            <w:tcW w:w="567" w:type="dxa"/>
            <w:tcBorders>
              <w:top w:val="nil"/>
              <w:left w:val="nil"/>
              <w:bottom w:val="nil"/>
              <w:right w:val="nil"/>
            </w:tcBorders>
            <w:shd w:val="clear" w:color="auto" w:fill="auto"/>
            <w:noWrap/>
          </w:tcPr>
          <w:p w14:paraId="0D514154" w14:textId="77777777" w:rsidR="000F6636" w:rsidRPr="00C518D0" w:rsidRDefault="000F6636" w:rsidP="00484DB0">
            <w:pPr>
              <w:pStyle w:val="Bezriadkovania"/>
              <w:jc w:val="center"/>
              <w:rPr>
                <w:sz w:val="18"/>
                <w:szCs w:val="18"/>
              </w:rPr>
            </w:pPr>
            <w:r w:rsidRPr="00F803F5">
              <w:rPr>
                <w:sz w:val="18"/>
                <w:szCs w:val="18"/>
              </w:rPr>
              <w:t>20</w:t>
            </w:r>
          </w:p>
        </w:tc>
        <w:tc>
          <w:tcPr>
            <w:tcW w:w="567" w:type="dxa"/>
            <w:tcBorders>
              <w:top w:val="nil"/>
              <w:left w:val="nil"/>
              <w:bottom w:val="nil"/>
              <w:right w:val="nil"/>
            </w:tcBorders>
            <w:shd w:val="clear" w:color="auto" w:fill="auto"/>
            <w:noWrap/>
          </w:tcPr>
          <w:p w14:paraId="0143EF8A" w14:textId="77777777" w:rsidR="000F6636" w:rsidRPr="00C518D0" w:rsidRDefault="000F6636" w:rsidP="00484DB0">
            <w:pPr>
              <w:pStyle w:val="Bezriadkovania"/>
              <w:jc w:val="center"/>
              <w:rPr>
                <w:sz w:val="18"/>
                <w:szCs w:val="18"/>
              </w:rPr>
            </w:pPr>
            <w:r w:rsidRPr="00F803F5">
              <w:rPr>
                <w:sz w:val="18"/>
                <w:szCs w:val="18"/>
              </w:rPr>
              <w:t>2</w:t>
            </w:r>
          </w:p>
        </w:tc>
        <w:tc>
          <w:tcPr>
            <w:tcW w:w="567" w:type="dxa"/>
            <w:tcBorders>
              <w:top w:val="nil"/>
              <w:left w:val="nil"/>
              <w:bottom w:val="nil"/>
              <w:right w:val="nil"/>
            </w:tcBorders>
            <w:shd w:val="clear" w:color="auto" w:fill="auto"/>
            <w:noWrap/>
          </w:tcPr>
          <w:p w14:paraId="2649213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E8B97D7"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2C4CF12E"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B72D9E2" w14:textId="77777777" w:rsidTr="00484DB0">
        <w:trPr>
          <w:trHeight w:val="26"/>
        </w:trPr>
        <w:tc>
          <w:tcPr>
            <w:tcW w:w="6237" w:type="dxa"/>
            <w:tcBorders>
              <w:top w:val="nil"/>
              <w:left w:val="nil"/>
              <w:bottom w:val="nil"/>
              <w:right w:val="nil"/>
            </w:tcBorders>
            <w:shd w:val="clear" w:color="auto" w:fill="auto"/>
          </w:tcPr>
          <w:p w14:paraId="42402FC5" w14:textId="77777777" w:rsidR="000F6636" w:rsidRPr="00FE2D91" w:rsidRDefault="000F6636" w:rsidP="00484DB0">
            <w:pPr>
              <w:pStyle w:val="Bezriadkovania"/>
              <w:rPr>
                <w:sz w:val="18"/>
                <w:szCs w:val="18"/>
                <w:highlight w:val="yellow"/>
              </w:rPr>
            </w:pPr>
            <w:r w:rsidRPr="00FE2D91">
              <w:rPr>
                <w:sz w:val="18"/>
                <w:szCs w:val="18"/>
              </w:rPr>
              <w:t>Minimálne poistné zo zdravotných odvodov</w:t>
            </w:r>
          </w:p>
        </w:tc>
        <w:tc>
          <w:tcPr>
            <w:tcW w:w="567" w:type="dxa"/>
            <w:tcBorders>
              <w:top w:val="nil"/>
              <w:left w:val="nil"/>
              <w:bottom w:val="nil"/>
              <w:right w:val="nil"/>
            </w:tcBorders>
            <w:shd w:val="clear" w:color="auto" w:fill="auto"/>
            <w:noWrap/>
          </w:tcPr>
          <w:p w14:paraId="33756AD7" w14:textId="77777777" w:rsidR="000F6636" w:rsidRPr="00C518D0" w:rsidRDefault="000F6636" w:rsidP="00484DB0">
            <w:pPr>
              <w:pStyle w:val="Bezriadkovania"/>
              <w:jc w:val="center"/>
              <w:rPr>
                <w:sz w:val="18"/>
                <w:szCs w:val="18"/>
              </w:rPr>
            </w:pPr>
            <w:r w:rsidRPr="00F803F5">
              <w:rPr>
                <w:sz w:val="18"/>
                <w:szCs w:val="18"/>
              </w:rPr>
              <w:t>20</w:t>
            </w:r>
          </w:p>
        </w:tc>
        <w:tc>
          <w:tcPr>
            <w:tcW w:w="567" w:type="dxa"/>
            <w:tcBorders>
              <w:top w:val="nil"/>
              <w:left w:val="nil"/>
              <w:bottom w:val="nil"/>
              <w:right w:val="nil"/>
            </w:tcBorders>
            <w:shd w:val="clear" w:color="auto" w:fill="auto"/>
            <w:noWrap/>
          </w:tcPr>
          <w:p w14:paraId="3A907E84" w14:textId="77777777" w:rsidR="000F6636" w:rsidRPr="00C518D0" w:rsidRDefault="000F6636" w:rsidP="00484DB0">
            <w:pPr>
              <w:pStyle w:val="Bezriadkovania"/>
              <w:jc w:val="center"/>
              <w:rPr>
                <w:sz w:val="18"/>
                <w:szCs w:val="18"/>
              </w:rPr>
            </w:pPr>
            <w:r w:rsidRPr="00F803F5">
              <w:rPr>
                <w:sz w:val="18"/>
                <w:szCs w:val="18"/>
              </w:rPr>
              <w:t>-6</w:t>
            </w:r>
          </w:p>
        </w:tc>
        <w:tc>
          <w:tcPr>
            <w:tcW w:w="567" w:type="dxa"/>
            <w:tcBorders>
              <w:top w:val="nil"/>
              <w:left w:val="nil"/>
              <w:bottom w:val="nil"/>
              <w:right w:val="nil"/>
            </w:tcBorders>
            <w:shd w:val="clear" w:color="auto" w:fill="auto"/>
            <w:noWrap/>
          </w:tcPr>
          <w:p w14:paraId="54526192"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776132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7C99557"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8F70C6F" w14:textId="77777777" w:rsidTr="00484DB0">
        <w:trPr>
          <w:trHeight w:val="26"/>
        </w:trPr>
        <w:tc>
          <w:tcPr>
            <w:tcW w:w="6237" w:type="dxa"/>
            <w:tcBorders>
              <w:top w:val="nil"/>
              <w:left w:val="nil"/>
              <w:bottom w:val="nil"/>
              <w:right w:val="nil"/>
            </w:tcBorders>
            <w:shd w:val="clear" w:color="auto" w:fill="auto"/>
          </w:tcPr>
          <w:p w14:paraId="601DA48B" w14:textId="77777777" w:rsidR="000F6636" w:rsidRPr="00FE2D91" w:rsidRDefault="000F6636" w:rsidP="00484DB0">
            <w:pPr>
              <w:pStyle w:val="Bezriadkovania"/>
              <w:rPr>
                <w:sz w:val="18"/>
                <w:szCs w:val="18"/>
                <w:highlight w:val="yellow"/>
              </w:rPr>
            </w:pPr>
            <w:r w:rsidRPr="00FE2D91">
              <w:rPr>
                <w:sz w:val="18"/>
                <w:szCs w:val="18"/>
              </w:rPr>
              <w:t>Zrušenie koncesionárskych poplatkov RTVS</w:t>
            </w:r>
          </w:p>
        </w:tc>
        <w:tc>
          <w:tcPr>
            <w:tcW w:w="567" w:type="dxa"/>
            <w:tcBorders>
              <w:top w:val="nil"/>
              <w:left w:val="nil"/>
              <w:bottom w:val="nil"/>
              <w:right w:val="nil"/>
            </w:tcBorders>
            <w:shd w:val="clear" w:color="auto" w:fill="auto"/>
            <w:noWrap/>
          </w:tcPr>
          <w:p w14:paraId="6C3E427C" w14:textId="77777777" w:rsidR="000F6636" w:rsidRPr="00C518D0" w:rsidRDefault="000F6636" w:rsidP="00484DB0">
            <w:pPr>
              <w:pStyle w:val="Bezriadkovania"/>
              <w:jc w:val="center"/>
              <w:rPr>
                <w:sz w:val="18"/>
                <w:szCs w:val="18"/>
              </w:rPr>
            </w:pPr>
            <w:r w:rsidRPr="00F803F5">
              <w:rPr>
                <w:sz w:val="18"/>
                <w:szCs w:val="18"/>
              </w:rPr>
              <w:t>-35</w:t>
            </w:r>
          </w:p>
        </w:tc>
        <w:tc>
          <w:tcPr>
            <w:tcW w:w="567" w:type="dxa"/>
            <w:tcBorders>
              <w:top w:val="nil"/>
              <w:left w:val="nil"/>
              <w:bottom w:val="nil"/>
              <w:right w:val="nil"/>
            </w:tcBorders>
            <w:shd w:val="clear" w:color="auto" w:fill="auto"/>
            <w:noWrap/>
          </w:tcPr>
          <w:p w14:paraId="2B896EA8" w14:textId="77777777" w:rsidR="000F6636" w:rsidRPr="00C518D0" w:rsidRDefault="000F6636" w:rsidP="00484DB0">
            <w:pPr>
              <w:pStyle w:val="Bezriadkovania"/>
              <w:jc w:val="center"/>
              <w:rPr>
                <w:sz w:val="18"/>
                <w:szCs w:val="18"/>
              </w:rPr>
            </w:pPr>
            <w:r w:rsidRPr="00F803F5">
              <w:rPr>
                <w:sz w:val="18"/>
                <w:szCs w:val="18"/>
              </w:rPr>
              <w:t>-41</w:t>
            </w:r>
          </w:p>
        </w:tc>
        <w:tc>
          <w:tcPr>
            <w:tcW w:w="567" w:type="dxa"/>
            <w:tcBorders>
              <w:top w:val="nil"/>
              <w:left w:val="nil"/>
              <w:bottom w:val="nil"/>
              <w:right w:val="nil"/>
            </w:tcBorders>
            <w:shd w:val="clear" w:color="auto" w:fill="auto"/>
            <w:noWrap/>
          </w:tcPr>
          <w:p w14:paraId="5266F42E"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2B257A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EDABFA6"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858AACB" w14:textId="77777777" w:rsidTr="00484DB0">
        <w:trPr>
          <w:trHeight w:val="26"/>
        </w:trPr>
        <w:tc>
          <w:tcPr>
            <w:tcW w:w="6237" w:type="dxa"/>
            <w:tcBorders>
              <w:top w:val="nil"/>
              <w:left w:val="nil"/>
              <w:bottom w:val="nil"/>
              <w:right w:val="nil"/>
            </w:tcBorders>
            <w:shd w:val="clear" w:color="auto" w:fill="auto"/>
          </w:tcPr>
          <w:p w14:paraId="48A4E2F4" w14:textId="77777777" w:rsidR="000F6636" w:rsidRPr="00FE2D91" w:rsidRDefault="000F6636" w:rsidP="00484DB0">
            <w:pPr>
              <w:pStyle w:val="Bezriadkovania"/>
              <w:rPr>
                <w:sz w:val="18"/>
                <w:szCs w:val="18"/>
                <w:highlight w:val="yellow"/>
              </w:rPr>
            </w:pPr>
            <w:r w:rsidRPr="00FE2D91">
              <w:rPr>
                <w:sz w:val="18"/>
                <w:szCs w:val="18"/>
              </w:rPr>
              <w:t>Zvýšenie cien diaľničných známok</w:t>
            </w:r>
          </w:p>
        </w:tc>
        <w:tc>
          <w:tcPr>
            <w:tcW w:w="567" w:type="dxa"/>
            <w:tcBorders>
              <w:top w:val="nil"/>
              <w:left w:val="nil"/>
              <w:bottom w:val="nil"/>
              <w:right w:val="nil"/>
            </w:tcBorders>
            <w:shd w:val="clear" w:color="auto" w:fill="auto"/>
            <w:noWrap/>
          </w:tcPr>
          <w:p w14:paraId="78A3824E" w14:textId="77777777" w:rsidR="000F6636" w:rsidRPr="00C518D0" w:rsidRDefault="000F6636" w:rsidP="00484DB0">
            <w:pPr>
              <w:pStyle w:val="Bezriadkovania"/>
              <w:jc w:val="center"/>
              <w:rPr>
                <w:sz w:val="18"/>
                <w:szCs w:val="18"/>
              </w:rPr>
            </w:pPr>
            <w:r w:rsidRPr="00F803F5">
              <w:rPr>
                <w:sz w:val="18"/>
                <w:szCs w:val="18"/>
              </w:rPr>
              <w:t>21</w:t>
            </w:r>
          </w:p>
        </w:tc>
        <w:tc>
          <w:tcPr>
            <w:tcW w:w="567" w:type="dxa"/>
            <w:tcBorders>
              <w:top w:val="nil"/>
              <w:left w:val="nil"/>
              <w:bottom w:val="nil"/>
              <w:right w:val="nil"/>
            </w:tcBorders>
            <w:shd w:val="clear" w:color="auto" w:fill="auto"/>
            <w:noWrap/>
          </w:tcPr>
          <w:p w14:paraId="33CAD81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7D161B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69DB3F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B0EF84E"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041DCC4" w14:textId="77777777" w:rsidTr="00484DB0">
        <w:trPr>
          <w:trHeight w:val="26"/>
        </w:trPr>
        <w:tc>
          <w:tcPr>
            <w:tcW w:w="6237" w:type="dxa"/>
            <w:tcBorders>
              <w:top w:val="nil"/>
              <w:left w:val="nil"/>
              <w:bottom w:val="nil"/>
              <w:right w:val="nil"/>
            </w:tcBorders>
            <w:shd w:val="clear" w:color="auto" w:fill="auto"/>
          </w:tcPr>
          <w:p w14:paraId="3C9CFB4C" w14:textId="77777777" w:rsidR="000F6636" w:rsidRPr="00FE2D91" w:rsidRDefault="000F6636" w:rsidP="00484DB0">
            <w:pPr>
              <w:pStyle w:val="Bezriadkovania"/>
              <w:rPr>
                <w:sz w:val="18"/>
                <w:szCs w:val="18"/>
                <w:highlight w:val="yellow"/>
              </w:rPr>
            </w:pPr>
            <w:r w:rsidRPr="00FE2D91">
              <w:rPr>
                <w:sz w:val="18"/>
                <w:szCs w:val="18"/>
              </w:rPr>
              <w:t>Príjem z odvodu z nadmerných príjmov - elektrárne</w:t>
            </w:r>
          </w:p>
        </w:tc>
        <w:tc>
          <w:tcPr>
            <w:tcW w:w="567" w:type="dxa"/>
            <w:tcBorders>
              <w:top w:val="nil"/>
              <w:left w:val="nil"/>
              <w:bottom w:val="nil"/>
              <w:right w:val="nil"/>
            </w:tcBorders>
            <w:shd w:val="clear" w:color="auto" w:fill="auto"/>
            <w:noWrap/>
          </w:tcPr>
          <w:p w14:paraId="6D616C5F" w14:textId="77777777" w:rsidR="000F6636" w:rsidRPr="00C518D0" w:rsidRDefault="000F6636" w:rsidP="00484DB0">
            <w:pPr>
              <w:pStyle w:val="Bezriadkovania"/>
              <w:jc w:val="center"/>
              <w:rPr>
                <w:sz w:val="18"/>
                <w:szCs w:val="18"/>
              </w:rPr>
            </w:pPr>
            <w:r w:rsidRPr="00F803F5">
              <w:rPr>
                <w:sz w:val="18"/>
                <w:szCs w:val="18"/>
              </w:rPr>
              <w:t>30</w:t>
            </w:r>
          </w:p>
        </w:tc>
        <w:tc>
          <w:tcPr>
            <w:tcW w:w="567" w:type="dxa"/>
            <w:tcBorders>
              <w:top w:val="nil"/>
              <w:left w:val="nil"/>
              <w:bottom w:val="nil"/>
              <w:right w:val="nil"/>
            </w:tcBorders>
            <w:shd w:val="clear" w:color="auto" w:fill="auto"/>
            <w:noWrap/>
          </w:tcPr>
          <w:p w14:paraId="4D876994" w14:textId="77777777" w:rsidR="000F6636" w:rsidRPr="00C518D0" w:rsidRDefault="000F6636" w:rsidP="00484DB0">
            <w:pPr>
              <w:pStyle w:val="Bezriadkovania"/>
              <w:jc w:val="center"/>
              <w:rPr>
                <w:sz w:val="18"/>
                <w:szCs w:val="18"/>
              </w:rPr>
            </w:pPr>
            <w:r w:rsidRPr="00F803F5">
              <w:rPr>
                <w:sz w:val="18"/>
                <w:szCs w:val="18"/>
              </w:rPr>
              <w:t>-25</w:t>
            </w:r>
          </w:p>
        </w:tc>
        <w:tc>
          <w:tcPr>
            <w:tcW w:w="567" w:type="dxa"/>
            <w:tcBorders>
              <w:top w:val="nil"/>
              <w:left w:val="nil"/>
              <w:bottom w:val="nil"/>
              <w:right w:val="nil"/>
            </w:tcBorders>
            <w:shd w:val="clear" w:color="auto" w:fill="auto"/>
            <w:noWrap/>
          </w:tcPr>
          <w:p w14:paraId="5EEA3059" w14:textId="77777777" w:rsidR="000F6636" w:rsidRPr="00C518D0" w:rsidRDefault="000F6636" w:rsidP="00484DB0">
            <w:pPr>
              <w:pStyle w:val="Bezriadkovania"/>
              <w:jc w:val="center"/>
              <w:rPr>
                <w:sz w:val="18"/>
                <w:szCs w:val="18"/>
              </w:rPr>
            </w:pPr>
            <w:r w:rsidRPr="00F803F5">
              <w:rPr>
                <w:sz w:val="18"/>
                <w:szCs w:val="18"/>
              </w:rPr>
              <w:t>-5</w:t>
            </w:r>
          </w:p>
        </w:tc>
        <w:tc>
          <w:tcPr>
            <w:tcW w:w="567" w:type="dxa"/>
            <w:tcBorders>
              <w:top w:val="nil"/>
              <w:left w:val="nil"/>
              <w:bottom w:val="nil"/>
              <w:right w:val="nil"/>
            </w:tcBorders>
            <w:shd w:val="clear" w:color="auto" w:fill="auto"/>
            <w:noWrap/>
          </w:tcPr>
          <w:p w14:paraId="594DC18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705B01C"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60A2ED7F" w14:textId="77777777" w:rsidTr="00484DB0">
        <w:trPr>
          <w:trHeight w:val="26"/>
        </w:trPr>
        <w:tc>
          <w:tcPr>
            <w:tcW w:w="6237" w:type="dxa"/>
            <w:tcBorders>
              <w:top w:val="nil"/>
              <w:left w:val="nil"/>
              <w:bottom w:val="nil"/>
              <w:right w:val="nil"/>
            </w:tcBorders>
            <w:shd w:val="clear" w:color="auto" w:fill="auto"/>
          </w:tcPr>
          <w:p w14:paraId="09BF26B2" w14:textId="77777777" w:rsidR="000F6636" w:rsidRPr="00F803F5" w:rsidRDefault="000F6636" w:rsidP="00484DB0">
            <w:pPr>
              <w:pStyle w:val="Bezriadkovania"/>
              <w:rPr>
                <w:sz w:val="18"/>
                <w:szCs w:val="18"/>
              </w:rPr>
            </w:pPr>
            <w:r w:rsidRPr="00C518D0">
              <w:rPr>
                <w:sz w:val="18"/>
                <w:szCs w:val="18"/>
              </w:rPr>
              <w:t>Solidárny príspevok z činností v odvetviach ropy a iných</w:t>
            </w:r>
          </w:p>
        </w:tc>
        <w:tc>
          <w:tcPr>
            <w:tcW w:w="567" w:type="dxa"/>
            <w:tcBorders>
              <w:top w:val="nil"/>
              <w:left w:val="nil"/>
              <w:bottom w:val="nil"/>
              <w:right w:val="nil"/>
            </w:tcBorders>
            <w:shd w:val="clear" w:color="auto" w:fill="auto"/>
            <w:noWrap/>
          </w:tcPr>
          <w:p w14:paraId="053C25D4" w14:textId="77777777" w:rsidR="000F6636" w:rsidRPr="00F803F5" w:rsidRDefault="000F6636" w:rsidP="00484DB0">
            <w:pPr>
              <w:pStyle w:val="Bezriadkovania"/>
              <w:jc w:val="center"/>
              <w:rPr>
                <w:sz w:val="18"/>
                <w:szCs w:val="18"/>
              </w:rPr>
            </w:pPr>
            <w:r w:rsidRPr="00C518D0">
              <w:rPr>
                <w:sz w:val="18"/>
                <w:szCs w:val="18"/>
              </w:rPr>
              <w:t>-82</w:t>
            </w:r>
          </w:p>
        </w:tc>
        <w:tc>
          <w:tcPr>
            <w:tcW w:w="567" w:type="dxa"/>
            <w:tcBorders>
              <w:top w:val="nil"/>
              <w:left w:val="nil"/>
              <w:bottom w:val="nil"/>
              <w:right w:val="nil"/>
            </w:tcBorders>
            <w:shd w:val="clear" w:color="auto" w:fill="auto"/>
            <w:noWrap/>
          </w:tcPr>
          <w:p w14:paraId="6F83DB1A" w14:textId="77777777" w:rsidR="000F6636" w:rsidRPr="00F803F5" w:rsidRDefault="000F6636" w:rsidP="00484DB0">
            <w:pPr>
              <w:pStyle w:val="Bezriadkovania"/>
              <w:jc w:val="center"/>
              <w:rPr>
                <w:sz w:val="18"/>
                <w:szCs w:val="18"/>
              </w:rPr>
            </w:pPr>
            <w:r w:rsidRPr="00C518D0">
              <w:rPr>
                <w:sz w:val="18"/>
                <w:szCs w:val="18"/>
              </w:rPr>
              <w:t>-199</w:t>
            </w:r>
          </w:p>
        </w:tc>
        <w:tc>
          <w:tcPr>
            <w:tcW w:w="567" w:type="dxa"/>
            <w:tcBorders>
              <w:top w:val="nil"/>
              <w:left w:val="nil"/>
              <w:bottom w:val="nil"/>
              <w:right w:val="nil"/>
            </w:tcBorders>
            <w:shd w:val="clear" w:color="auto" w:fill="auto"/>
            <w:noWrap/>
          </w:tcPr>
          <w:p w14:paraId="30797147" w14:textId="77777777" w:rsidR="000F6636" w:rsidRPr="00F803F5" w:rsidRDefault="000F6636" w:rsidP="00484DB0">
            <w:pPr>
              <w:pStyle w:val="Bezriadkovania"/>
              <w:jc w:val="center"/>
              <w:rPr>
                <w:sz w:val="18"/>
                <w:szCs w:val="18"/>
              </w:rPr>
            </w:pPr>
            <w:r w:rsidRPr="00C518D0">
              <w:rPr>
                <w:sz w:val="18"/>
                <w:szCs w:val="18"/>
              </w:rPr>
              <w:t>-129</w:t>
            </w:r>
          </w:p>
        </w:tc>
        <w:tc>
          <w:tcPr>
            <w:tcW w:w="567" w:type="dxa"/>
            <w:tcBorders>
              <w:top w:val="nil"/>
              <w:left w:val="nil"/>
              <w:bottom w:val="nil"/>
              <w:right w:val="nil"/>
            </w:tcBorders>
            <w:shd w:val="clear" w:color="auto" w:fill="auto"/>
            <w:noWrap/>
          </w:tcPr>
          <w:p w14:paraId="3DFB7BF2"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3CED3DE"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386489F" w14:textId="77777777" w:rsidTr="00484DB0">
        <w:trPr>
          <w:trHeight w:val="26"/>
        </w:trPr>
        <w:tc>
          <w:tcPr>
            <w:tcW w:w="6237" w:type="dxa"/>
            <w:tcBorders>
              <w:top w:val="nil"/>
              <w:left w:val="nil"/>
              <w:bottom w:val="nil"/>
              <w:right w:val="nil"/>
            </w:tcBorders>
            <w:shd w:val="clear" w:color="auto" w:fill="auto"/>
          </w:tcPr>
          <w:p w14:paraId="657E1918" w14:textId="77777777" w:rsidR="000F6636" w:rsidRPr="00F803F5" w:rsidRDefault="000F6636" w:rsidP="00484DB0">
            <w:pPr>
              <w:pStyle w:val="Bezriadkovania"/>
              <w:rPr>
                <w:sz w:val="18"/>
                <w:szCs w:val="18"/>
              </w:rPr>
            </w:pPr>
            <w:r w:rsidRPr="00C518D0">
              <w:rPr>
                <w:sz w:val="18"/>
                <w:szCs w:val="18"/>
              </w:rPr>
              <w:t>Osobitný odvod pre Vodohospodársku výstavbu</w:t>
            </w:r>
          </w:p>
        </w:tc>
        <w:tc>
          <w:tcPr>
            <w:tcW w:w="567" w:type="dxa"/>
            <w:tcBorders>
              <w:top w:val="nil"/>
              <w:left w:val="nil"/>
              <w:bottom w:val="nil"/>
              <w:right w:val="nil"/>
            </w:tcBorders>
            <w:shd w:val="clear" w:color="auto" w:fill="auto"/>
            <w:noWrap/>
          </w:tcPr>
          <w:p w14:paraId="3195A681" w14:textId="77777777" w:rsidR="000F6636" w:rsidRPr="00F803F5" w:rsidRDefault="000F6636" w:rsidP="00484DB0">
            <w:pPr>
              <w:pStyle w:val="Bezriadkovania"/>
              <w:jc w:val="center"/>
              <w:rPr>
                <w:sz w:val="18"/>
                <w:szCs w:val="18"/>
              </w:rPr>
            </w:pPr>
            <w:r w:rsidRPr="00C518D0">
              <w:rPr>
                <w:sz w:val="18"/>
                <w:szCs w:val="18"/>
              </w:rPr>
              <w:t>152</w:t>
            </w:r>
          </w:p>
        </w:tc>
        <w:tc>
          <w:tcPr>
            <w:tcW w:w="567" w:type="dxa"/>
            <w:tcBorders>
              <w:top w:val="nil"/>
              <w:left w:val="nil"/>
              <w:bottom w:val="nil"/>
              <w:right w:val="nil"/>
            </w:tcBorders>
            <w:shd w:val="clear" w:color="auto" w:fill="auto"/>
            <w:noWrap/>
          </w:tcPr>
          <w:p w14:paraId="55217535" w14:textId="77777777" w:rsidR="000F6636" w:rsidRPr="00F803F5" w:rsidRDefault="000F6636" w:rsidP="00484DB0">
            <w:pPr>
              <w:pStyle w:val="Bezriadkovania"/>
              <w:jc w:val="center"/>
              <w:rPr>
                <w:sz w:val="18"/>
                <w:szCs w:val="18"/>
              </w:rPr>
            </w:pPr>
            <w:r w:rsidRPr="00C518D0">
              <w:rPr>
                <w:sz w:val="18"/>
                <w:szCs w:val="18"/>
              </w:rPr>
              <w:t>-69</w:t>
            </w:r>
          </w:p>
        </w:tc>
        <w:tc>
          <w:tcPr>
            <w:tcW w:w="567" w:type="dxa"/>
            <w:tcBorders>
              <w:top w:val="nil"/>
              <w:left w:val="nil"/>
              <w:bottom w:val="nil"/>
              <w:right w:val="nil"/>
            </w:tcBorders>
            <w:shd w:val="clear" w:color="auto" w:fill="auto"/>
            <w:noWrap/>
          </w:tcPr>
          <w:p w14:paraId="7F9A63FE" w14:textId="77777777" w:rsidR="000F6636" w:rsidRPr="00F803F5" w:rsidRDefault="000F6636" w:rsidP="00484DB0">
            <w:pPr>
              <w:pStyle w:val="Bezriadkovania"/>
              <w:jc w:val="center"/>
              <w:rPr>
                <w:sz w:val="18"/>
                <w:szCs w:val="18"/>
              </w:rPr>
            </w:pPr>
            <w:r w:rsidRPr="00C518D0">
              <w:rPr>
                <w:sz w:val="18"/>
                <w:szCs w:val="18"/>
              </w:rPr>
              <w:t>-43</w:t>
            </w:r>
          </w:p>
        </w:tc>
        <w:tc>
          <w:tcPr>
            <w:tcW w:w="567" w:type="dxa"/>
            <w:tcBorders>
              <w:top w:val="nil"/>
              <w:left w:val="nil"/>
              <w:bottom w:val="nil"/>
              <w:right w:val="nil"/>
            </w:tcBorders>
            <w:shd w:val="clear" w:color="auto" w:fill="auto"/>
            <w:noWrap/>
          </w:tcPr>
          <w:p w14:paraId="60FAFD22" w14:textId="77777777" w:rsidR="000F6636" w:rsidRPr="00C518D0" w:rsidRDefault="000F6636" w:rsidP="00484DB0">
            <w:pPr>
              <w:pStyle w:val="Bezriadkovania"/>
              <w:jc w:val="center"/>
              <w:rPr>
                <w:sz w:val="18"/>
                <w:szCs w:val="18"/>
              </w:rPr>
            </w:pPr>
            <w:r w:rsidRPr="00C518D0">
              <w:rPr>
                <w:sz w:val="18"/>
                <w:szCs w:val="18"/>
              </w:rPr>
              <w:t>-20</w:t>
            </w:r>
          </w:p>
        </w:tc>
        <w:tc>
          <w:tcPr>
            <w:tcW w:w="567" w:type="dxa"/>
            <w:tcBorders>
              <w:top w:val="nil"/>
              <w:left w:val="nil"/>
              <w:bottom w:val="nil"/>
              <w:right w:val="nil"/>
            </w:tcBorders>
            <w:shd w:val="clear" w:color="auto" w:fill="auto"/>
            <w:noWrap/>
          </w:tcPr>
          <w:p w14:paraId="17CDF6EB" w14:textId="77777777" w:rsidR="000F6636" w:rsidRPr="00C518D0" w:rsidRDefault="000F6636" w:rsidP="00484DB0">
            <w:pPr>
              <w:pStyle w:val="Bezriadkovania"/>
              <w:jc w:val="center"/>
              <w:rPr>
                <w:sz w:val="18"/>
                <w:szCs w:val="18"/>
              </w:rPr>
            </w:pPr>
            <w:r w:rsidRPr="00C518D0">
              <w:rPr>
                <w:sz w:val="18"/>
                <w:szCs w:val="18"/>
              </w:rPr>
              <w:t>-20</w:t>
            </w:r>
          </w:p>
        </w:tc>
      </w:tr>
      <w:tr w:rsidR="000F6636" w:rsidRPr="007C2DC9" w14:paraId="70C0176F" w14:textId="77777777" w:rsidTr="00484DB0">
        <w:trPr>
          <w:trHeight w:val="26"/>
        </w:trPr>
        <w:tc>
          <w:tcPr>
            <w:tcW w:w="6237" w:type="dxa"/>
            <w:tcBorders>
              <w:top w:val="nil"/>
              <w:left w:val="nil"/>
              <w:bottom w:val="nil"/>
              <w:right w:val="nil"/>
            </w:tcBorders>
            <w:shd w:val="clear" w:color="auto" w:fill="auto"/>
          </w:tcPr>
          <w:p w14:paraId="619CDEE4" w14:textId="77777777" w:rsidR="000F6636" w:rsidRPr="00FE2D91" w:rsidRDefault="000F6636" w:rsidP="00484DB0">
            <w:pPr>
              <w:pStyle w:val="Bezriadkovania"/>
              <w:rPr>
                <w:sz w:val="18"/>
                <w:szCs w:val="18"/>
                <w:highlight w:val="yellow"/>
              </w:rPr>
            </w:pPr>
            <w:r w:rsidRPr="00FE2D91">
              <w:rPr>
                <w:sz w:val="18"/>
                <w:szCs w:val="18"/>
              </w:rPr>
              <w:t>Valorizácia správnych a súdnych poplatkov - od 1Q 2024</w:t>
            </w:r>
          </w:p>
        </w:tc>
        <w:tc>
          <w:tcPr>
            <w:tcW w:w="567" w:type="dxa"/>
            <w:tcBorders>
              <w:top w:val="nil"/>
              <w:left w:val="nil"/>
              <w:bottom w:val="nil"/>
              <w:right w:val="nil"/>
            </w:tcBorders>
            <w:shd w:val="clear" w:color="auto" w:fill="auto"/>
            <w:noWrap/>
          </w:tcPr>
          <w:p w14:paraId="5A1FB69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DAC3F3C" w14:textId="77777777" w:rsidR="000F6636" w:rsidRPr="00C518D0" w:rsidRDefault="000F6636" w:rsidP="00484DB0">
            <w:pPr>
              <w:pStyle w:val="Bezriadkovania"/>
              <w:jc w:val="center"/>
              <w:rPr>
                <w:sz w:val="18"/>
                <w:szCs w:val="18"/>
              </w:rPr>
            </w:pPr>
            <w:r w:rsidRPr="00F803F5">
              <w:rPr>
                <w:sz w:val="18"/>
                <w:szCs w:val="18"/>
              </w:rPr>
              <w:t>38</w:t>
            </w:r>
          </w:p>
        </w:tc>
        <w:tc>
          <w:tcPr>
            <w:tcW w:w="567" w:type="dxa"/>
            <w:tcBorders>
              <w:top w:val="nil"/>
              <w:left w:val="nil"/>
              <w:bottom w:val="nil"/>
              <w:right w:val="nil"/>
            </w:tcBorders>
            <w:shd w:val="clear" w:color="auto" w:fill="auto"/>
            <w:noWrap/>
          </w:tcPr>
          <w:p w14:paraId="240290C1" w14:textId="77777777" w:rsidR="000F6636" w:rsidRPr="00C518D0" w:rsidRDefault="000F6636" w:rsidP="00484DB0">
            <w:pPr>
              <w:pStyle w:val="Bezriadkovania"/>
              <w:jc w:val="center"/>
              <w:rPr>
                <w:sz w:val="18"/>
                <w:szCs w:val="18"/>
              </w:rPr>
            </w:pPr>
            <w:r w:rsidRPr="00F803F5">
              <w:rPr>
                <w:sz w:val="18"/>
                <w:szCs w:val="18"/>
              </w:rPr>
              <w:t>13</w:t>
            </w:r>
          </w:p>
        </w:tc>
        <w:tc>
          <w:tcPr>
            <w:tcW w:w="567" w:type="dxa"/>
            <w:tcBorders>
              <w:top w:val="nil"/>
              <w:left w:val="nil"/>
              <w:bottom w:val="nil"/>
              <w:right w:val="nil"/>
            </w:tcBorders>
            <w:shd w:val="clear" w:color="auto" w:fill="auto"/>
            <w:noWrap/>
          </w:tcPr>
          <w:p w14:paraId="1177F92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429F34F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7BB1D6D" w14:textId="77777777" w:rsidTr="00484DB0">
        <w:trPr>
          <w:trHeight w:val="26"/>
        </w:trPr>
        <w:tc>
          <w:tcPr>
            <w:tcW w:w="6237" w:type="dxa"/>
            <w:tcBorders>
              <w:top w:val="nil"/>
              <w:left w:val="nil"/>
              <w:bottom w:val="nil"/>
              <w:right w:val="nil"/>
            </w:tcBorders>
            <w:shd w:val="clear" w:color="auto" w:fill="auto"/>
          </w:tcPr>
          <w:p w14:paraId="144FFB82" w14:textId="77777777" w:rsidR="000F6636" w:rsidRPr="00FE2D91" w:rsidRDefault="000F6636" w:rsidP="00484DB0">
            <w:pPr>
              <w:pStyle w:val="Bezriadkovania"/>
              <w:rPr>
                <w:sz w:val="18"/>
                <w:szCs w:val="18"/>
                <w:highlight w:val="yellow"/>
              </w:rPr>
            </w:pPr>
            <w:r w:rsidRPr="00FE2D91">
              <w:rPr>
                <w:sz w:val="18"/>
                <w:szCs w:val="18"/>
              </w:rPr>
              <w:t>Zvýšenie poplatku za udržiavanie núdzových zásob ropy o 1 cent</w:t>
            </w:r>
          </w:p>
        </w:tc>
        <w:tc>
          <w:tcPr>
            <w:tcW w:w="567" w:type="dxa"/>
            <w:tcBorders>
              <w:top w:val="nil"/>
              <w:left w:val="nil"/>
              <w:bottom w:val="nil"/>
              <w:right w:val="nil"/>
            </w:tcBorders>
            <w:shd w:val="clear" w:color="auto" w:fill="auto"/>
            <w:noWrap/>
          </w:tcPr>
          <w:p w14:paraId="5B70593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01B1BD4" w14:textId="77777777" w:rsidR="000F6636" w:rsidRPr="00C518D0" w:rsidRDefault="000F6636" w:rsidP="00484DB0">
            <w:pPr>
              <w:pStyle w:val="Bezriadkovania"/>
              <w:jc w:val="center"/>
              <w:rPr>
                <w:sz w:val="18"/>
                <w:szCs w:val="18"/>
              </w:rPr>
            </w:pPr>
            <w:r w:rsidRPr="00F803F5">
              <w:rPr>
                <w:sz w:val="18"/>
                <w:szCs w:val="18"/>
              </w:rPr>
              <w:t>33</w:t>
            </w:r>
          </w:p>
        </w:tc>
        <w:tc>
          <w:tcPr>
            <w:tcW w:w="567" w:type="dxa"/>
            <w:tcBorders>
              <w:top w:val="nil"/>
              <w:left w:val="nil"/>
              <w:bottom w:val="nil"/>
              <w:right w:val="nil"/>
            </w:tcBorders>
            <w:shd w:val="clear" w:color="auto" w:fill="auto"/>
            <w:noWrap/>
          </w:tcPr>
          <w:p w14:paraId="2B0731C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4E0CE3F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F91CEE5"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633FFE7" w14:textId="77777777" w:rsidTr="00484DB0">
        <w:trPr>
          <w:trHeight w:val="26"/>
        </w:trPr>
        <w:tc>
          <w:tcPr>
            <w:tcW w:w="6237" w:type="dxa"/>
            <w:tcBorders>
              <w:top w:val="nil"/>
              <w:left w:val="nil"/>
              <w:bottom w:val="nil"/>
              <w:right w:val="nil"/>
            </w:tcBorders>
            <w:shd w:val="clear" w:color="auto" w:fill="auto"/>
          </w:tcPr>
          <w:p w14:paraId="6064D090" w14:textId="77777777" w:rsidR="000F6636" w:rsidRPr="00FE2D91" w:rsidRDefault="000F6636" w:rsidP="00484DB0">
            <w:pPr>
              <w:pStyle w:val="Bezriadkovania"/>
              <w:rPr>
                <w:sz w:val="18"/>
                <w:szCs w:val="18"/>
                <w:highlight w:val="yellow"/>
              </w:rPr>
            </w:pPr>
            <w:r>
              <w:rPr>
                <w:sz w:val="18"/>
                <w:szCs w:val="18"/>
              </w:rPr>
              <w:t>Z</w:t>
            </w:r>
            <w:r w:rsidRPr="00FE2D91">
              <w:rPr>
                <w:sz w:val="18"/>
                <w:szCs w:val="18"/>
              </w:rPr>
              <w:t>ákaz skládkovania komunálneho odpadu bez predúpravy</w:t>
            </w:r>
          </w:p>
        </w:tc>
        <w:tc>
          <w:tcPr>
            <w:tcW w:w="567" w:type="dxa"/>
            <w:tcBorders>
              <w:top w:val="nil"/>
              <w:left w:val="nil"/>
              <w:bottom w:val="nil"/>
              <w:right w:val="nil"/>
            </w:tcBorders>
            <w:shd w:val="clear" w:color="auto" w:fill="auto"/>
            <w:noWrap/>
          </w:tcPr>
          <w:p w14:paraId="16A208C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1381D7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40CFA0F8" w14:textId="77777777" w:rsidR="000F6636" w:rsidRPr="00C518D0" w:rsidRDefault="000F6636" w:rsidP="00484DB0">
            <w:pPr>
              <w:pStyle w:val="Bezriadkovania"/>
              <w:jc w:val="center"/>
              <w:rPr>
                <w:sz w:val="18"/>
                <w:szCs w:val="18"/>
              </w:rPr>
            </w:pPr>
            <w:r w:rsidRPr="00F803F5">
              <w:rPr>
                <w:sz w:val="18"/>
                <w:szCs w:val="18"/>
              </w:rPr>
              <w:t>-15</w:t>
            </w:r>
          </w:p>
        </w:tc>
        <w:tc>
          <w:tcPr>
            <w:tcW w:w="567" w:type="dxa"/>
            <w:tcBorders>
              <w:top w:val="nil"/>
              <w:left w:val="nil"/>
              <w:bottom w:val="nil"/>
              <w:right w:val="nil"/>
            </w:tcBorders>
            <w:shd w:val="clear" w:color="auto" w:fill="auto"/>
            <w:noWrap/>
          </w:tcPr>
          <w:p w14:paraId="785F2727"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56DF3EF"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37D8DE4" w14:textId="77777777" w:rsidTr="00484DB0">
        <w:trPr>
          <w:trHeight w:val="26"/>
        </w:trPr>
        <w:tc>
          <w:tcPr>
            <w:tcW w:w="6237" w:type="dxa"/>
            <w:tcBorders>
              <w:top w:val="nil"/>
              <w:left w:val="nil"/>
              <w:bottom w:val="nil"/>
              <w:right w:val="nil"/>
            </w:tcBorders>
            <w:shd w:val="clear" w:color="auto" w:fill="auto"/>
          </w:tcPr>
          <w:p w14:paraId="63ECFFEE" w14:textId="77777777" w:rsidR="000F6636" w:rsidRPr="00FE2D91" w:rsidRDefault="000F6636" w:rsidP="00484DB0">
            <w:pPr>
              <w:pStyle w:val="Bezriadkovania"/>
              <w:rPr>
                <w:sz w:val="18"/>
                <w:szCs w:val="18"/>
                <w:highlight w:val="yellow"/>
              </w:rPr>
            </w:pPr>
            <w:r w:rsidRPr="00FE2D91">
              <w:rPr>
                <w:sz w:val="18"/>
                <w:szCs w:val="18"/>
              </w:rPr>
              <w:t>Rozšírenie osobitného odvodu z podnikania v regulovaných odvetviach (banková daň)</w:t>
            </w:r>
          </w:p>
        </w:tc>
        <w:tc>
          <w:tcPr>
            <w:tcW w:w="567" w:type="dxa"/>
            <w:tcBorders>
              <w:top w:val="nil"/>
              <w:left w:val="nil"/>
              <w:bottom w:val="nil"/>
              <w:right w:val="nil"/>
            </w:tcBorders>
            <w:shd w:val="clear" w:color="auto" w:fill="auto"/>
            <w:noWrap/>
          </w:tcPr>
          <w:p w14:paraId="1623447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205B456" w14:textId="77777777" w:rsidR="000F6636" w:rsidRPr="00C518D0" w:rsidRDefault="000F6636" w:rsidP="00484DB0">
            <w:pPr>
              <w:pStyle w:val="Bezriadkovania"/>
              <w:jc w:val="center"/>
              <w:rPr>
                <w:sz w:val="18"/>
                <w:szCs w:val="18"/>
              </w:rPr>
            </w:pPr>
            <w:r w:rsidRPr="00F803F5">
              <w:rPr>
                <w:sz w:val="18"/>
                <w:szCs w:val="18"/>
              </w:rPr>
              <w:t>320</w:t>
            </w:r>
          </w:p>
        </w:tc>
        <w:tc>
          <w:tcPr>
            <w:tcW w:w="567" w:type="dxa"/>
            <w:tcBorders>
              <w:top w:val="nil"/>
              <w:left w:val="nil"/>
              <w:bottom w:val="nil"/>
              <w:right w:val="nil"/>
            </w:tcBorders>
            <w:shd w:val="clear" w:color="auto" w:fill="auto"/>
            <w:noWrap/>
          </w:tcPr>
          <w:p w14:paraId="0FE428CD" w14:textId="77777777" w:rsidR="000F6636" w:rsidRPr="00C518D0" w:rsidRDefault="000F6636" w:rsidP="00484DB0">
            <w:pPr>
              <w:pStyle w:val="Bezriadkovania"/>
              <w:jc w:val="center"/>
              <w:rPr>
                <w:sz w:val="18"/>
                <w:szCs w:val="18"/>
              </w:rPr>
            </w:pPr>
            <w:r w:rsidRPr="00F803F5">
              <w:rPr>
                <w:sz w:val="18"/>
                <w:szCs w:val="18"/>
              </w:rPr>
              <w:t>-51</w:t>
            </w:r>
          </w:p>
        </w:tc>
        <w:tc>
          <w:tcPr>
            <w:tcW w:w="567" w:type="dxa"/>
            <w:tcBorders>
              <w:top w:val="nil"/>
              <w:left w:val="nil"/>
              <w:bottom w:val="nil"/>
              <w:right w:val="nil"/>
            </w:tcBorders>
            <w:shd w:val="clear" w:color="auto" w:fill="auto"/>
            <w:noWrap/>
          </w:tcPr>
          <w:p w14:paraId="3EFE06FB" w14:textId="77777777" w:rsidR="000F6636" w:rsidRPr="00C518D0" w:rsidRDefault="000F6636" w:rsidP="00484DB0">
            <w:pPr>
              <w:pStyle w:val="Bezriadkovania"/>
              <w:jc w:val="center"/>
              <w:rPr>
                <w:sz w:val="18"/>
                <w:szCs w:val="18"/>
              </w:rPr>
            </w:pPr>
            <w:r w:rsidRPr="00F803F5">
              <w:rPr>
                <w:sz w:val="18"/>
                <w:szCs w:val="18"/>
              </w:rPr>
              <w:t>-41</w:t>
            </w:r>
          </w:p>
        </w:tc>
        <w:tc>
          <w:tcPr>
            <w:tcW w:w="567" w:type="dxa"/>
            <w:tcBorders>
              <w:top w:val="nil"/>
              <w:left w:val="nil"/>
              <w:bottom w:val="nil"/>
              <w:right w:val="nil"/>
            </w:tcBorders>
            <w:shd w:val="clear" w:color="auto" w:fill="auto"/>
            <w:noWrap/>
          </w:tcPr>
          <w:p w14:paraId="325EA21A" w14:textId="77777777" w:rsidR="000F6636" w:rsidRPr="00C518D0" w:rsidRDefault="000F6636" w:rsidP="00484DB0">
            <w:pPr>
              <w:pStyle w:val="Bezriadkovania"/>
              <w:jc w:val="center"/>
              <w:rPr>
                <w:sz w:val="18"/>
                <w:szCs w:val="18"/>
              </w:rPr>
            </w:pPr>
            <w:r w:rsidRPr="00F803F5">
              <w:rPr>
                <w:sz w:val="18"/>
                <w:szCs w:val="18"/>
              </w:rPr>
              <w:t>-46</w:t>
            </w:r>
          </w:p>
        </w:tc>
      </w:tr>
      <w:tr w:rsidR="000F6636" w:rsidRPr="007C2DC9" w14:paraId="6A8920E5" w14:textId="77777777" w:rsidTr="00484DB0">
        <w:trPr>
          <w:trHeight w:val="26"/>
        </w:trPr>
        <w:tc>
          <w:tcPr>
            <w:tcW w:w="6237" w:type="dxa"/>
            <w:tcBorders>
              <w:top w:val="nil"/>
              <w:left w:val="nil"/>
              <w:bottom w:val="nil"/>
              <w:right w:val="nil"/>
            </w:tcBorders>
            <w:shd w:val="clear" w:color="auto" w:fill="auto"/>
          </w:tcPr>
          <w:p w14:paraId="32B96ADA" w14:textId="77777777" w:rsidR="000F6636" w:rsidRPr="00FE2D91" w:rsidRDefault="000F6636" w:rsidP="00484DB0">
            <w:pPr>
              <w:pStyle w:val="Bezriadkovania"/>
              <w:rPr>
                <w:sz w:val="18"/>
                <w:szCs w:val="18"/>
                <w:highlight w:val="yellow"/>
              </w:rPr>
            </w:pPr>
            <w:r w:rsidRPr="00FE2D91">
              <w:rPr>
                <w:sz w:val="18"/>
                <w:szCs w:val="18"/>
              </w:rPr>
              <w:t>Zníženie DPH na 10 % - gastro</w:t>
            </w:r>
            <w:r>
              <w:rPr>
                <w:sz w:val="18"/>
                <w:szCs w:val="18"/>
              </w:rPr>
              <w:t xml:space="preserve"> a</w:t>
            </w:r>
            <w:r w:rsidRPr="00FE2D91">
              <w:rPr>
                <w:sz w:val="18"/>
                <w:szCs w:val="18"/>
              </w:rPr>
              <w:t xml:space="preserve"> športoviská</w:t>
            </w:r>
            <w:r>
              <w:rPr>
                <w:sz w:val="18"/>
                <w:szCs w:val="18"/>
              </w:rPr>
              <w:t>,</w:t>
            </w:r>
            <w:r w:rsidRPr="00FE2D91">
              <w:rPr>
                <w:sz w:val="18"/>
                <w:szCs w:val="18"/>
              </w:rPr>
              <w:t xml:space="preserve"> následné vylúčenie alk</w:t>
            </w:r>
            <w:r>
              <w:rPr>
                <w:sz w:val="18"/>
                <w:szCs w:val="18"/>
              </w:rPr>
              <w:t>oholu</w:t>
            </w:r>
            <w:r w:rsidRPr="00FE2D91">
              <w:rPr>
                <w:sz w:val="18"/>
                <w:szCs w:val="18"/>
              </w:rPr>
              <w:t xml:space="preserve"> z gastro služieb</w:t>
            </w:r>
          </w:p>
        </w:tc>
        <w:tc>
          <w:tcPr>
            <w:tcW w:w="567" w:type="dxa"/>
            <w:tcBorders>
              <w:top w:val="nil"/>
              <w:left w:val="nil"/>
              <w:bottom w:val="nil"/>
              <w:right w:val="nil"/>
            </w:tcBorders>
            <w:shd w:val="clear" w:color="auto" w:fill="auto"/>
            <w:noWrap/>
          </w:tcPr>
          <w:p w14:paraId="0E44ECF6" w14:textId="77777777" w:rsidR="000F6636" w:rsidRPr="00C518D0" w:rsidRDefault="000F6636" w:rsidP="00484DB0">
            <w:pPr>
              <w:pStyle w:val="Bezriadkovania"/>
              <w:jc w:val="center"/>
              <w:rPr>
                <w:sz w:val="18"/>
                <w:szCs w:val="18"/>
              </w:rPr>
            </w:pPr>
            <w:r w:rsidRPr="00F803F5">
              <w:rPr>
                <w:sz w:val="18"/>
                <w:szCs w:val="18"/>
              </w:rPr>
              <w:t>-149</w:t>
            </w:r>
          </w:p>
        </w:tc>
        <w:tc>
          <w:tcPr>
            <w:tcW w:w="567" w:type="dxa"/>
            <w:tcBorders>
              <w:top w:val="nil"/>
              <w:left w:val="nil"/>
              <w:bottom w:val="nil"/>
              <w:right w:val="nil"/>
            </w:tcBorders>
            <w:shd w:val="clear" w:color="auto" w:fill="auto"/>
            <w:noWrap/>
          </w:tcPr>
          <w:p w14:paraId="054362F3" w14:textId="77777777" w:rsidR="000F6636" w:rsidRPr="00C518D0" w:rsidRDefault="000F6636" w:rsidP="00484DB0">
            <w:pPr>
              <w:pStyle w:val="Bezriadkovania"/>
              <w:jc w:val="center"/>
              <w:rPr>
                <w:sz w:val="18"/>
                <w:szCs w:val="18"/>
              </w:rPr>
            </w:pPr>
            <w:r w:rsidRPr="00F803F5">
              <w:rPr>
                <w:sz w:val="18"/>
                <w:szCs w:val="18"/>
              </w:rPr>
              <w:t>27</w:t>
            </w:r>
          </w:p>
        </w:tc>
        <w:tc>
          <w:tcPr>
            <w:tcW w:w="567" w:type="dxa"/>
            <w:tcBorders>
              <w:top w:val="nil"/>
              <w:left w:val="nil"/>
              <w:bottom w:val="nil"/>
              <w:right w:val="nil"/>
            </w:tcBorders>
            <w:shd w:val="clear" w:color="auto" w:fill="auto"/>
            <w:noWrap/>
          </w:tcPr>
          <w:p w14:paraId="0537C5FE"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47B36037"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477EE7A3"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DA0CB0A" w14:textId="77777777" w:rsidTr="00484DB0">
        <w:trPr>
          <w:trHeight w:val="26"/>
        </w:trPr>
        <w:tc>
          <w:tcPr>
            <w:tcW w:w="6237" w:type="dxa"/>
            <w:tcBorders>
              <w:top w:val="nil"/>
              <w:left w:val="nil"/>
              <w:bottom w:val="nil"/>
              <w:right w:val="nil"/>
            </w:tcBorders>
            <w:shd w:val="clear" w:color="auto" w:fill="auto"/>
          </w:tcPr>
          <w:p w14:paraId="29BFD260" w14:textId="77777777" w:rsidR="000F6636" w:rsidRPr="00FE2D91" w:rsidRDefault="000F6636" w:rsidP="00484DB0">
            <w:pPr>
              <w:pStyle w:val="Bezriadkovania"/>
              <w:rPr>
                <w:sz w:val="18"/>
                <w:szCs w:val="18"/>
                <w:highlight w:val="yellow"/>
              </w:rPr>
            </w:pPr>
            <w:r w:rsidRPr="00FE2D91">
              <w:rPr>
                <w:sz w:val="18"/>
                <w:szCs w:val="18"/>
              </w:rPr>
              <w:t>Zvýšenie sadzby zrážkovej dane z dividend na 10 %</w:t>
            </w:r>
          </w:p>
        </w:tc>
        <w:tc>
          <w:tcPr>
            <w:tcW w:w="567" w:type="dxa"/>
            <w:tcBorders>
              <w:top w:val="nil"/>
              <w:left w:val="nil"/>
              <w:bottom w:val="nil"/>
              <w:right w:val="nil"/>
            </w:tcBorders>
            <w:shd w:val="clear" w:color="auto" w:fill="auto"/>
            <w:noWrap/>
          </w:tcPr>
          <w:p w14:paraId="3EF676E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03C6771"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85926A0" w14:textId="77777777" w:rsidR="000F6636" w:rsidRPr="00C518D0" w:rsidRDefault="000F6636" w:rsidP="00484DB0">
            <w:pPr>
              <w:pStyle w:val="Bezriadkovania"/>
              <w:jc w:val="center"/>
              <w:rPr>
                <w:sz w:val="18"/>
                <w:szCs w:val="18"/>
              </w:rPr>
            </w:pPr>
            <w:r w:rsidRPr="00F803F5">
              <w:rPr>
                <w:sz w:val="18"/>
                <w:szCs w:val="18"/>
              </w:rPr>
              <w:t>10</w:t>
            </w:r>
          </w:p>
        </w:tc>
        <w:tc>
          <w:tcPr>
            <w:tcW w:w="567" w:type="dxa"/>
            <w:tcBorders>
              <w:top w:val="nil"/>
              <w:left w:val="nil"/>
              <w:bottom w:val="nil"/>
              <w:right w:val="nil"/>
            </w:tcBorders>
            <w:shd w:val="clear" w:color="auto" w:fill="auto"/>
            <w:noWrap/>
          </w:tcPr>
          <w:p w14:paraId="0F2BBA6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B9A6852"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885DD96" w14:textId="77777777" w:rsidTr="00484DB0">
        <w:trPr>
          <w:trHeight w:val="26"/>
        </w:trPr>
        <w:tc>
          <w:tcPr>
            <w:tcW w:w="6237" w:type="dxa"/>
            <w:tcBorders>
              <w:top w:val="nil"/>
              <w:left w:val="nil"/>
              <w:bottom w:val="nil"/>
              <w:right w:val="nil"/>
            </w:tcBorders>
            <w:shd w:val="clear" w:color="auto" w:fill="auto"/>
          </w:tcPr>
          <w:p w14:paraId="6C99E96A" w14:textId="77777777" w:rsidR="000F6636" w:rsidRPr="00FE2D91" w:rsidRDefault="000F6636" w:rsidP="00484DB0">
            <w:pPr>
              <w:pStyle w:val="Bezriadkovania"/>
              <w:rPr>
                <w:sz w:val="18"/>
                <w:szCs w:val="18"/>
                <w:highlight w:val="yellow"/>
              </w:rPr>
            </w:pPr>
            <w:r w:rsidRPr="00FE2D91">
              <w:rPr>
                <w:sz w:val="18"/>
                <w:szCs w:val="18"/>
              </w:rPr>
              <w:t>Zavedenie minimálnej DPPO a zmena hranice príjmu mikrodaňovníkov</w:t>
            </w:r>
          </w:p>
        </w:tc>
        <w:tc>
          <w:tcPr>
            <w:tcW w:w="567" w:type="dxa"/>
            <w:tcBorders>
              <w:top w:val="nil"/>
              <w:left w:val="nil"/>
              <w:bottom w:val="nil"/>
              <w:right w:val="nil"/>
            </w:tcBorders>
            <w:shd w:val="clear" w:color="auto" w:fill="auto"/>
            <w:noWrap/>
          </w:tcPr>
          <w:p w14:paraId="679C7CD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96E55B0" w14:textId="77777777" w:rsidR="000F6636" w:rsidRPr="00C518D0" w:rsidRDefault="000F6636" w:rsidP="00484DB0">
            <w:pPr>
              <w:pStyle w:val="Bezriadkovania"/>
              <w:jc w:val="center"/>
              <w:rPr>
                <w:sz w:val="18"/>
                <w:szCs w:val="18"/>
              </w:rPr>
            </w:pPr>
            <w:r w:rsidRPr="00F803F5">
              <w:rPr>
                <w:sz w:val="18"/>
                <w:szCs w:val="18"/>
              </w:rPr>
              <w:t>118</w:t>
            </w:r>
          </w:p>
        </w:tc>
        <w:tc>
          <w:tcPr>
            <w:tcW w:w="567" w:type="dxa"/>
            <w:tcBorders>
              <w:top w:val="nil"/>
              <w:left w:val="nil"/>
              <w:bottom w:val="nil"/>
              <w:right w:val="nil"/>
            </w:tcBorders>
            <w:shd w:val="clear" w:color="auto" w:fill="auto"/>
            <w:noWrap/>
          </w:tcPr>
          <w:p w14:paraId="18DA3E5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79778B0"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8FDB7ED"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0A8EA53" w14:textId="77777777" w:rsidTr="00484DB0">
        <w:trPr>
          <w:trHeight w:val="26"/>
        </w:trPr>
        <w:tc>
          <w:tcPr>
            <w:tcW w:w="6237" w:type="dxa"/>
            <w:tcBorders>
              <w:top w:val="nil"/>
              <w:left w:val="nil"/>
              <w:bottom w:val="nil"/>
              <w:right w:val="nil"/>
            </w:tcBorders>
            <w:shd w:val="clear" w:color="auto" w:fill="auto"/>
          </w:tcPr>
          <w:p w14:paraId="629278D7" w14:textId="77777777" w:rsidR="000F6636" w:rsidRPr="00FE2D91" w:rsidRDefault="000F6636" w:rsidP="00484DB0">
            <w:pPr>
              <w:pStyle w:val="Bezriadkovania"/>
              <w:rPr>
                <w:sz w:val="18"/>
                <w:szCs w:val="18"/>
                <w:highlight w:val="yellow"/>
              </w:rPr>
            </w:pPr>
            <w:r w:rsidRPr="00FE2D91">
              <w:rPr>
                <w:sz w:val="18"/>
                <w:szCs w:val="18"/>
              </w:rPr>
              <w:t>Zvýšenie sadzieb spotrebnej dane z tabakových výrobkov</w:t>
            </w:r>
          </w:p>
        </w:tc>
        <w:tc>
          <w:tcPr>
            <w:tcW w:w="567" w:type="dxa"/>
            <w:tcBorders>
              <w:top w:val="nil"/>
              <w:left w:val="nil"/>
              <w:bottom w:val="nil"/>
              <w:right w:val="nil"/>
            </w:tcBorders>
            <w:shd w:val="clear" w:color="auto" w:fill="auto"/>
            <w:noWrap/>
          </w:tcPr>
          <w:p w14:paraId="2832B68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3C9164DC" w14:textId="77777777" w:rsidR="000F6636" w:rsidRPr="00C518D0" w:rsidRDefault="000F6636" w:rsidP="00484DB0">
            <w:pPr>
              <w:pStyle w:val="Bezriadkovania"/>
              <w:jc w:val="center"/>
              <w:rPr>
                <w:sz w:val="18"/>
                <w:szCs w:val="18"/>
              </w:rPr>
            </w:pPr>
            <w:r w:rsidRPr="00F803F5">
              <w:rPr>
                <w:sz w:val="18"/>
                <w:szCs w:val="18"/>
              </w:rPr>
              <w:t>83</w:t>
            </w:r>
          </w:p>
        </w:tc>
        <w:tc>
          <w:tcPr>
            <w:tcW w:w="567" w:type="dxa"/>
            <w:tcBorders>
              <w:top w:val="nil"/>
              <w:left w:val="nil"/>
              <w:bottom w:val="nil"/>
              <w:right w:val="nil"/>
            </w:tcBorders>
            <w:shd w:val="clear" w:color="auto" w:fill="auto"/>
            <w:noWrap/>
          </w:tcPr>
          <w:p w14:paraId="30D72384" w14:textId="77777777" w:rsidR="000F6636" w:rsidRPr="00C518D0" w:rsidRDefault="000F6636" w:rsidP="00484DB0">
            <w:pPr>
              <w:pStyle w:val="Bezriadkovania"/>
              <w:jc w:val="center"/>
              <w:rPr>
                <w:sz w:val="18"/>
                <w:szCs w:val="18"/>
              </w:rPr>
            </w:pPr>
            <w:r w:rsidRPr="00F803F5">
              <w:rPr>
                <w:sz w:val="18"/>
                <w:szCs w:val="18"/>
              </w:rPr>
              <w:t>70</w:t>
            </w:r>
          </w:p>
        </w:tc>
        <w:tc>
          <w:tcPr>
            <w:tcW w:w="567" w:type="dxa"/>
            <w:tcBorders>
              <w:top w:val="nil"/>
              <w:left w:val="nil"/>
              <w:bottom w:val="nil"/>
              <w:right w:val="nil"/>
            </w:tcBorders>
            <w:shd w:val="clear" w:color="auto" w:fill="auto"/>
            <w:noWrap/>
          </w:tcPr>
          <w:p w14:paraId="487A3F6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4DEC143"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67D72A2" w14:textId="77777777" w:rsidTr="00484DB0">
        <w:trPr>
          <w:trHeight w:val="26"/>
        </w:trPr>
        <w:tc>
          <w:tcPr>
            <w:tcW w:w="6237" w:type="dxa"/>
            <w:tcBorders>
              <w:top w:val="nil"/>
              <w:left w:val="nil"/>
              <w:bottom w:val="nil"/>
              <w:right w:val="nil"/>
            </w:tcBorders>
            <w:shd w:val="clear" w:color="auto" w:fill="auto"/>
          </w:tcPr>
          <w:p w14:paraId="2B325AD4" w14:textId="77777777" w:rsidR="000F6636" w:rsidRPr="00FE2D91" w:rsidRDefault="000F6636" w:rsidP="00484DB0">
            <w:pPr>
              <w:pStyle w:val="Bezriadkovania"/>
              <w:rPr>
                <w:sz w:val="18"/>
                <w:szCs w:val="18"/>
                <w:highlight w:val="yellow"/>
              </w:rPr>
            </w:pPr>
            <w:r w:rsidRPr="00FE2D91">
              <w:rPr>
                <w:sz w:val="18"/>
                <w:szCs w:val="18"/>
              </w:rPr>
              <w:t>Zavedenie minimálnej dane pre nadnárodné spoločnosti (dorovnávacia daň)</w:t>
            </w:r>
          </w:p>
        </w:tc>
        <w:tc>
          <w:tcPr>
            <w:tcW w:w="567" w:type="dxa"/>
            <w:tcBorders>
              <w:top w:val="nil"/>
              <w:left w:val="nil"/>
              <w:bottom w:val="nil"/>
              <w:right w:val="nil"/>
            </w:tcBorders>
            <w:shd w:val="clear" w:color="auto" w:fill="auto"/>
            <w:noWrap/>
          </w:tcPr>
          <w:p w14:paraId="45D34757"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564A3A7" w14:textId="77777777" w:rsidR="000F6636" w:rsidRPr="00C518D0" w:rsidRDefault="000F6636" w:rsidP="00484DB0">
            <w:pPr>
              <w:pStyle w:val="Bezriadkovania"/>
              <w:jc w:val="center"/>
              <w:rPr>
                <w:sz w:val="18"/>
                <w:szCs w:val="18"/>
              </w:rPr>
            </w:pPr>
            <w:r w:rsidRPr="00F803F5">
              <w:rPr>
                <w:sz w:val="18"/>
                <w:szCs w:val="18"/>
              </w:rPr>
              <w:t>49</w:t>
            </w:r>
          </w:p>
        </w:tc>
        <w:tc>
          <w:tcPr>
            <w:tcW w:w="567" w:type="dxa"/>
            <w:tcBorders>
              <w:top w:val="nil"/>
              <w:left w:val="nil"/>
              <w:bottom w:val="nil"/>
              <w:right w:val="nil"/>
            </w:tcBorders>
            <w:shd w:val="clear" w:color="auto" w:fill="auto"/>
            <w:noWrap/>
          </w:tcPr>
          <w:p w14:paraId="10E72FB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01E1E21"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E7696A0"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ACA624B" w14:textId="77777777" w:rsidTr="00484DB0">
        <w:trPr>
          <w:trHeight w:val="26"/>
        </w:trPr>
        <w:tc>
          <w:tcPr>
            <w:tcW w:w="6237" w:type="dxa"/>
            <w:tcBorders>
              <w:top w:val="nil"/>
              <w:left w:val="nil"/>
              <w:bottom w:val="nil"/>
              <w:right w:val="nil"/>
            </w:tcBorders>
            <w:shd w:val="clear" w:color="auto" w:fill="auto"/>
          </w:tcPr>
          <w:p w14:paraId="25A38A18" w14:textId="77777777" w:rsidR="000F6636" w:rsidRPr="00FE2D91" w:rsidRDefault="000F6636" w:rsidP="00484DB0">
            <w:pPr>
              <w:pStyle w:val="Bezriadkovania"/>
              <w:rPr>
                <w:sz w:val="18"/>
                <w:szCs w:val="18"/>
                <w:highlight w:val="yellow"/>
              </w:rPr>
            </w:pPr>
            <w:r w:rsidRPr="00FE2D91">
              <w:rPr>
                <w:sz w:val="18"/>
                <w:szCs w:val="18"/>
              </w:rPr>
              <w:t>Zvýšenie sadzby spotrebnej dane z</w:t>
            </w:r>
            <w:r>
              <w:rPr>
                <w:sz w:val="18"/>
                <w:szCs w:val="18"/>
              </w:rPr>
              <w:t> </w:t>
            </w:r>
            <w:r w:rsidRPr="00FE2D91">
              <w:rPr>
                <w:sz w:val="18"/>
                <w:szCs w:val="18"/>
              </w:rPr>
              <w:t>liehu</w:t>
            </w:r>
          </w:p>
        </w:tc>
        <w:tc>
          <w:tcPr>
            <w:tcW w:w="567" w:type="dxa"/>
            <w:tcBorders>
              <w:top w:val="nil"/>
              <w:left w:val="nil"/>
              <w:bottom w:val="nil"/>
              <w:right w:val="nil"/>
            </w:tcBorders>
            <w:shd w:val="clear" w:color="auto" w:fill="auto"/>
            <w:noWrap/>
          </w:tcPr>
          <w:p w14:paraId="0DF57B03" w14:textId="77777777" w:rsidR="000F6636" w:rsidRPr="00C518D0" w:rsidRDefault="000F6636" w:rsidP="00484DB0">
            <w:pPr>
              <w:pStyle w:val="Bezriadkovania"/>
              <w:jc w:val="center"/>
              <w:rPr>
                <w:sz w:val="18"/>
                <w:szCs w:val="18"/>
              </w:rPr>
            </w:pPr>
            <w:r w:rsidRPr="00F803F5">
              <w:rPr>
                <w:sz w:val="18"/>
                <w:szCs w:val="18"/>
              </w:rPr>
              <w:t>40</w:t>
            </w:r>
          </w:p>
        </w:tc>
        <w:tc>
          <w:tcPr>
            <w:tcW w:w="567" w:type="dxa"/>
            <w:tcBorders>
              <w:top w:val="nil"/>
              <w:left w:val="nil"/>
              <w:bottom w:val="nil"/>
              <w:right w:val="nil"/>
            </w:tcBorders>
            <w:shd w:val="clear" w:color="auto" w:fill="auto"/>
            <w:noWrap/>
          </w:tcPr>
          <w:p w14:paraId="1D7CCFB9" w14:textId="77777777" w:rsidR="000F6636" w:rsidRPr="00C518D0" w:rsidRDefault="000F6636" w:rsidP="00484DB0">
            <w:pPr>
              <w:pStyle w:val="Bezriadkovania"/>
              <w:jc w:val="center"/>
              <w:rPr>
                <w:sz w:val="18"/>
                <w:szCs w:val="18"/>
              </w:rPr>
            </w:pPr>
            <w:r w:rsidRPr="00F803F5">
              <w:rPr>
                <w:sz w:val="18"/>
                <w:szCs w:val="18"/>
              </w:rPr>
              <w:t>50</w:t>
            </w:r>
          </w:p>
        </w:tc>
        <w:tc>
          <w:tcPr>
            <w:tcW w:w="567" w:type="dxa"/>
            <w:tcBorders>
              <w:top w:val="nil"/>
              <w:left w:val="nil"/>
              <w:bottom w:val="nil"/>
              <w:right w:val="nil"/>
            </w:tcBorders>
            <w:shd w:val="clear" w:color="auto" w:fill="auto"/>
            <w:noWrap/>
          </w:tcPr>
          <w:p w14:paraId="5839B76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393F0540" w14:textId="77777777" w:rsidR="000F6636" w:rsidRPr="00C518D0" w:rsidRDefault="000F6636" w:rsidP="00484DB0">
            <w:pPr>
              <w:pStyle w:val="Bezriadkovania"/>
              <w:jc w:val="center"/>
              <w:rPr>
                <w:b/>
                <w:bCs/>
                <w:sz w:val="18"/>
                <w:szCs w:val="18"/>
              </w:rPr>
            </w:pPr>
            <w:r w:rsidRPr="00C518D0">
              <w:rPr>
                <w:sz w:val="18"/>
                <w:szCs w:val="18"/>
              </w:rPr>
              <w:t>-</w:t>
            </w:r>
          </w:p>
        </w:tc>
        <w:tc>
          <w:tcPr>
            <w:tcW w:w="567" w:type="dxa"/>
            <w:tcBorders>
              <w:top w:val="nil"/>
              <w:left w:val="nil"/>
              <w:bottom w:val="nil"/>
              <w:right w:val="nil"/>
            </w:tcBorders>
            <w:shd w:val="clear" w:color="auto" w:fill="auto"/>
            <w:noWrap/>
          </w:tcPr>
          <w:p w14:paraId="41B93F9E"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273527DC" w14:textId="77777777" w:rsidTr="00484DB0">
        <w:trPr>
          <w:trHeight w:val="26"/>
        </w:trPr>
        <w:tc>
          <w:tcPr>
            <w:tcW w:w="6237" w:type="dxa"/>
            <w:tcBorders>
              <w:top w:val="nil"/>
              <w:left w:val="nil"/>
              <w:bottom w:val="nil"/>
              <w:right w:val="nil"/>
            </w:tcBorders>
            <w:shd w:val="clear" w:color="auto" w:fill="auto"/>
          </w:tcPr>
          <w:p w14:paraId="4129C58A" w14:textId="77777777" w:rsidR="000F6636" w:rsidRPr="00FE2D91" w:rsidRDefault="000F6636" w:rsidP="00484DB0">
            <w:pPr>
              <w:pStyle w:val="Bezriadkovania"/>
              <w:rPr>
                <w:sz w:val="18"/>
                <w:szCs w:val="18"/>
                <w:highlight w:val="yellow"/>
              </w:rPr>
            </w:pPr>
            <w:r w:rsidRPr="00FE2D91">
              <w:rPr>
                <w:sz w:val="18"/>
                <w:szCs w:val="18"/>
              </w:rPr>
              <w:t>Zvýšenie sadzby zdravotného poistného zamestnávateľa o 1 p. b.</w:t>
            </w:r>
          </w:p>
        </w:tc>
        <w:tc>
          <w:tcPr>
            <w:tcW w:w="567" w:type="dxa"/>
            <w:tcBorders>
              <w:top w:val="nil"/>
              <w:left w:val="nil"/>
              <w:bottom w:val="nil"/>
              <w:right w:val="nil"/>
            </w:tcBorders>
            <w:shd w:val="clear" w:color="auto" w:fill="auto"/>
            <w:noWrap/>
          </w:tcPr>
          <w:p w14:paraId="7A8C275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DCEC14C" w14:textId="77777777" w:rsidR="000F6636" w:rsidRPr="00C518D0" w:rsidRDefault="000F6636" w:rsidP="00484DB0">
            <w:pPr>
              <w:pStyle w:val="Bezriadkovania"/>
              <w:jc w:val="center"/>
              <w:rPr>
                <w:sz w:val="18"/>
                <w:szCs w:val="18"/>
              </w:rPr>
            </w:pPr>
            <w:r w:rsidRPr="00F803F5">
              <w:rPr>
                <w:sz w:val="18"/>
                <w:szCs w:val="18"/>
              </w:rPr>
              <w:t>350</w:t>
            </w:r>
          </w:p>
        </w:tc>
        <w:tc>
          <w:tcPr>
            <w:tcW w:w="567" w:type="dxa"/>
            <w:tcBorders>
              <w:top w:val="nil"/>
              <w:left w:val="nil"/>
              <w:bottom w:val="nil"/>
              <w:right w:val="nil"/>
            </w:tcBorders>
            <w:shd w:val="clear" w:color="auto" w:fill="auto"/>
            <w:noWrap/>
          </w:tcPr>
          <w:p w14:paraId="2FDA688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8E9273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53921B7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7E6B6A3" w14:textId="77777777" w:rsidTr="00484DB0">
        <w:trPr>
          <w:trHeight w:val="26"/>
        </w:trPr>
        <w:tc>
          <w:tcPr>
            <w:tcW w:w="6237" w:type="dxa"/>
            <w:tcBorders>
              <w:top w:val="nil"/>
              <w:left w:val="nil"/>
              <w:bottom w:val="nil"/>
              <w:right w:val="nil"/>
            </w:tcBorders>
            <w:shd w:val="clear" w:color="auto" w:fill="auto"/>
          </w:tcPr>
          <w:p w14:paraId="3D46E529" w14:textId="77777777" w:rsidR="000F6636" w:rsidRPr="00FE2D91" w:rsidRDefault="000F6636" w:rsidP="00484DB0">
            <w:pPr>
              <w:pStyle w:val="Bezriadkovania"/>
              <w:rPr>
                <w:sz w:val="18"/>
                <w:szCs w:val="18"/>
                <w:highlight w:val="yellow"/>
              </w:rPr>
            </w:pPr>
            <w:r w:rsidRPr="00FE2D91">
              <w:rPr>
                <w:sz w:val="18"/>
                <w:szCs w:val="18"/>
              </w:rPr>
              <w:t>Zrušenie sviatku pracovného pokoja 1. septembra</w:t>
            </w:r>
          </w:p>
        </w:tc>
        <w:tc>
          <w:tcPr>
            <w:tcW w:w="567" w:type="dxa"/>
            <w:tcBorders>
              <w:top w:val="nil"/>
              <w:left w:val="nil"/>
              <w:bottom w:val="nil"/>
              <w:right w:val="nil"/>
            </w:tcBorders>
            <w:shd w:val="clear" w:color="auto" w:fill="auto"/>
            <w:noWrap/>
          </w:tcPr>
          <w:p w14:paraId="63D21F3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F05AD6C" w14:textId="77777777" w:rsidR="000F6636" w:rsidRPr="00C518D0" w:rsidRDefault="000F6636" w:rsidP="00484DB0">
            <w:pPr>
              <w:pStyle w:val="Bezriadkovania"/>
              <w:jc w:val="center"/>
              <w:rPr>
                <w:sz w:val="18"/>
                <w:szCs w:val="18"/>
              </w:rPr>
            </w:pPr>
            <w:r w:rsidRPr="00F803F5">
              <w:rPr>
                <w:sz w:val="18"/>
                <w:szCs w:val="18"/>
              </w:rPr>
              <w:t>3</w:t>
            </w:r>
          </w:p>
        </w:tc>
        <w:tc>
          <w:tcPr>
            <w:tcW w:w="567" w:type="dxa"/>
            <w:tcBorders>
              <w:top w:val="nil"/>
              <w:left w:val="nil"/>
              <w:bottom w:val="nil"/>
              <w:right w:val="nil"/>
            </w:tcBorders>
            <w:shd w:val="clear" w:color="auto" w:fill="auto"/>
            <w:noWrap/>
          </w:tcPr>
          <w:p w14:paraId="67DAD389" w14:textId="77777777" w:rsidR="000F6636" w:rsidRPr="00C518D0" w:rsidRDefault="000F6636" w:rsidP="00484DB0">
            <w:pPr>
              <w:pStyle w:val="Bezriadkovania"/>
              <w:jc w:val="center"/>
              <w:rPr>
                <w:sz w:val="18"/>
                <w:szCs w:val="18"/>
              </w:rPr>
            </w:pPr>
            <w:r w:rsidRPr="00F803F5">
              <w:rPr>
                <w:sz w:val="18"/>
                <w:szCs w:val="18"/>
              </w:rPr>
              <w:t>87</w:t>
            </w:r>
          </w:p>
        </w:tc>
        <w:tc>
          <w:tcPr>
            <w:tcW w:w="567" w:type="dxa"/>
            <w:tcBorders>
              <w:top w:val="nil"/>
              <w:left w:val="nil"/>
              <w:bottom w:val="nil"/>
              <w:right w:val="nil"/>
            </w:tcBorders>
            <w:shd w:val="clear" w:color="auto" w:fill="auto"/>
            <w:noWrap/>
          </w:tcPr>
          <w:p w14:paraId="50F21DA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7368D600"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B8A1ABF" w14:textId="77777777" w:rsidTr="00484DB0">
        <w:trPr>
          <w:trHeight w:val="26"/>
        </w:trPr>
        <w:tc>
          <w:tcPr>
            <w:tcW w:w="6237" w:type="dxa"/>
            <w:tcBorders>
              <w:top w:val="nil"/>
              <w:left w:val="nil"/>
              <w:bottom w:val="nil"/>
              <w:right w:val="nil"/>
            </w:tcBorders>
            <w:shd w:val="clear" w:color="auto" w:fill="auto"/>
          </w:tcPr>
          <w:p w14:paraId="08F94FC7" w14:textId="77777777" w:rsidR="000F6636" w:rsidRPr="00FE2D91" w:rsidRDefault="000F6636" w:rsidP="00484DB0">
            <w:pPr>
              <w:pStyle w:val="Bezriadkovania"/>
              <w:rPr>
                <w:sz w:val="18"/>
                <w:szCs w:val="18"/>
                <w:highlight w:val="yellow"/>
              </w:rPr>
            </w:pPr>
            <w:r w:rsidRPr="00FE2D91">
              <w:rPr>
                <w:sz w:val="18"/>
                <w:szCs w:val="18"/>
              </w:rPr>
              <w:t>Zmena sadzieb daní z nehnuteľností podľa VZN</w:t>
            </w:r>
          </w:p>
        </w:tc>
        <w:tc>
          <w:tcPr>
            <w:tcW w:w="567" w:type="dxa"/>
            <w:tcBorders>
              <w:top w:val="nil"/>
              <w:left w:val="nil"/>
              <w:bottom w:val="nil"/>
              <w:right w:val="nil"/>
            </w:tcBorders>
            <w:shd w:val="clear" w:color="auto" w:fill="auto"/>
            <w:noWrap/>
          </w:tcPr>
          <w:p w14:paraId="5F76407C" w14:textId="77777777" w:rsidR="000F6636" w:rsidRPr="00C518D0" w:rsidRDefault="000F6636" w:rsidP="00484DB0">
            <w:pPr>
              <w:pStyle w:val="Bezriadkovania"/>
              <w:jc w:val="center"/>
              <w:rPr>
                <w:sz w:val="18"/>
                <w:szCs w:val="18"/>
              </w:rPr>
            </w:pPr>
            <w:r w:rsidRPr="00F803F5">
              <w:rPr>
                <w:sz w:val="18"/>
                <w:szCs w:val="18"/>
              </w:rPr>
              <w:t>34</w:t>
            </w:r>
          </w:p>
        </w:tc>
        <w:tc>
          <w:tcPr>
            <w:tcW w:w="567" w:type="dxa"/>
            <w:tcBorders>
              <w:top w:val="nil"/>
              <w:left w:val="nil"/>
              <w:bottom w:val="nil"/>
              <w:right w:val="nil"/>
            </w:tcBorders>
            <w:shd w:val="clear" w:color="auto" w:fill="auto"/>
            <w:noWrap/>
          </w:tcPr>
          <w:p w14:paraId="5694C1EB" w14:textId="77777777" w:rsidR="000F6636" w:rsidRPr="00C518D0" w:rsidRDefault="000F6636" w:rsidP="00484DB0">
            <w:pPr>
              <w:pStyle w:val="Bezriadkovania"/>
              <w:jc w:val="center"/>
              <w:rPr>
                <w:sz w:val="18"/>
                <w:szCs w:val="18"/>
              </w:rPr>
            </w:pPr>
            <w:r w:rsidRPr="00F803F5">
              <w:rPr>
                <w:sz w:val="18"/>
                <w:szCs w:val="18"/>
              </w:rPr>
              <w:t>115</w:t>
            </w:r>
          </w:p>
        </w:tc>
        <w:tc>
          <w:tcPr>
            <w:tcW w:w="567" w:type="dxa"/>
            <w:tcBorders>
              <w:top w:val="nil"/>
              <w:left w:val="nil"/>
              <w:bottom w:val="nil"/>
              <w:right w:val="nil"/>
            </w:tcBorders>
            <w:shd w:val="clear" w:color="auto" w:fill="auto"/>
            <w:noWrap/>
          </w:tcPr>
          <w:p w14:paraId="23E02B4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69E9845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3E86918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0B0F1BE" w14:textId="77777777" w:rsidTr="00484DB0">
        <w:trPr>
          <w:trHeight w:val="26"/>
        </w:trPr>
        <w:tc>
          <w:tcPr>
            <w:tcW w:w="6237" w:type="dxa"/>
            <w:tcBorders>
              <w:top w:val="nil"/>
              <w:left w:val="nil"/>
              <w:bottom w:val="nil"/>
              <w:right w:val="nil"/>
            </w:tcBorders>
            <w:shd w:val="clear" w:color="auto" w:fill="auto"/>
          </w:tcPr>
          <w:p w14:paraId="0C30F365" w14:textId="77777777" w:rsidR="000F6636" w:rsidRPr="00FE2D91" w:rsidRDefault="000F6636" w:rsidP="00484DB0">
            <w:pPr>
              <w:pStyle w:val="Bezriadkovania"/>
              <w:rPr>
                <w:sz w:val="18"/>
                <w:szCs w:val="18"/>
                <w:highlight w:val="yellow"/>
              </w:rPr>
            </w:pPr>
            <w:r>
              <w:rPr>
                <w:sz w:val="18"/>
                <w:szCs w:val="18"/>
              </w:rPr>
              <w:t>Z</w:t>
            </w:r>
            <w:r w:rsidRPr="00FE2D91">
              <w:rPr>
                <w:sz w:val="18"/>
                <w:szCs w:val="18"/>
              </w:rPr>
              <w:t>výšenie</w:t>
            </w:r>
            <w:r>
              <w:rPr>
                <w:sz w:val="18"/>
                <w:szCs w:val="18"/>
              </w:rPr>
              <w:t xml:space="preserve"> </w:t>
            </w:r>
            <w:r w:rsidRPr="00FE2D91">
              <w:rPr>
                <w:sz w:val="18"/>
                <w:szCs w:val="18"/>
              </w:rPr>
              <w:t xml:space="preserve">sadzieb </w:t>
            </w:r>
            <w:r>
              <w:rPr>
                <w:sz w:val="18"/>
                <w:szCs w:val="18"/>
              </w:rPr>
              <w:t>poplatku za komunálny odpad</w:t>
            </w:r>
            <w:r w:rsidRPr="00FE2D91">
              <w:rPr>
                <w:sz w:val="18"/>
                <w:szCs w:val="18"/>
              </w:rPr>
              <w:t xml:space="preserve"> podľa VZN</w:t>
            </w:r>
          </w:p>
        </w:tc>
        <w:tc>
          <w:tcPr>
            <w:tcW w:w="567" w:type="dxa"/>
            <w:tcBorders>
              <w:top w:val="nil"/>
              <w:left w:val="nil"/>
              <w:bottom w:val="nil"/>
              <w:right w:val="nil"/>
            </w:tcBorders>
            <w:shd w:val="clear" w:color="auto" w:fill="auto"/>
            <w:noWrap/>
          </w:tcPr>
          <w:p w14:paraId="4CF633A5" w14:textId="77777777" w:rsidR="000F6636" w:rsidRPr="00C518D0" w:rsidRDefault="000F6636" w:rsidP="00484DB0">
            <w:pPr>
              <w:pStyle w:val="Bezriadkovania"/>
              <w:jc w:val="center"/>
              <w:rPr>
                <w:sz w:val="18"/>
                <w:szCs w:val="18"/>
              </w:rPr>
            </w:pPr>
            <w:r w:rsidRPr="00F803F5">
              <w:rPr>
                <w:sz w:val="18"/>
                <w:szCs w:val="18"/>
              </w:rPr>
              <w:t>36</w:t>
            </w:r>
          </w:p>
        </w:tc>
        <w:tc>
          <w:tcPr>
            <w:tcW w:w="567" w:type="dxa"/>
            <w:tcBorders>
              <w:top w:val="nil"/>
              <w:left w:val="nil"/>
              <w:bottom w:val="nil"/>
              <w:right w:val="nil"/>
            </w:tcBorders>
            <w:shd w:val="clear" w:color="auto" w:fill="auto"/>
            <w:noWrap/>
          </w:tcPr>
          <w:p w14:paraId="1C28257F" w14:textId="77777777" w:rsidR="000F6636" w:rsidRPr="00C518D0" w:rsidRDefault="000F6636" w:rsidP="00484DB0">
            <w:pPr>
              <w:pStyle w:val="Bezriadkovania"/>
              <w:jc w:val="center"/>
              <w:rPr>
                <w:sz w:val="18"/>
                <w:szCs w:val="18"/>
              </w:rPr>
            </w:pPr>
            <w:r w:rsidRPr="00F803F5">
              <w:rPr>
                <w:sz w:val="18"/>
                <w:szCs w:val="18"/>
              </w:rPr>
              <w:t>40</w:t>
            </w:r>
          </w:p>
        </w:tc>
        <w:tc>
          <w:tcPr>
            <w:tcW w:w="567" w:type="dxa"/>
            <w:tcBorders>
              <w:top w:val="nil"/>
              <w:left w:val="nil"/>
              <w:bottom w:val="nil"/>
              <w:right w:val="nil"/>
            </w:tcBorders>
            <w:shd w:val="clear" w:color="auto" w:fill="auto"/>
            <w:noWrap/>
          </w:tcPr>
          <w:p w14:paraId="4B3349D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9A4624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025ACE82"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B0D72FB" w14:textId="77777777" w:rsidTr="00484DB0">
        <w:trPr>
          <w:trHeight w:val="26"/>
        </w:trPr>
        <w:tc>
          <w:tcPr>
            <w:tcW w:w="6237" w:type="dxa"/>
            <w:tcBorders>
              <w:top w:val="nil"/>
              <w:left w:val="nil"/>
              <w:bottom w:val="nil"/>
              <w:right w:val="nil"/>
            </w:tcBorders>
            <w:shd w:val="clear" w:color="auto" w:fill="auto"/>
          </w:tcPr>
          <w:p w14:paraId="4F36FFC9" w14:textId="77777777" w:rsidR="000F6636" w:rsidRPr="00FE2D91" w:rsidRDefault="000F6636" w:rsidP="00484DB0">
            <w:pPr>
              <w:pStyle w:val="Bezriadkovania"/>
              <w:rPr>
                <w:sz w:val="18"/>
                <w:szCs w:val="18"/>
                <w:highlight w:val="yellow"/>
              </w:rPr>
            </w:pPr>
            <w:r w:rsidRPr="00FE2D91">
              <w:rPr>
                <w:sz w:val="18"/>
                <w:szCs w:val="18"/>
              </w:rPr>
              <w:t>Odpustenie soc</w:t>
            </w:r>
            <w:r>
              <w:rPr>
                <w:sz w:val="18"/>
                <w:szCs w:val="18"/>
              </w:rPr>
              <w:t>.</w:t>
            </w:r>
            <w:r w:rsidRPr="00FE2D91">
              <w:rPr>
                <w:sz w:val="18"/>
                <w:szCs w:val="18"/>
              </w:rPr>
              <w:t xml:space="preserve"> odvodov zamestnávateľa za zamestnancov v potravinárskom priemysle</w:t>
            </w:r>
          </w:p>
        </w:tc>
        <w:tc>
          <w:tcPr>
            <w:tcW w:w="567" w:type="dxa"/>
            <w:tcBorders>
              <w:top w:val="nil"/>
              <w:left w:val="nil"/>
              <w:bottom w:val="nil"/>
              <w:right w:val="nil"/>
            </w:tcBorders>
            <w:shd w:val="clear" w:color="auto" w:fill="auto"/>
            <w:noWrap/>
          </w:tcPr>
          <w:p w14:paraId="0BFF92DF" w14:textId="77777777" w:rsidR="000F6636" w:rsidRPr="00C518D0" w:rsidRDefault="000F6636" w:rsidP="00484DB0">
            <w:pPr>
              <w:pStyle w:val="Bezriadkovania"/>
              <w:jc w:val="center"/>
              <w:rPr>
                <w:sz w:val="18"/>
                <w:szCs w:val="18"/>
              </w:rPr>
            </w:pPr>
            <w:r w:rsidRPr="00F803F5">
              <w:rPr>
                <w:sz w:val="18"/>
                <w:szCs w:val="18"/>
              </w:rPr>
              <w:t>-24</w:t>
            </w:r>
          </w:p>
        </w:tc>
        <w:tc>
          <w:tcPr>
            <w:tcW w:w="567" w:type="dxa"/>
            <w:tcBorders>
              <w:top w:val="nil"/>
              <w:left w:val="nil"/>
              <w:bottom w:val="nil"/>
              <w:right w:val="nil"/>
            </w:tcBorders>
            <w:shd w:val="clear" w:color="auto" w:fill="auto"/>
            <w:noWrap/>
          </w:tcPr>
          <w:p w14:paraId="66B2281C" w14:textId="77777777" w:rsidR="000F6636" w:rsidRPr="00C518D0" w:rsidRDefault="000F6636" w:rsidP="00484DB0">
            <w:pPr>
              <w:pStyle w:val="Bezriadkovania"/>
              <w:jc w:val="center"/>
              <w:rPr>
                <w:sz w:val="18"/>
                <w:szCs w:val="18"/>
              </w:rPr>
            </w:pPr>
            <w:r w:rsidRPr="00F803F5">
              <w:rPr>
                <w:sz w:val="18"/>
                <w:szCs w:val="18"/>
              </w:rPr>
              <w:t>-11</w:t>
            </w:r>
          </w:p>
        </w:tc>
        <w:tc>
          <w:tcPr>
            <w:tcW w:w="567" w:type="dxa"/>
            <w:tcBorders>
              <w:top w:val="nil"/>
              <w:left w:val="nil"/>
              <w:bottom w:val="nil"/>
              <w:right w:val="nil"/>
            </w:tcBorders>
            <w:shd w:val="clear" w:color="auto" w:fill="auto"/>
            <w:noWrap/>
          </w:tcPr>
          <w:p w14:paraId="5BB9B5BA" w14:textId="77777777" w:rsidR="000F6636" w:rsidRPr="00C518D0" w:rsidRDefault="000F6636" w:rsidP="00484DB0">
            <w:pPr>
              <w:pStyle w:val="Bezriadkovania"/>
              <w:jc w:val="center"/>
              <w:rPr>
                <w:sz w:val="18"/>
                <w:szCs w:val="18"/>
              </w:rPr>
            </w:pPr>
            <w:r w:rsidRPr="00F803F5">
              <w:rPr>
                <w:sz w:val="18"/>
                <w:szCs w:val="18"/>
              </w:rPr>
              <w:t>35</w:t>
            </w:r>
          </w:p>
        </w:tc>
        <w:tc>
          <w:tcPr>
            <w:tcW w:w="567" w:type="dxa"/>
            <w:tcBorders>
              <w:top w:val="nil"/>
              <w:left w:val="nil"/>
              <w:bottom w:val="nil"/>
              <w:right w:val="nil"/>
            </w:tcBorders>
            <w:shd w:val="clear" w:color="auto" w:fill="auto"/>
            <w:noWrap/>
          </w:tcPr>
          <w:p w14:paraId="7E7D8E90"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31D31D07"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D59FAC1" w14:textId="77777777" w:rsidTr="00484DB0">
        <w:trPr>
          <w:trHeight w:val="26"/>
        </w:trPr>
        <w:tc>
          <w:tcPr>
            <w:tcW w:w="6237" w:type="dxa"/>
            <w:tcBorders>
              <w:top w:val="nil"/>
              <w:left w:val="nil"/>
              <w:bottom w:val="nil"/>
              <w:right w:val="nil"/>
            </w:tcBorders>
            <w:shd w:val="clear" w:color="auto" w:fill="auto"/>
          </w:tcPr>
          <w:p w14:paraId="1E00CE11" w14:textId="77777777" w:rsidR="000F6636" w:rsidRPr="00FE2D91" w:rsidRDefault="000F6636" w:rsidP="00484DB0">
            <w:pPr>
              <w:pStyle w:val="Bezriadkovania"/>
              <w:rPr>
                <w:sz w:val="18"/>
                <w:szCs w:val="18"/>
                <w:highlight w:val="yellow"/>
              </w:rPr>
            </w:pPr>
            <w:r w:rsidRPr="00FE2D91">
              <w:rPr>
                <w:sz w:val="18"/>
                <w:szCs w:val="18"/>
              </w:rPr>
              <w:t>Po</w:t>
            </w:r>
            <w:r>
              <w:rPr>
                <w:sz w:val="18"/>
                <w:szCs w:val="18"/>
              </w:rPr>
              <w:t>kles</w:t>
            </w:r>
            <w:r w:rsidRPr="00FE2D91">
              <w:rPr>
                <w:sz w:val="18"/>
                <w:szCs w:val="18"/>
              </w:rPr>
              <w:t xml:space="preserve"> odvodu do II. piliera na 4 %</w:t>
            </w:r>
          </w:p>
        </w:tc>
        <w:tc>
          <w:tcPr>
            <w:tcW w:w="567" w:type="dxa"/>
            <w:tcBorders>
              <w:top w:val="nil"/>
              <w:left w:val="nil"/>
              <w:bottom w:val="nil"/>
              <w:right w:val="nil"/>
            </w:tcBorders>
            <w:shd w:val="clear" w:color="auto" w:fill="auto"/>
            <w:noWrap/>
          </w:tcPr>
          <w:p w14:paraId="1FEE359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108A0240" w14:textId="77777777" w:rsidR="000F6636" w:rsidRPr="00C518D0" w:rsidRDefault="000F6636" w:rsidP="00484DB0">
            <w:pPr>
              <w:pStyle w:val="Bezriadkovania"/>
              <w:jc w:val="center"/>
              <w:rPr>
                <w:sz w:val="18"/>
                <w:szCs w:val="18"/>
              </w:rPr>
            </w:pPr>
            <w:r w:rsidRPr="00F803F5">
              <w:rPr>
                <w:sz w:val="18"/>
                <w:szCs w:val="18"/>
              </w:rPr>
              <w:t>371</w:t>
            </w:r>
          </w:p>
        </w:tc>
        <w:tc>
          <w:tcPr>
            <w:tcW w:w="567" w:type="dxa"/>
            <w:tcBorders>
              <w:top w:val="nil"/>
              <w:left w:val="nil"/>
              <w:bottom w:val="nil"/>
              <w:right w:val="nil"/>
            </w:tcBorders>
            <w:shd w:val="clear" w:color="auto" w:fill="auto"/>
            <w:noWrap/>
          </w:tcPr>
          <w:p w14:paraId="19850D6C"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2060963E"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nil"/>
              <w:left w:val="nil"/>
              <w:bottom w:val="nil"/>
              <w:right w:val="nil"/>
            </w:tcBorders>
            <w:shd w:val="clear" w:color="auto" w:fill="auto"/>
            <w:noWrap/>
          </w:tcPr>
          <w:p w14:paraId="3470903B" w14:textId="77777777" w:rsidR="000F6636" w:rsidRPr="00C518D0" w:rsidRDefault="000F6636" w:rsidP="00484DB0">
            <w:pPr>
              <w:pStyle w:val="Bezriadkovania"/>
              <w:jc w:val="center"/>
              <w:rPr>
                <w:sz w:val="18"/>
                <w:szCs w:val="18"/>
              </w:rPr>
            </w:pPr>
            <w:r w:rsidRPr="00C518D0">
              <w:rPr>
                <w:sz w:val="18"/>
                <w:szCs w:val="18"/>
              </w:rPr>
              <w:t>-</w:t>
            </w:r>
          </w:p>
        </w:tc>
      </w:tr>
      <w:tr w:rsidR="00E64536" w:rsidRPr="007C2DC9" w14:paraId="22AF6E1E" w14:textId="77777777" w:rsidTr="00484DB0">
        <w:trPr>
          <w:trHeight w:val="26"/>
        </w:trPr>
        <w:tc>
          <w:tcPr>
            <w:tcW w:w="6237" w:type="dxa"/>
            <w:tcBorders>
              <w:top w:val="single" w:sz="4" w:space="0" w:color="auto"/>
              <w:left w:val="nil"/>
              <w:bottom w:val="single" w:sz="4" w:space="0" w:color="auto"/>
              <w:right w:val="nil"/>
            </w:tcBorders>
            <w:shd w:val="clear" w:color="auto" w:fill="auto"/>
          </w:tcPr>
          <w:p w14:paraId="5FF5975A" w14:textId="77777777" w:rsidR="00E64536" w:rsidRPr="00612A90" w:rsidRDefault="00E64536" w:rsidP="00E64536">
            <w:pPr>
              <w:pStyle w:val="Bezriadkovania"/>
              <w:rPr>
                <w:b/>
                <w:sz w:val="18"/>
                <w:szCs w:val="18"/>
              </w:rPr>
            </w:pPr>
            <w:r w:rsidRPr="00612A90">
              <w:rPr>
                <w:b/>
                <w:sz w:val="18"/>
                <w:szCs w:val="18"/>
              </w:rPr>
              <w:t>Spolu</w:t>
            </w:r>
          </w:p>
        </w:tc>
        <w:tc>
          <w:tcPr>
            <w:tcW w:w="567" w:type="dxa"/>
            <w:tcBorders>
              <w:top w:val="single" w:sz="4" w:space="0" w:color="auto"/>
              <w:left w:val="nil"/>
              <w:bottom w:val="single" w:sz="4" w:space="0" w:color="auto"/>
              <w:right w:val="nil"/>
            </w:tcBorders>
            <w:shd w:val="clear" w:color="auto" w:fill="auto"/>
            <w:noWrap/>
          </w:tcPr>
          <w:p w14:paraId="6BBC3E58" w14:textId="3F52BEB4" w:rsidR="00E64536" w:rsidRPr="00E64536" w:rsidRDefault="00E64536" w:rsidP="00E64536">
            <w:pPr>
              <w:pStyle w:val="Bezriadkovania"/>
              <w:jc w:val="center"/>
              <w:rPr>
                <w:b/>
                <w:sz w:val="18"/>
                <w:szCs w:val="28"/>
              </w:rPr>
            </w:pPr>
            <w:r w:rsidRPr="00E64536">
              <w:rPr>
                <w:sz w:val="18"/>
                <w:szCs w:val="28"/>
              </w:rPr>
              <w:t xml:space="preserve"> 36 </w:t>
            </w:r>
          </w:p>
        </w:tc>
        <w:tc>
          <w:tcPr>
            <w:tcW w:w="567" w:type="dxa"/>
            <w:tcBorders>
              <w:top w:val="single" w:sz="4" w:space="0" w:color="auto"/>
              <w:left w:val="nil"/>
              <w:bottom w:val="single" w:sz="4" w:space="0" w:color="auto"/>
              <w:right w:val="nil"/>
            </w:tcBorders>
            <w:shd w:val="clear" w:color="auto" w:fill="auto"/>
            <w:noWrap/>
          </w:tcPr>
          <w:p w14:paraId="2FB0B054" w14:textId="6F567E0C" w:rsidR="00E64536" w:rsidRPr="00E64536" w:rsidRDefault="00E64536" w:rsidP="00E64536">
            <w:pPr>
              <w:pStyle w:val="Bezriadkovania"/>
              <w:jc w:val="center"/>
              <w:rPr>
                <w:b/>
                <w:sz w:val="18"/>
                <w:szCs w:val="28"/>
              </w:rPr>
            </w:pPr>
            <w:r w:rsidRPr="00E64536">
              <w:rPr>
                <w:sz w:val="18"/>
                <w:szCs w:val="28"/>
              </w:rPr>
              <w:t xml:space="preserve"> 1 216 </w:t>
            </w:r>
          </w:p>
        </w:tc>
        <w:tc>
          <w:tcPr>
            <w:tcW w:w="567" w:type="dxa"/>
            <w:tcBorders>
              <w:top w:val="single" w:sz="4" w:space="0" w:color="auto"/>
              <w:left w:val="nil"/>
              <w:bottom w:val="single" w:sz="4" w:space="0" w:color="auto"/>
              <w:right w:val="nil"/>
            </w:tcBorders>
            <w:shd w:val="clear" w:color="auto" w:fill="auto"/>
            <w:noWrap/>
          </w:tcPr>
          <w:p w14:paraId="286951D2" w14:textId="66F92FD1" w:rsidR="00E64536" w:rsidRPr="00E64536" w:rsidRDefault="00E64536" w:rsidP="00E64536">
            <w:pPr>
              <w:pStyle w:val="Bezriadkovania"/>
              <w:jc w:val="center"/>
              <w:rPr>
                <w:b/>
                <w:sz w:val="18"/>
                <w:szCs w:val="28"/>
              </w:rPr>
            </w:pPr>
            <w:r w:rsidRPr="00E64536">
              <w:rPr>
                <w:sz w:val="18"/>
                <w:szCs w:val="28"/>
              </w:rPr>
              <w:t xml:space="preserve">-38 </w:t>
            </w:r>
          </w:p>
        </w:tc>
        <w:tc>
          <w:tcPr>
            <w:tcW w:w="567" w:type="dxa"/>
            <w:tcBorders>
              <w:top w:val="single" w:sz="4" w:space="0" w:color="auto"/>
              <w:left w:val="nil"/>
              <w:bottom w:val="single" w:sz="4" w:space="0" w:color="auto"/>
              <w:right w:val="nil"/>
            </w:tcBorders>
            <w:shd w:val="clear" w:color="auto" w:fill="auto"/>
            <w:noWrap/>
          </w:tcPr>
          <w:p w14:paraId="6B74ADD1" w14:textId="6ECAAA83" w:rsidR="00E64536" w:rsidRPr="00E64536" w:rsidRDefault="00E64536" w:rsidP="00E64536">
            <w:pPr>
              <w:pStyle w:val="Bezriadkovania"/>
              <w:jc w:val="center"/>
              <w:rPr>
                <w:b/>
                <w:sz w:val="18"/>
                <w:szCs w:val="28"/>
              </w:rPr>
            </w:pPr>
            <w:r w:rsidRPr="00E64536">
              <w:rPr>
                <w:sz w:val="18"/>
                <w:szCs w:val="28"/>
              </w:rPr>
              <w:t xml:space="preserve">-77 </w:t>
            </w:r>
          </w:p>
        </w:tc>
        <w:tc>
          <w:tcPr>
            <w:tcW w:w="567" w:type="dxa"/>
            <w:tcBorders>
              <w:top w:val="single" w:sz="4" w:space="0" w:color="auto"/>
              <w:left w:val="nil"/>
              <w:bottom w:val="single" w:sz="4" w:space="0" w:color="auto"/>
              <w:right w:val="nil"/>
            </w:tcBorders>
            <w:shd w:val="clear" w:color="auto" w:fill="auto"/>
            <w:noWrap/>
          </w:tcPr>
          <w:p w14:paraId="763D2488" w14:textId="415F1684" w:rsidR="00E64536" w:rsidRPr="00E64536" w:rsidRDefault="00E64536" w:rsidP="00E64536">
            <w:pPr>
              <w:pStyle w:val="Bezriadkovania"/>
              <w:jc w:val="center"/>
              <w:rPr>
                <w:b/>
                <w:sz w:val="18"/>
                <w:szCs w:val="28"/>
              </w:rPr>
            </w:pPr>
            <w:r w:rsidRPr="00E64536">
              <w:rPr>
                <w:sz w:val="18"/>
                <w:szCs w:val="28"/>
              </w:rPr>
              <w:t xml:space="preserve">-66 </w:t>
            </w:r>
          </w:p>
        </w:tc>
      </w:tr>
    </w:tbl>
    <w:p w14:paraId="3F20405A" w14:textId="77777777" w:rsidR="000F6636" w:rsidRPr="00F9451E" w:rsidRDefault="000F6636" w:rsidP="000F6636">
      <w:pPr>
        <w:jc w:val="right"/>
        <w:rPr>
          <w:i/>
          <w:sz w:val="16"/>
          <w:szCs w:val="16"/>
        </w:rPr>
      </w:pPr>
      <w:r w:rsidRPr="00F9451E">
        <w:rPr>
          <w:i/>
          <w:sz w:val="16"/>
          <w:szCs w:val="16"/>
        </w:rPr>
        <w:t>Zdroj: MF SR</w:t>
      </w:r>
    </w:p>
    <w:p w14:paraId="53519329" w14:textId="77777777" w:rsidR="000F6636" w:rsidRPr="00F9451E" w:rsidRDefault="000F6636" w:rsidP="000F6636">
      <w:pPr>
        <w:jc w:val="both"/>
        <w:rPr>
          <w:i/>
          <w:sz w:val="16"/>
          <w:szCs w:val="16"/>
        </w:rPr>
      </w:pPr>
      <w:r w:rsidRPr="00F9451E">
        <w:rPr>
          <w:i/>
          <w:sz w:val="16"/>
          <w:szCs w:val="16"/>
        </w:rPr>
        <w:t xml:space="preserve">Pozn.: </w:t>
      </w:r>
      <w:r w:rsidRPr="00F9451E">
        <w:rPr>
          <w:rFonts w:cs="Calibri"/>
          <w:color w:val="000000"/>
          <w:sz w:val="16"/>
          <w:szCs w:val="16"/>
        </w:rPr>
        <w:t>(+) zlepšuje bilanciu VS, (-) zhoršuje bilanciu VS</w:t>
      </w:r>
    </w:p>
    <w:p w14:paraId="7B877D42" w14:textId="77777777" w:rsidR="000F6636" w:rsidRPr="007C2DC9" w:rsidRDefault="000F6636" w:rsidP="000F6636">
      <w:pPr>
        <w:pStyle w:val="Bezriadkovania"/>
        <w:rPr>
          <w:highlight w:val="yellow"/>
        </w:rPr>
      </w:pPr>
    </w:p>
    <w:p w14:paraId="6B357DA5" w14:textId="77777777" w:rsidR="000A22C5" w:rsidRDefault="000A22C5">
      <w:pPr>
        <w:rPr>
          <w:rFonts w:eastAsia="Arial Narrow" w:cs="Arial Narrow"/>
          <w:b/>
          <w:bCs/>
          <w:color w:val="2C9ADC" w:themeColor="accent1"/>
          <w:sz w:val="20"/>
          <w:szCs w:val="20"/>
          <w:bdr w:val="nil"/>
        </w:rPr>
      </w:pPr>
      <w:bookmarkStart w:id="241" w:name="_Toc117765239"/>
      <w:bookmarkStart w:id="242" w:name="_Toc153185525"/>
      <w:bookmarkStart w:id="243" w:name="_Toc164684565"/>
      <w:r>
        <w:br w:type="page"/>
      </w:r>
    </w:p>
    <w:p w14:paraId="17DD465D" w14:textId="749BD2AC" w:rsidR="000F6636" w:rsidRPr="00ED4B03" w:rsidRDefault="000F6636" w:rsidP="000F6636">
      <w:pPr>
        <w:pStyle w:val="Tabuka"/>
      </w:pPr>
      <w:r w:rsidRPr="00ED4B03">
        <w:lastRenderedPageBreak/>
        <w:t xml:space="preserve">TABUĽKA </w:t>
      </w:r>
      <w:fldSimple w:instr=" SEQ TABUĽKA \* ARABIC ">
        <w:r w:rsidR="007435E9">
          <w:rPr>
            <w:noProof/>
          </w:rPr>
          <w:t>16</w:t>
        </w:r>
      </w:fldSimple>
      <w:r w:rsidRPr="00ED4B03">
        <w:t xml:space="preserve"> – Diskrečné výdavkové opatrenia – medziročné vplyvy opatrení (mil. eur, ESA2010)</w:t>
      </w:r>
      <w:bookmarkEnd w:id="241"/>
      <w:bookmarkEnd w:id="242"/>
      <w:bookmarkEnd w:id="243"/>
    </w:p>
    <w:tbl>
      <w:tblPr>
        <w:tblW w:w="9067" w:type="dxa"/>
        <w:tblLayout w:type="fixed"/>
        <w:tblCellMar>
          <w:left w:w="70" w:type="dxa"/>
          <w:right w:w="70" w:type="dxa"/>
        </w:tblCellMar>
        <w:tblLook w:val="04A0" w:firstRow="1" w:lastRow="0" w:firstColumn="1" w:lastColumn="0" w:noHBand="0" w:noVBand="1"/>
      </w:tblPr>
      <w:tblGrid>
        <w:gridCol w:w="6237"/>
        <w:gridCol w:w="567"/>
        <w:gridCol w:w="567"/>
        <w:gridCol w:w="567"/>
        <w:gridCol w:w="567"/>
        <w:gridCol w:w="562"/>
      </w:tblGrid>
      <w:tr w:rsidR="000F6636" w:rsidRPr="007C2DC9" w14:paraId="60563C2D" w14:textId="77777777" w:rsidTr="00484DB0">
        <w:trPr>
          <w:trHeight w:val="21"/>
        </w:trPr>
        <w:tc>
          <w:tcPr>
            <w:tcW w:w="6237" w:type="dxa"/>
            <w:tcBorders>
              <w:top w:val="single" w:sz="4" w:space="0" w:color="auto"/>
              <w:left w:val="nil"/>
              <w:bottom w:val="single" w:sz="4" w:space="0" w:color="auto"/>
              <w:right w:val="nil"/>
            </w:tcBorders>
            <w:shd w:val="clear" w:color="auto" w:fill="auto"/>
            <w:noWrap/>
            <w:vAlign w:val="center"/>
            <w:hideMark/>
          </w:tcPr>
          <w:p w14:paraId="1EE11B27" w14:textId="77777777" w:rsidR="000F6636" w:rsidRPr="00ED4B03" w:rsidRDefault="000F6636" w:rsidP="00484DB0">
            <w:pPr>
              <w:rPr>
                <w:rFonts w:cs="Times New Roman"/>
                <w:b/>
                <w:bCs/>
                <w:color w:val="000000"/>
                <w:sz w:val="18"/>
                <w:szCs w:val="16"/>
              </w:rPr>
            </w:pPr>
            <w:r w:rsidRPr="00ED4B03">
              <w:rPr>
                <w:rFonts w:cs="Times New Roman"/>
                <w:b/>
                <w:bCs/>
                <w:color w:val="000000"/>
                <w:sz w:val="18"/>
                <w:szCs w:val="16"/>
              </w:rPr>
              <w:t>Popis</w:t>
            </w:r>
          </w:p>
        </w:tc>
        <w:tc>
          <w:tcPr>
            <w:tcW w:w="567" w:type="dxa"/>
            <w:tcBorders>
              <w:top w:val="single" w:sz="4" w:space="0" w:color="auto"/>
              <w:left w:val="nil"/>
              <w:bottom w:val="single" w:sz="4" w:space="0" w:color="auto"/>
              <w:right w:val="nil"/>
            </w:tcBorders>
            <w:shd w:val="clear" w:color="auto" w:fill="auto"/>
            <w:noWrap/>
            <w:vAlign w:val="center"/>
            <w:hideMark/>
          </w:tcPr>
          <w:p w14:paraId="3CDB77F1" w14:textId="77777777" w:rsidR="000F6636" w:rsidRPr="00ED4B03" w:rsidRDefault="000F6636" w:rsidP="00484DB0">
            <w:pPr>
              <w:jc w:val="center"/>
              <w:rPr>
                <w:rFonts w:cs="Times New Roman"/>
                <w:b/>
                <w:bCs/>
                <w:color w:val="000000"/>
                <w:sz w:val="18"/>
                <w:szCs w:val="16"/>
              </w:rPr>
            </w:pPr>
            <w:r w:rsidRPr="00ED4B03">
              <w:rPr>
                <w:rFonts w:cs="Times New Roman"/>
                <w:b/>
                <w:bCs/>
                <w:color w:val="000000"/>
                <w:sz w:val="18"/>
                <w:szCs w:val="16"/>
              </w:rPr>
              <w:t>2023</w:t>
            </w:r>
          </w:p>
        </w:tc>
        <w:tc>
          <w:tcPr>
            <w:tcW w:w="567" w:type="dxa"/>
            <w:tcBorders>
              <w:top w:val="single" w:sz="4" w:space="0" w:color="auto"/>
              <w:left w:val="nil"/>
              <w:bottom w:val="single" w:sz="4" w:space="0" w:color="auto"/>
              <w:right w:val="nil"/>
            </w:tcBorders>
            <w:shd w:val="clear" w:color="auto" w:fill="auto"/>
            <w:noWrap/>
            <w:hideMark/>
          </w:tcPr>
          <w:p w14:paraId="4A952B0C" w14:textId="77777777" w:rsidR="000F6636" w:rsidRPr="00ED4B03" w:rsidRDefault="000F6636" w:rsidP="00484DB0">
            <w:pPr>
              <w:jc w:val="center"/>
              <w:rPr>
                <w:rFonts w:cs="Times New Roman"/>
                <w:b/>
                <w:bCs/>
                <w:color w:val="000000"/>
                <w:sz w:val="18"/>
                <w:szCs w:val="16"/>
              </w:rPr>
            </w:pPr>
            <w:r w:rsidRPr="00ED4B03">
              <w:rPr>
                <w:rFonts w:cs="Times New Roman"/>
                <w:b/>
                <w:bCs/>
                <w:color w:val="000000"/>
                <w:sz w:val="18"/>
                <w:szCs w:val="16"/>
              </w:rPr>
              <w:t>2024</w:t>
            </w:r>
          </w:p>
        </w:tc>
        <w:tc>
          <w:tcPr>
            <w:tcW w:w="567" w:type="dxa"/>
            <w:tcBorders>
              <w:top w:val="single" w:sz="4" w:space="0" w:color="auto"/>
              <w:left w:val="nil"/>
              <w:bottom w:val="single" w:sz="4" w:space="0" w:color="auto"/>
              <w:right w:val="nil"/>
            </w:tcBorders>
            <w:shd w:val="clear" w:color="auto" w:fill="auto"/>
            <w:noWrap/>
            <w:vAlign w:val="center"/>
            <w:hideMark/>
          </w:tcPr>
          <w:p w14:paraId="57A144AC" w14:textId="77777777" w:rsidR="000F6636" w:rsidRPr="00ED4B03" w:rsidRDefault="000F6636" w:rsidP="00484DB0">
            <w:pPr>
              <w:jc w:val="center"/>
              <w:rPr>
                <w:rFonts w:cs="Times New Roman"/>
                <w:b/>
                <w:bCs/>
                <w:color w:val="000000"/>
                <w:sz w:val="18"/>
                <w:szCs w:val="16"/>
              </w:rPr>
            </w:pPr>
            <w:r w:rsidRPr="00ED4B03">
              <w:rPr>
                <w:rFonts w:cs="Times New Roman"/>
                <w:b/>
                <w:bCs/>
                <w:color w:val="000000"/>
                <w:sz w:val="18"/>
                <w:szCs w:val="16"/>
              </w:rPr>
              <w:t>2025</w:t>
            </w:r>
          </w:p>
        </w:tc>
        <w:tc>
          <w:tcPr>
            <w:tcW w:w="567" w:type="dxa"/>
            <w:tcBorders>
              <w:top w:val="single" w:sz="4" w:space="0" w:color="auto"/>
              <w:left w:val="nil"/>
              <w:bottom w:val="single" w:sz="4" w:space="0" w:color="auto"/>
              <w:right w:val="nil"/>
            </w:tcBorders>
            <w:shd w:val="clear" w:color="auto" w:fill="auto"/>
            <w:noWrap/>
            <w:hideMark/>
          </w:tcPr>
          <w:p w14:paraId="60D4681A" w14:textId="77777777" w:rsidR="000F6636" w:rsidRPr="00ED4B03" w:rsidRDefault="000F6636" w:rsidP="00484DB0">
            <w:pPr>
              <w:jc w:val="center"/>
              <w:rPr>
                <w:rFonts w:cs="Times New Roman"/>
                <w:b/>
                <w:bCs/>
                <w:color w:val="000000"/>
                <w:sz w:val="18"/>
                <w:szCs w:val="16"/>
              </w:rPr>
            </w:pPr>
            <w:r w:rsidRPr="00ED4B03">
              <w:rPr>
                <w:rFonts w:cs="Times New Roman"/>
                <w:b/>
                <w:bCs/>
                <w:color w:val="000000"/>
                <w:sz w:val="18"/>
                <w:szCs w:val="16"/>
              </w:rPr>
              <w:t>2026</w:t>
            </w:r>
          </w:p>
        </w:tc>
        <w:tc>
          <w:tcPr>
            <w:tcW w:w="562" w:type="dxa"/>
            <w:tcBorders>
              <w:top w:val="single" w:sz="4" w:space="0" w:color="auto"/>
              <w:left w:val="nil"/>
              <w:bottom w:val="single" w:sz="4" w:space="0" w:color="auto"/>
              <w:right w:val="nil"/>
            </w:tcBorders>
            <w:shd w:val="clear" w:color="auto" w:fill="auto"/>
            <w:noWrap/>
            <w:hideMark/>
          </w:tcPr>
          <w:p w14:paraId="4FAAA3AE" w14:textId="77777777" w:rsidR="000F6636" w:rsidRPr="00ED4B03" w:rsidRDefault="000F6636" w:rsidP="00484DB0">
            <w:pPr>
              <w:jc w:val="center"/>
              <w:rPr>
                <w:rFonts w:cs="Times New Roman"/>
                <w:b/>
                <w:bCs/>
                <w:color w:val="000000"/>
                <w:sz w:val="18"/>
                <w:szCs w:val="16"/>
              </w:rPr>
            </w:pPr>
            <w:r w:rsidRPr="00ED4B03">
              <w:rPr>
                <w:rFonts w:cs="Times New Roman"/>
                <w:b/>
                <w:bCs/>
                <w:color w:val="000000"/>
                <w:sz w:val="18"/>
                <w:szCs w:val="16"/>
              </w:rPr>
              <w:t>2027</w:t>
            </w:r>
          </w:p>
        </w:tc>
      </w:tr>
      <w:tr w:rsidR="000F6636" w:rsidRPr="007C2DC9" w14:paraId="5037B102" w14:textId="77777777" w:rsidTr="00484DB0">
        <w:trPr>
          <w:trHeight w:val="21"/>
        </w:trPr>
        <w:tc>
          <w:tcPr>
            <w:tcW w:w="6237" w:type="dxa"/>
            <w:tcBorders>
              <w:top w:val="single" w:sz="4" w:space="0" w:color="auto"/>
              <w:left w:val="nil"/>
              <w:right w:val="nil"/>
            </w:tcBorders>
            <w:shd w:val="clear" w:color="auto" w:fill="auto"/>
            <w:noWrap/>
          </w:tcPr>
          <w:p w14:paraId="674F6EC0" w14:textId="77777777" w:rsidR="000F6636" w:rsidRPr="0066782A" w:rsidRDefault="000F6636" w:rsidP="00484DB0">
            <w:pPr>
              <w:pStyle w:val="Bezriadkovania"/>
              <w:rPr>
                <w:sz w:val="18"/>
                <w:szCs w:val="18"/>
                <w:highlight w:val="yellow"/>
              </w:rPr>
            </w:pPr>
            <w:r w:rsidRPr="00C518D0">
              <w:rPr>
                <w:sz w:val="18"/>
                <w:szCs w:val="18"/>
              </w:rPr>
              <w:t>Spomalenie rastu dôchodkového veku</w:t>
            </w:r>
          </w:p>
        </w:tc>
        <w:tc>
          <w:tcPr>
            <w:tcW w:w="567" w:type="dxa"/>
            <w:tcBorders>
              <w:top w:val="single" w:sz="4" w:space="0" w:color="auto"/>
              <w:left w:val="nil"/>
              <w:right w:val="nil"/>
            </w:tcBorders>
            <w:shd w:val="clear" w:color="auto" w:fill="auto"/>
            <w:noWrap/>
          </w:tcPr>
          <w:p w14:paraId="6D58A4DF" w14:textId="77777777" w:rsidR="000F6636" w:rsidRPr="00C518D0" w:rsidRDefault="000F6636" w:rsidP="00484DB0">
            <w:pPr>
              <w:pStyle w:val="Bezriadkovania"/>
              <w:jc w:val="center"/>
              <w:rPr>
                <w:sz w:val="18"/>
                <w:szCs w:val="18"/>
              </w:rPr>
            </w:pPr>
            <w:r w:rsidRPr="00C518D0">
              <w:rPr>
                <w:sz w:val="18"/>
                <w:szCs w:val="18"/>
              </w:rPr>
              <w:t>16</w:t>
            </w:r>
          </w:p>
        </w:tc>
        <w:tc>
          <w:tcPr>
            <w:tcW w:w="567" w:type="dxa"/>
            <w:tcBorders>
              <w:top w:val="single" w:sz="4" w:space="0" w:color="auto"/>
              <w:left w:val="nil"/>
              <w:right w:val="nil"/>
            </w:tcBorders>
            <w:shd w:val="clear" w:color="auto" w:fill="auto"/>
            <w:noWrap/>
          </w:tcPr>
          <w:p w14:paraId="7CB9F924" w14:textId="77777777" w:rsidR="000F6636" w:rsidRPr="00C518D0" w:rsidRDefault="000F6636" w:rsidP="00484DB0">
            <w:pPr>
              <w:pStyle w:val="Bezriadkovania"/>
              <w:jc w:val="center"/>
              <w:rPr>
                <w:sz w:val="18"/>
                <w:szCs w:val="18"/>
              </w:rPr>
            </w:pPr>
            <w:r w:rsidRPr="00F803F5">
              <w:rPr>
                <w:sz w:val="18"/>
                <w:szCs w:val="18"/>
              </w:rPr>
              <w:t>-18</w:t>
            </w:r>
          </w:p>
        </w:tc>
        <w:tc>
          <w:tcPr>
            <w:tcW w:w="567" w:type="dxa"/>
            <w:tcBorders>
              <w:top w:val="single" w:sz="4" w:space="0" w:color="auto"/>
              <w:left w:val="nil"/>
              <w:right w:val="nil"/>
            </w:tcBorders>
            <w:shd w:val="clear" w:color="auto" w:fill="auto"/>
            <w:noWrap/>
          </w:tcPr>
          <w:p w14:paraId="0597DD4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top w:val="single" w:sz="4" w:space="0" w:color="auto"/>
              <w:left w:val="nil"/>
              <w:right w:val="nil"/>
            </w:tcBorders>
            <w:shd w:val="clear" w:color="auto" w:fill="auto"/>
            <w:noWrap/>
          </w:tcPr>
          <w:p w14:paraId="2E10C8BB"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top w:val="single" w:sz="4" w:space="0" w:color="auto"/>
              <w:left w:val="nil"/>
              <w:right w:val="nil"/>
            </w:tcBorders>
            <w:shd w:val="clear" w:color="auto" w:fill="auto"/>
            <w:noWrap/>
          </w:tcPr>
          <w:p w14:paraId="54F182E7"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22BFDF17" w14:textId="77777777" w:rsidTr="00484DB0">
        <w:trPr>
          <w:trHeight w:val="21"/>
        </w:trPr>
        <w:tc>
          <w:tcPr>
            <w:tcW w:w="6237" w:type="dxa"/>
            <w:tcBorders>
              <w:left w:val="nil"/>
              <w:right w:val="nil"/>
            </w:tcBorders>
            <w:shd w:val="clear" w:color="auto" w:fill="auto"/>
            <w:noWrap/>
          </w:tcPr>
          <w:p w14:paraId="038E7272" w14:textId="77777777" w:rsidR="000F6636" w:rsidRPr="0066782A" w:rsidRDefault="000F6636" w:rsidP="00484DB0">
            <w:pPr>
              <w:pStyle w:val="Bezriadkovania"/>
              <w:rPr>
                <w:sz w:val="18"/>
                <w:szCs w:val="18"/>
              </w:rPr>
            </w:pPr>
            <w:r w:rsidRPr="00C518D0">
              <w:rPr>
                <w:sz w:val="18"/>
                <w:szCs w:val="18"/>
              </w:rPr>
              <w:t>Opatrenia v boji s pandémiou COVID-19 (</w:t>
            </w:r>
            <w:r>
              <w:rPr>
                <w:sz w:val="18"/>
                <w:szCs w:val="18"/>
              </w:rPr>
              <w:t>očistené</w:t>
            </w:r>
            <w:r w:rsidRPr="00C518D0">
              <w:rPr>
                <w:sz w:val="18"/>
                <w:szCs w:val="18"/>
              </w:rPr>
              <w:t xml:space="preserve"> o EÚ fondy)</w:t>
            </w:r>
          </w:p>
        </w:tc>
        <w:tc>
          <w:tcPr>
            <w:tcW w:w="567" w:type="dxa"/>
            <w:tcBorders>
              <w:left w:val="nil"/>
              <w:right w:val="nil"/>
            </w:tcBorders>
            <w:shd w:val="clear" w:color="auto" w:fill="auto"/>
            <w:noWrap/>
          </w:tcPr>
          <w:p w14:paraId="0AC9354B" w14:textId="77777777" w:rsidR="000F6636" w:rsidRPr="00F803F5" w:rsidRDefault="000F6636" w:rsidP="00484DB0">
            <w:pPr>
              <w:pStyle w:val="Bezriadkovania"/>
              <w:jc w:val="center"/>
              <w:rPr>
                <w:sz w:val="18"/>
                <w:szCs w:val="18"/>
              </w:rPr>
            </w:pPr>
            <w:r w:rsidRPr="00C518D0">
              <w:rPr>
                <w:sz w:val="18"/>
                <w:szCs w:val="18"/>
              </w:rPr>
              <w:t>-605</w:t>
            </w:r>
          </w:p>
        </w:tc>
        <w:tc>
          <w:tcPr>
            <w:tcW w:w="567" w:type="dxa"/>
            <w:tcBorders>
              <w:left w:val="nil"/>
              <w:right w:val="nil"/>
            </w:tcBorders>
            <w:shd w:val="clear" w:color="auto" w:fill="auto"/>
            <w:noWrap/>
          </w:tcPr>
          <w:p w14:paraId="640E225C" w14:textId="77777777" w:rsidR="000F6636" w:rsidRPr="00F803F5" w:rsidRDefault="000F6636" w:rsidP="00484DB0">
            <w:pPr>
              <w:pStyle w:val="Bezriadkovania"/>
              <w:jc w:val="center"/>
              <w:rPr>
                <w:sz w:val="18"/>
                <w:szCs w:val="18"/>
              </w:rPr>
            </w:pPr>
            <w:r w:rsidRPr="00C518D0">
              <w:rPr>
                <w:sz w:val="18"/>
                <w:szCs w:val="18"/>
              </w:rPr>
              <w:t>-91</w:t>
            </w:r>
          </w:p>
        </w:tc>
        <w:tc>
          <w:tcPr>
            <w:tcW w:w="567" w:type="dxa"/>
            <w:tcBorders>
              <w:left w:val="nil"/>
              <w:right w:val="nil"/>
            </w:tcBorders>
            <w:shd w:val="clear" w:color="auto" w:fill="auto"/>
            <w:noWrap/>
          </w:tcPr>
          <w:p w14:paraId="0D49126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753608B"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64AB82A5"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B51E70E" w14:textId="77777777" w:rsidTr="00484DB0">
        <w:trPr>
          <w:trHeight w:val="21"/>
        </w:trPr>
        <w:tc>
          <w:tcPr>
            <w:tcW w:w="6237" w:type="dxa"/>
            <w:tcBorders>
              <w:left w:val="nil"/>
              <w:right w:val="nil"/>
            </w:tcBorders>
            <w:shd w:val="clear" w:color="auto" w:fill="auto"/>
            <w:noWrap/>
          </w:tcPr>
          <w:p w14:paraId="35DE4574" w14:textId="77777777" w:rsidR="000F6636" w:rsidRPr="0066782A" w:rsidRDefault="000F6636" w:rsidP="00484DB0">
            <w:pPr>
              <w:pStyle w:val="Bezriadkovania"/>
              <w:rPr>
                <w:sz w:val="18"/>
                <w:szCs w:val="18"/>
              </w:rPr>
            </w:pPr>
            <w:r w:rsidRPr="00C518D0">
              <w:rPr>
                <w:sz w:val="18"/>
                <w:szCs w:val="18"/>
              </w:rPr>
              <w:t>Skorší odchod do dôchodku ženám, ktoré vychovali deti (ročníky 57 až 65)</w:t>
            </w:r>
          </w:p>
        </w:tc>
        <w:tc>
          <w:tcPr>
            <w:tcW w:w="567" w:type="dxa"/>
            <w:tcBorders>
              <w:left w:val="nil"/>
              <w:right w:val="nil"/>
            </w:tcBorders>
            <w:shd w:val="clear" w:color="auto" w:fill="auto"/>
            <w:noWrap/>
          </w:tcPr>
          <w:p w14:paraId="2B1B53A6" w14:textId="77777777" w:rsidR="000F6636" w:rsidRPr="00F803F5" w:rsidRDefault="000F6636" w:rsidP="00484DB0">
            <w:pPr>
              <w:pStyle w:val="Bezriadkovania"/>
              <w:jc w:val="center"/>
              <w:rPr>
                <w:sz w:val="18"/>
                <w:szCs w:val="18"/>
              </w:rPr>
            </w:pPr>
            <w:r w:rsidRPr="00C518D0">
              <w:rPr>
                <w:sz w:val="18"/>
                <w:szCs w:val="18"/>
              </w:rPr>
              <w:t>-48</w:t>
            </w:r>
          </w:p>
        </w:tc>
        <w:tc>
          <w:tcPr>
            <w:tcW w:w="567" w:type="dxa"/>
            <w:tcBorders>
              <w:left w:val="nil"/>
              <w:right w:val="nil"/>
            </w:tcBorders>
            <w:shd w:val="clear" w:color="auto" w:fill="auto"/>
            <w:noWrap/>
          </w:tcPr>
          <w:p w14:paraId="5264DF58" w14:textId="77777777" w:rsidR="000F6636" w:rsidRPr="00F803F5" w:rsidRDefault="000F6636" w:rsidP="00484DB0">
            <w:pPr>
              <w:pStyle w:val="Bezriadkovania"/>
              <w:jc w:val="center"/>
              <w:rPr>
                <w:sz w:val="18"/>
                <w:szCs w:val="18"/>
              </w:rPr>
            </w:pPr>
            <w:r w:rsidRPr="00C518D0">
              <w:rPr>
                <w:sz w:val="18"/>
                <w:szCs w:val="18"/>
              </w:rPr>
              <w:t>1</w:t>
            </w:r>
          </w:p>
        </w:tc>
        <w:tc>
          <w:tcPr>
            <w:tcW w:w="567" w:type="dxa"/>
            <w:tcBorders>
              <w:left w:val="nil"/>
              <w:right w:val="nil"/>
            </w:tcBorders>
            <w:shd w:val="clear" w:color="auto" w:fill="auto"/>
            <w:noWrap/>
          </w:tcPr>
          <w:p w14:paraId="02D91D39" w14:textId="77777777" w:rsidR="000F6636" w:rsidRPr="00C518D0" w:rsidRDefault="000F6636" w:rsidP="00484DB0">
            <w:pPr>
              <w:pStyle w:val="Bezriadkovania"/>
              <w:jc w:val="center"/>
              <w:rPr>
                <w:sz w:val="18"/>
                <w:szCs w:val="18"/>
              </w:rPr>
            </w:pPr>
            <w:r w:rsidRPr="00C518D0">
              <w:rPr>
                <w:sz w:val="18"/>
                <w:szCs w:val="18"/>
              </w:rPr>
              <w:t>-7</w:t>
            </w:r>
          </w:p>
        </w:tc>
        <w:tc>
          <w:tcPr>
            <w:tcW w:w="567" w:type="dxa"/>
            <w:tcBorders>
              <w:left w:val="nil"/>
              <w:right w:val="nil"/>
            </w:tcBorders>
            <w:shd w:val="clear" w:color="auto" w:fill="auto"/>
            <w:noWrap/>
          </w:tcPr>
          <w:p w14:paraId="5E42B68C" w14:textId="77777777" w:rsidR="000F6636" w:rsidRPr="00C518D0" w:rsidRDefault="000F6636" w:rsidP="00484DB0">
            <w:pPr>
              <w:pStyle w:val="Bezriadkovania"/>
              <w:jc w:val="center"/>
              <w:rPr>
                <w:sz w:val="18"/>
                <w:szCs w:val="18"/>
              </w:rPr>
            </w:pPr>
            <w:r w:rsidRPr="00C518D0">
              <w:rPr>
                <w:sz w:val="18"/>
                <w:szCs w:val="18"/>
              </w:rPr>
              <w:t>-14</w:t>
            </w:r>
          </w:p>
        </w:tc>
        <w:tc>
          <w:tcPr>
            <w:tcW w:w="562" w:type="dxa"/>
            <w:tcBorders>
              <w:left w:val="nil"/>
              <w:right w:val="nil"/>
            </w:tcBorders>
            <w:shd w:val="clear" w:color="auto" w:fill="auto"/>
            <w:noWrap/>
          </w:tcPr>
          <w:p w14:paraId="40620476" w14:textId="77777777" w:rsidR="000F6636" w:rsidRPr="00C518D0" w:rsidRDefault="000F6636" w:rsidP="00484DB0">
            <w:pPr>
              <w:pStyle w:val="Bezriadkovania"/>
              <w:jc w:val="center"/>
              <w:rPr>
                <w:sz w:val="18"/>
                <w:szCs w:val="18"/>
              </w:rPr>
            </w:pPr>
            <w:r>
              <w:rPr>
                <w:sz w:val="18"/>
                <w:szCs w:val="18"/>
              </w:rPr>
              <w:t>-</w:t>
            </w:r>
          </w:p>
        </w:tc>
      </w:tr>
      <w:tr w:rsidR="000F6636" w:rsidRPr="007C2DC9" w14:paraId="2F738C7A" w14:textId="77777777" w:rsidTr="00484DB0">
        <w:trPr>
          <w:trHeight w:val="21"/>
        </w:trPr>
        <w:tc>
          <w:tcPr>
            <w:tcW w:w="6237" w:type="dxa"/>
            <w:tcBorders>
              <w:left w:val="nil"/>
              <w:right w:val="nil"/>
            </w:tcBorders>
            <w:shd w:val="clear" w:color="auto" w:fill="auto"/>
            <w:noWrap/>
          </w:tcPr>
          <w:p w14:paraId="6019C2CD" w14:textId="77777777" w:rsidR="000F6636" w:rsidRPr="00FE2D91" w:rsidRDefault="000F6636" w:rsidP="00484DB0">
            <w:pPr>
              <w:pStyle w:val="Bezriadkovania"/>
              <w:rPr>
                <w:sz w:val="18"/>
                <w:szCs w:val="18"/>
                <w:highlight w:val="yellow"/>
              </w:rPr>
            </w:pPr>
            <w:r>
              <w:rPr>
                <w:sz w:val="18"/>
                <w:szCs w:val="18"/>
              </w:rPr>
              <w:t>Roz</w:t>
            </w:r>
            <w:r w:rsidRPr="00FE2D91">
              <w:rPr>
                <w:sz w:val="18"/>
                <w:szCs w:val="18"/>
              </w:rPr>
              <w:t xml:space="preserve">mrazenie výšky minimálneho dôchodku </w:t>
            </w:r>
          </w:p>
        </w:tc>
        <w:tc>
          <w:tcPr>
            <w:tcW w:w="567" w:type="dxa"/>
            <w:tcBorders>
              <w:left w:val="nil"/>
              <w:right w:val="nil"/>
            </w:tcBorders>
            <w:shd w:val="clear" w:color="auto" w:fill="auto"/>
            <w:noWrap/>
          </w:tcPr>
          <w:p w14:paraId="57530D96" w14:textId="77777777" w:rsidR="000F6636" w:rsidRPr="00C518D0" w:rsidRDefault="000F6636" w:rsidP="00484DB0">
            <w:pPr>
              <w:pStyle w:val="Bezriadkovania"/>
              <w:jc w:val="center"/>
              <w:rPr>
                <w:sz w:val="18"/>
                <w:szCs w:val="18"/>
              </w:rPr>
            </w:pPr>
            <w:r w:rsidRPr="00F803F5">
              <w:rPr>
                <w:sz w:val="18"/>
                <w:szCs w:val="18"/>
              </w:rPr>
              <w:t>25</w:t>
            </w:r>
          </w:p>
        </w:tc>
        <w:tc>
          <w:tcPr>
            <w:tcW w:w="567" w:type="dxa"/>
            <w:tcBorders>
              <w:left w:val="nil"/>
              <w:right w:val="nil"/>
            </w:tcBorders>
            <w:shd w:val="clear" w:color="auto" w:fill="auto"/>
            <w:noWrap/>
          </w:tcPr>
          <w:p w14:paraId="283D088A" w14:textId="77777777" w:rsidR="000F6636" w:rsidRPr="00C518D0" w:rsidRDefault="000F6636" w:rsidP="00484DB0">
            <w:pPr>
              <w:pStyle w:val="Bezriadkovania"/>
              <w:jc w:val="center"/>
              <w:rPr>
                <w:sz w:val="18"/>
                <w:szCs w:val="18"/>
              </w:rPr>
            </w:pPr>
            <w:r w:rsidRPr="00F803F5">
              <w:rPr>
                <w:sz w:val="18"/>
                <w:szCs w:val="18"/>
              </w:rPr>
              <w:t>34</w:t>
            </w:r>
          </w:p>
        </w:tc>
        <w:tc>
          <w:tcPr>
            <w:tcW w:w="567" w:type="dxa"/>
            <w:tcBorders>
              <w:left w:val="nil"/>
              <w:right w:val="nil"/>
            </w:tcBorders>
            <w:shd w:val="clear" w:color="auto" w:fill="auto"/>
            <w:noWrap/>
          </w:tcPr>
          <w:p w14:paraId="487D4FD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A6C4C9D"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77C3D948"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80EAE27" w14:textId="77777777" w:rsidTr="00484DB0">
        <w:trPr>
          <w:trHeight w:val="21"/>
        </w:trPr>
        <w:tc>
          <w:tcPr>
            <w:tcW w:w="6237" w:type="dxa"/>
            <w:tcBorders>
              <w:left w:val="nil"/>
              <w:right w:val="nil"/>
            </w:tcBorders>
            <w:shd w:val="clear" w:color="auto" w:fill="auto"/>
            <w:noWrap/>
          </w:tcPr>
          <w:p w14:paraId="7EE0FEC1" w14:textId="77777777" w:rsidR="000F6636" w:rsidRPr="00FE2D91" w:rsidRDefault="000F6636" w:rsidP="00484DB0">
            <w:pPr>
              <w:pStyle w:val="Bezriadkovania"/>
              <w:rPr>
                <w:sz w:val="18"/>
                <w:szCs w:val="18"/>
                <w:highlight w:val="yellow"/>
              </w:rPr>
            </w:pPr>
            <w:r w:rsidRPr="00FE2D91">
              <w:rPr>
                <w:sz w:val="18"/>
                <w:szCs w:val="18"/>
              </w:rPr>
              <w:t>Zvýšenie prostriedkov na údržbu a opravy ciest 1. triedy</w:t>
            </w:r>
          </w:p>
        </w:tc>
        <w:tc>
          <w:tcPr>
            <w:tcW w:w="567" w:type="dxa"/>
            <w:tcBorders>
              <w:left w:val="nil"/>
              <w:right w:val="nil"/>
            </w:tcBorders>
            <w:shd w:val="clear" w:color="auto" w:fill="auto"/>
            <w:noWrap/>
          </w:tcPr>
          <w:p w14:paraId="189A3B8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6FEAAF56" w14:textId="77777777" w:rsidR="000F6636" w:rsidRPr="00C518D0" w:rsidRDefault="000F6636" w:rsidP="00484DB0">
            <w:pPr>
              <w:pStyle w:val="Bezriadkovania"/>
              <w:jc w:val="center"/>
              <w:rPr>
                <w:sz w:val="18"/>
                <w:szCs w:val="18"/>
              </w:rPr>
            </w:pPr>
            <w:r w:rsidRPr="00F803F5">
              <w:rPr>
                <w:sz w:val="18"/>
                <w:szCs w:val="18"/>
              </w:rPr>
              <w:t>-10</w:t>
            </w:r>
          </w:p>
        </w:tc>
        <w:tc>
          <w:tcPr>
            <w:tcW w:w="567" w:type="dxa"/>
            <w:tcBorders>
              <w:left w:val="nil"/>
              <w:right w:val="nil"/>
            </w:tcBorders>
            <w:shd w:val="clear" w:color="auto" w:fill="auto"/>
            <w:noWrap/>
          </w:tcPr>
          <w:p w14:paraId="19557BC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F79DC0D"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0FBD45D"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401B484" w14:textId="77777777" w:rsidTr="00484DB0">
        <w:trPr>
          <w:trHeight w:val="21"/>
        </w:trPr>
        <w:tc>
          <w:tcPr>
            <w:tcW w:w="6237" w:type="dxa"/>
            <w:tcBorders>
              <w:left w:val="nil"/>
              <w:right w:val="nil"/>
            </w:tcBorders>
            <w:shd w:val="clear" w:color="auto" w:fill="auto"/>
            <w:noWrap/>
          </w:tcPr>
          <w:p w14:paraId="463BFB1D" w14:textId="77777777" w:rsidR="000F6636" w:rsidRPr="00FE2D91" w:rsidRDefault="000F6636" w:rsidP="00484DB0">
            <w:pPr>
              <w:pStyle w:val="Bezriadkovania"/>
              <w:rPr>
                <w:sz w:val="18"/>
                <w:szCs w:val="18"/>
                <w:highlight w:val="yellow"/>
              </w:rPr>
            </w:pPr>
            <w:r w:rsidRPr="00FE2D91">
              <w:rPr>
                <w:sz w:val="18"/>
                <w:szCs w:val="18"/>
              </w:rPr>
              <w:t>Časový nesúlad dodávok (akrualizácia) vojenskej techniky</w:t>
            </w:r>
          </w:p>
        </w:tc>
        <w:tc>
          <w:tcPr>
            <w:tcW w:w="567" w:type="dxa"/>
            <w:tcBorders>
              <w:left w:val="nil"/>
              <w:right w:val="nil"/>
            </w:tcBorders>
            <w:shd w:val="clear" w:color="auto" w:fill="auto"/>
            <w:noWrap/>
          </w:tcPr>
          <w:p w14:paraId="061D70E3" w14:textId="77777777" w:rsidR="000F6636" w:rsidRPr="00C518D0" w:rsidRDefault="000F6636" w:rsidP="00484DB0">
            <w:pPr>
              <w:pStyle w:val="Bezriadkovania"/>
              <w:jc w:val="center"/>
              <w:rPr>
                <w:sz w:val="18"/>
                <w:szCs w:val="18"/>
              </w:rPr>
            </w:pPr>
            <w:r w:rsidRPr="00F803F5">
              <w:rPr>
                <w:sz w:val="18"/>
                <w:szCs w:val="18"/>
              </w:rPr>
              <w:t>-125</w:t>
            </w:r>
          </w:p>
        </w:tc>
        <w:tc>
          <w:tcPr>
            <w:tcW w:w="567" w:type="dxa"/>
            <w:tcBorders>
              <w:left w:val="nil"/>
              <w:right w:val="nil"/>
            </w:tcBorders>
            <w:shd w:val="clear" w:color="auto" w:fill="auto"/>
            <w:noWrap/>
          </w:tcPr>
          <w:p w14:paraId="328076C7" w14:textId="77777777" w:rsidR="000F6636" w:rsidRPr="00C518D0" w:rsidRDefault="000F6636" w:rsidP="00484DB0">
            <w:pPr>
              <w:pStyle w:val="Bezriadkovania"/>
              <w:jc w:val="center"/>
              <w:rPr>
                <w:sz w:val="18"/>
                <w:szCs w:val="18"/>
              </w:rPr>
            </w:pPr>
            <w:r w:rsidRPr="00F803F5">
              <w:rPr>
                <w:sz w:val="18"/>
                <w:szCs w:val="18"/>
              </w:rPr>
              <w:t>561</w:t>
            </w:r>
          </w:p>
        </w:tc>
        <w:tc>
          <w:tcPr>
            <w:tcW w:w="567" w:type="dxa"/>
            <w:tcBorders>
              <w:left w:val="nil"/>
              <w:right w:val="nil"/>
            </w:tcBorders>
            <w:shd w:val="clear" w:color="auto" w:fill="auto"/>
            <w:noWrap/>
          </w:tcPr>
          <w:p w14:paraId="0559809F" w14:textId="77777777" w:rsidR="000F6636" w:rsidRPr="00C518D0" w:rsidRDefault="000F6636" w:rsidP="00484DB0">
            <w:pPr>
              <w:pStyle w:val="Bezriadkovania"/>
              <w:jc w:val="center"/>
              <w:rPr>
                <w:sz w:val="18"/>
                <w:szCs w:val="18"/>
              </w:rPr>
            </w:pPr>
            <w:r w:rsidRPr="00F803F5">
              <w:rPr>
                <w:sz w:val="18"/>
                <w:szCs w:val="18"/>
              </w:rPr>
              <w:t>731</w:t>
            </w:r>
          </w:p>
        </w:tc>
        <w:tc>
          <w:tcPr>
            <w:tcW w:w="567" w:type="dxa"/>
            <w:tcBorders>
              <w:left w:val="nil"/>
              <w:right w:val="nil"/>
            </w:tcBorders>
            <w:shd w:val="clear" w:color="auto" w:fill="auto"/>
            <w:noWrap/>
          </w:tcPr>
          <w:p w14:paraId="55A7FC72" w14:textId="77777777" w:rsidR="000F6636" w:rsidRPr="00C518D0" w:rsidRDefault="000F6636" w:rsidP="00484DB0">
            <w:pPr>
              <w:pStyle w:val="Bezriadkovania"/>
              <w:jc w:val="center"/>
              <w:rPr>
                <w:sz w:val="18"/>
                <w:szCs w:val="18"/>
              </w:rPr>
            </w:pPr>
            <w:r w:rsidRPr="00F803F5">
              <w:rPr>
                <w:sz w:val="18"/>
                <w:szCs w:val="18"/>
              </w:rPr>
              <w:t>-1003</w:t>
            </w:r>
          </w:p>
        </w:tc>
        <w:tc>
          <w:tcPr>
            <w:tcW w:w="562" w:type="dxa"/>
            <w:tcBorders>
              <w:left w:val="nil"/>
              <w:right w:val="nil"/>
            </w:tcBorders>
            <w:shd w:val="clear" w:color="auto" w:fill="auto"/>
            <w:noWrap/>
          </w:tcPr>
          <w:p w14:paraId="288C9375" w14:textId="77777777" w:rsidR="000F6636" w:rsidRPr="00C518D0" w:rsidRDefault="000F6636" w:rsidP="00484DB0">
            <w:pPr>
              <w:pStyle w:val="Bezriadkovania"/>
              <w:jc w:val="center"/>
              <w:rPr>
                <w:sz w:val="18"/>
                <w:szCs w:val="18"/>
              </w:rPr>
            </w:pPr>
            <w:r w:rsidRPr="00F803F5">
              <w:rPr>
                <w:sz w:val="18"/>
                <w:szCs w:val="18"/>
              </w:rPr>
              <w:t>155</w:t>
            </w:r>
          </w:p>
        </w:tc>
      </w:tr>
      <w:tr w:rsidR="000F6636" w:rsidRPr="007C2DC9" w14:paraId="6C321100" w14:textId="77777777" w:rsidTr="00484DB0">
        <w:trPr>
          <w:trHeight w:val="21"/>
        </w:trPr>
        <w:tc>
          <w:tcPr>
            <w:tcW w:w="6237" w:type="dxa"/>
            <w:tcBorders>
              <w:left w:val="nil"/>
              <w:right w:val="nil"/>
            </w:tcBorders>
            <w:shd w:val="clear" w:color="auto" w:fill="auto"/>
            <w:noWrap/>
          </w:tcPr>
          <w:p w14:paraId="4076EA98" w14:textId="77777777" w:rsidR="000F6636" w:rsidRPr="00FE2D91" w:rsidRDefault="000F6636" w:rsidP="00484DB0">
            <w:pPr>
              <w:pStyle w:val="Bezriadkovania"/>
              <w:rPr>
                <w:sz w:val="18"/>
                <w:szCs w:val="18"/>
                <w:highlight w:val="yellow"/>
              </w:rPr>
            </w:pPr>
            <w:r w:rsidRPr="00FE2D91">
              <w:rPr>
                <w:sz w:val="18"/>
                <w:szCs w:val="18"/>
              </w:rPr>
              <w:t>Navýšenie obranných výdavkov na 2 % od roku 202</w:t>
            </w:r>
            <w:r>
              <w:rPr>
                <w:sz w:val="18"/>
                <w:szCs w:val="18"/>
              </w:rPr>
              <w:t>5</w:t>
            </w:r>
          </w:p>
        </w:tc>
        <w:tc>
          <w:tcPr>
            <w:tcW w:w="567" w:type="dxa"/>
            <w:tcBorders>
              <w:left w:val="nil"/>
              <w:right w:val="nil"/>
            </w:tcBorders>
            <w:shd w:val="clear" w:color="auto" w:fill="auto"/>
            <w:noWrap/>
          </w:tcPr>
          <w:p w14:paraId="2D129D5D"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E2BD1F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22236F6" w14:textId="77777777" w:rsidR="000F6636" w:rsidRPr="00C518D0" w:rsidRDefault="000F6636" w:rsidP="00484DB0">
            <w:pPr>
              <w:pStyle w:val="Bezriadkovania"/>
              <w:jc w:val="center"/>
              <w:rPr>
                <w:sz w:val="18"/>
                <w:szCs w:val="18"/>
              </w:rPr>
            </w:pPr>
            <w:r w:rsidRPr="00F803F5">
              <w:rPr>
                <w:sz w:val="18"/>
                <w:szCs w:val="18"/>
              </w:rPr>
              <w:t>279</w:t>
            </w:r>
          </w:p>
        </w:tc>
        <w:tc>
          <w:tcPr>
            <w:tcW w:w="567" w:type="dxa"/>
            <w:tcBorders>
              <w:left w:val="nil"/>
              <w:right w:val="nil"/>
            </w:tcBorders>
            <w:shd w:val="clear" w:color="auto" w:fill="auto"/>
            <w:noWrap/>
          </w:tcPr>
          <w:p w14:paraId="65A3537B"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45C686E6"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7244B9A" w14:textId="77777777" w:rsidTr="00484DB0">
        <w:trPr>
          <w:trHeight w:val="21"/>
        </w:trPr>
        <w:tc>
          <w:tcPr>
            <w:tcW w:w="6237" w:type="dxa"/>
            <w:tcBorders>
              <w:left w:val="nil"/>
              <w:right w:val="nil"/>
            </w:tcBorders>
            <w:shd w:val="clear" w:color="auto" w:fill="auto"/>
            <w:noWrap/>
          </w:tcPr>
          <w:p w14:paraId="57C318F8" w14:textId="77777777" w:rsidR="000F6636" w:rsidRPr="00FE2D91" w:rsidRDefault="000F6636" w:rsidP="00484DB0">
            <w:pPr>
              <w:pStyle w:val="Bezriadkovania"/>
              <w:rPr>
                <w:sz w:val="18"/>
                <w:szCs w:val="18"/>
                <w:highlight w:val="yellow"/>
              </w:rPr>
            </w:pPr>
            <w:r>
              <w:rPr>
                <w:sz w:val="18"/>
                <w:szCs w:val="18"/>
              </w:rPr>
              <w:t>P</w:t>
            </w:r>
            <w:r w:rsidRPr="00FE2D91">
              <w:rPr>
                <w:sz w:val="18"/>
                <w:szCs w:val="18"/>
              </w:rPr>
              <w:t>odpor</w:t>
            </w:r>
            <w:r>
              <w:rPr>
                <w:sz w:val="18"/>
                <w:szCs w:val="18"/>
              </w:rPr>
              <w:t>a</w:t>
            </w:r>
            <w:r w:rsidRPr="00FE2D91">
              <w:rPr>
                <w:sz w:val="18"/>
                <w:szCs w:val="18"/>
              </w:rPr>
              <w:t xml:space="preserve"> v čase skrátenej práce (trvalý kurzarbeit)</w:t>
            </w:r>
          </w:p>
        </w:tc>
        <w:tc>
          <w:tcPr>
            <w:tcW w:w="567" w:type="dxa"/>
            <w:tcBorders>
              <w:left w:val="nil"/>
              <w:right w:val="nil"/>
            </w:tcBorders>
            <w:shd w:val="clear" w:color="auto" w:fill="auto"/>
            <w:noWrap/>
          </w:tcPr>
          <w:p w14:paraId="72A1D88D" w14:textId="77777777" w:rsidR="000F6636" w:rsidRPr="00C518D0" w:rsidRDefault="000F6636" w:rsidP="00484DB0">
            <w:pPr>
              <w:pStyle w:val="Bezriadkovania"/>
              <w:jc w:val="center"/>
              <w:rPr>
                <w:sz w:val="18"/>
                <w:szCs w:val="18"/>
              </w:rPr>
            </w:pPr>
            <w:r w:rsidRPr="00F803F5">
              <w:rPr>
                <w:sz w:val="18"/>
                <w:szCs w:val="18"/>
              </w:rPr>
              <w:t>-20</w:t>
            </w:r>
          </w:p>
        </w:tc>
        <w:tc>
          <w:tcPr>
            <w:tcW w:w="567" w:type="dxa"/>
            <w:tcBorders>
              <w:left w:val="nil"/>
              <w:right w:val="nil"/>
            </w:tcBorders>
            <w:shd w:val="clear" w:color="auto" w:fill="auto"/>
            <w:noWrap/>
          </w:tcPr>
          <w:p w14:paraId="45FDA01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DF390C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4054CB9"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A5D44C7"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5CF7944" w14:textId="77777777" w:rsidTr="00484DB0">
        <w:trPr>
          <w:trHeight w:val="21"/>
        </w:trPr>
        <w:tc>
          <w:tcPr>
            <w:tcW w:w="6237" w:type="dxa"/>
            <w:tcBorders>
              <w:left w:val="nil"/>
              <w:right w:val="nil"/>
            </w:tcBorders>
            <w:shd w:val="clear" w:color="auto" w:fill="auto"/>
            <w:noWrap/>
          </w:tcPr>
          <w:p w14:paraId="06752D76" w14:textId="77777777" w:rsidR="000F6636" w:rsidRPr="00FE2D91" w:rsidRDefault="000F6636" w:rsidP="00484DB0">
            <w:pPr>
              <w:pStyle w:val="Bezriadkovania"/>
              <w:rPr>
                <w:sz w:val="18"/>
                <w:szCs w:val="18"/>
                <w:highlight w:val="yellow"/>
              </w:rPr>
            </w:pPr>
            <w:r w:rsidRPr="00FE2D91">
              <w:rPr>
                <w:sz w:val="18"/>
                <w:szCs w:val="18"/>
              </w:rPr>
              <w:t>Náklady spojené s priemyselným parkom Valaliky</w:t>
            </w:r>
          </w:p>
        </w:tc>
        <w:tc>
          <w:tcPr>
            <w:tcW w:w="567" w:type="dxa"/>
            <w:tcBorders>
              <w:left w:val="nil"/>
              <w:right w:val="nil"/>
            </w:tcBorders>
            <w:shd w:val="clear" w:color="auto" w:fill="auto"/>
            <w:noWrap/>
          </w:tcPr>
          <w:p w14:paraId="585DCB87" w14:textId="77777777" w:rsidR="000F6636" w:rsidRPr="00C518D0" w:rsidRDefault="000F6636" w:rsidP="00484DB0">
            <w:pPr>
              <w:pStyle w:val="Bezriadkovania"/>
              <w:jc w:val="center"/>
              <w:rPr>
                <w:sz w:val="18"/>
                <w:szCs w:val="18"/>
              </w:rPr>
            </w:pPr>
            <w:r w:rsidRPr="00F803F5">
              <w:rPr>
                <w:sz w:val="18"/>
                <w:szCs w:val="18"/>
              </w:rPr>
              <w:t>47</w:t>
            </w:r>
          </w:p>
        </w:tc>
        <w:tc>
          <w:tcPr>
            <w:tcW w:w="567" w:type="dxa"/>
            <w:tcBorders>
              <w:left w:val="nil"/>
              <w:right w:val="nil"/>
            </w:tcBorders>
            <w:shd w:val="clear" w:color="auto" w:fill="auto"/>
            <w:noWrap/>
          </w:tcPr>
          <w:p w14:paraId="2155D4B5" w14:textId="77777777" w:rsidR="000F6636" w:rsidRPr="00C518D0" w:rsidRDefault="000F6636" w:rsidP="00484DB0">
            <w:pPr>
              <w:pStyle w:val="Bezriadkovania"/>
              <w:jc w:val="center"/>
              <w:rPr>
                <w:sz w:val="18"/>
                <w:szCs w:val="18"/>
              </w:rPr>
            </w:pPr>
            <w:r w:rsidRPr="00F803F5">
              <w:rPr>
                <w:sz w:val="18"/>
                <w:szCs w:val="18"/>
              </w:rPr>
              <w:t>137</w:t>
            </w:r>
          </w:p>
        </w:tc>
        <w:tc>
          <w:tcPr>
            <w:tcW w:w="567" w:type="dxa"/>
            <w:tcBorders>
              <w:left w:val="nil"/>
              <w:right w:val="nil"/>
            </w:tcBorders>
            <w:shd w:val="clear" w:color="auto" w:fill="auto"/>
            <w:noWrap/>
          </w:tcPr>
          <w:p w14:paraId="74CDF559" w14:textId="77777777" w:rsidR="000F6636" w:rsidRPr="00C518D0" w:rsidRDefault="000F6636" w:rsidP="00484DB0">
            <w:pPr>
              <w:pStyle w:val="Bezriadkovania"/>
              <w:jc w:val="center"/>
              <w:rPr>
                <w:sz w:val="18"/>
                <w:szCs w:val="18"/>
              </w:rPr>
            </w:pPr>
            <w:r w:rsidRPr="00F803F5">
              <w:rPr>
                <w:sz w:val="18"/>
                <w:szCs w:val="18"/>
              </w:rPr>
              <w:t>-63</w:t>
            </w:r>
          </w:p>
        </w:tc>
        <w:tc>
          <w:tcPr>
            <w:tcW w:w="567" w:type="dxa"/>
            <w:tcBorders>
              <w:left w:val="nil"/>
              <w:right w:val="nil"/>
            </w:tcBorders>
            <w:shd w:val="clear" w:color="auto" w:fill="auto"/>
            <w:noWrap/>
          </w:tcPr>
          <w:p w14:paraId="1C4A501E" w14:textId="77777777" w:rsidR="000F6636" w:rsidRPr="00C518D0" w:rsidRDefault="000F6636" w:rsidP="00484DB0">
            <w:pPr>
              <w:pStyle w:val="Bezriadkovania"/>
              <w:jc w:val="center"/>
              <w:rPr>
                <w:sz w:val="18"/>
                <w:szCs w:val="18"/>
              </w:rPr>
            </w:pPr>
            <w:r w:rsidRPr="00F803F5">
              <w:rPr>
                <w:sz w:val="18"/>
                <w:szCs w:val="18"/>
              </w:rPr>
              <w:t>-64</w:t>
            </w:r>
          </w:p>
        </w:tc>
        <w:tc>
          <w:tcPr>
            <w:tcW w:w="562" w:type="dxa"/>
            <w:tcBorders>
              <w:left w:val="nil"/>
              <w:right w:val="nil"/>
            </w:tcBorders>
            <w:shd w:val="clear" w:color="auto" w:fill="auto"/>
            <w:noWrap/>
          </w:tcPr>
          <w:p w14:paraId="69F0613E"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B942B4A" w14:textId="77777777" w:rsidTr="00484DB0">
        <w:trPr>
          <w:trHeight w:val="21"/>
        </w:trPr>
        <w:tc>
          <w:tcPr>
            <w:tcW w:w="6237" w:type="dxa"/>
            <w:tcBorders>
              <w:left w:val="nil"/>
              <w:right w:val="nil"/>
            </w:tcBorders>
            <w:shd w:val="clear" w:color="auto" w:fill="auto"/>
            <w:noWrap/>
          </w:tcPr>
          <w:p w14:paraId="436BF534" w14:textId="77777777" w:rsidR="000F6636" w:rsidRPr="00FE2D91" w:rsidRDefault="000F6636" w:rsidP="00484DB0">
            <w:pPr>
              <w:pStyle w:val="Bezriadkovania"/>
              <w:rPr>
                <w:sz w:val="18"/>
                <w:szCs w:val="18"/>
                <w:highlight w:val="yellow"/>
              </w:rPr>
            </w:pPr>
            <w:r w:rsidRPr="00FE2D91">
              <w:rPr>
                <w:sz w:val="18"/>
                <w:szCs w:val="18"/>
              </w:rPr>
              <w:t>Výdavky spojené s vojnou na Ukrajine</w:t>
            </w:r>
            <w:r>
              <w:rPr>
                <w:sz w:val="18"/>
                <w:szCs w:val="18"/>
              </w:rPr>
              <w:t xml:space="preserve"> (očistené o EÚ fondy)</w:t>
            </w:r>
          </w:p>
        </w:tc>
        <w:tc>
          <w:tcPr>
            <w:tcW w:w="567" w:type="dxa"/>
            <w:tcBorders>
              <w:left w:val="nil"/>
              <w:right w:val="nil"/>
            </w:tcBorders>
            <w:shd w:val="clear" w:color="auto" w:fill="auto"/>
            <w:noWrap/>
          </w:tcPr>
          <w:p w14:paraId="1FAA9B04" w14:textId="77777777" w:rsidR="000F6636" w:rsidRPr="00C518D0" w:rsidRDefault="000F6636" w:rsidP="00484DB0">
            <w:pPr>
              <w:pStyle w:val="Bezriadkovania"/>
              <w:jc w:val="center"/>
              <w:rPr>
                <w:sz w:val="18"/>
                <w:szCs w:val="18"/>
              </w:rPr>
            </w:pPr>
            <w:r w:rsidRPr="00F803F5">
              <w:rPr>
                <w:sz w:val="18"/>
                <w:szCs w:val="18"/>
              </w:rPr>
              <w:t>215</w:t>
            </w:r>
          </w:p>
        </w:tc>
        <w:tc>
          <w:tcPr>
            <w:tcW w:w="567" w:type="dxa"/>
            <w:tcBorders>
              <w:left w:val="nil"/>
              <w:right w:val="nil"/>
            </w:tcBorders>
            <w:shd w:val="clear" w:color="auto" w:fill="auto"/>
            <w:noWrap/>
          </w:tcPr>
          <w:p w14:paraId="6F09BB19" w14:textId="77777777" w:rsidR="000F6636" w:rsidRPr="00C518D0" w:rsidRDefault="000F6636" w:rsidP="00484DB0">
            <w:pPr>
              <w:pStyle w:val="Bezriadkovania"/>
              <w:jc w:val="center"/>
              <w:rPr>
                <w:sz w:val="18"/>
                <w:szCs w:val="18"/>
              </w:rPr>
            </w:pPr>
            <w:r w:rsidRPr="00F803F5">
              <w:rPr>
                <w:sz w:val="18"/>
                <w:szCs w:val="18"/>
              </w:rPr>
              <w:t>-82</w:t>
            </w:r>
          </w:p>
        </w:tc>
        <w:tc>
          <w:tcPr>
            <w:tcW w:w="567" w:type="dxa"/>
            <w:tcBorders>
              <w:left w:val="nil"/>
              <w:right w:val="nil"/>
            </w:tcBorders>
            <w:shd w:val="clear" w:color="auto" w:fill="auto"/>
            <w:noWrap/>
          </w:tcPr>
          <w:p w14:paraId="635B9555" w14:textId="77777777" w:rsidR="000F6636" w:rsidRPr="00C518D0" w:rsidRDefault="000F6636" w:rsidP="00484DB0">
            <w:pPr>
              <w:pStyle w:val="Bezriadkovania"/>
              <w:jc w:val="center"/>
              <w:rPr>
                <w:sz w:val="18"/>
                <w:szCs w:val="18"/>
              </w:rPr>
            </w:pPr>
            <w:r w:rsidRPr="00C518D0">
              <w:rPr>
                <w:sz w:val="18"/>
                <w:szCs w:val="18"/>
              </w:rPr>
              <w:t>-26</w:t>
            </w:r>
          </w:p>
        </w:tc>
        <w:tc>
          <w:tcPr>
            <w:tcW w:w="567" w:type="dxa"/>
            <w:tcBorders>
              <w:left w:val="nil"/>
              <w:right w:val="nil"/>
            </w:tcBorders>
            <w:shd w:val="clear" w:color="auto" w:fill="auto"/>
            <w:noWrap/>
          </w:tcPr>
          <w:p w14:paraId="4B7CC368"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C614B58"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7F1E3B0" w14:textId="77777777" w:rsidTr="00484DB0">
        <w:trPr>
          <w:trHeight w:val="21"/>
        </w:trPr>
        <w:tc>
          <w:tcPr>
            <w:tcW w:w="6237" w:type="dxa"/>
            <w:tcBorders>
              <w:left w:val="nil"/>
              <w:right w:val="nil"/>
            </w:tcBorders>
            <w:shd w:val="clear" w:color="auto" w:fill="auto"/>
            <w:noWrap/>
          </w:tcPr>
          <w:p w14:paraId="4E4D71D3" w14:textId="77777777" w:rsidR="000F6636" w:rsidRPr="00FE2D91" w:rsidRDefault="000F6636" w:rsidP="00484DB0">
            <w:pPr>
              <w:pStyle w:val="Bezriadkovania"/>
              <w:rPr>
                <w:sz w:val="18"/>
                <w:szCs w:val="18"/>
                <w:highlight w:val="yellow"/>
              </w:rPr>
            </w:pPr>
            <w:r w:rsidRPr="00FE2D91">
              <w:rPr>
                <w:sz w:val="18"/>
                <w:szCs w:val="18"/>
              </w:rPr>
              <w:t>Inflačná pomoc pre rodiny a sociálne znevýhodnené skupiny obyvateľov</w:t>
            </w:r>
          </w:p>
        </w:tc>
        <w:tc>
          <w:tcPr>
            <w:tcW w:w="567" w:type="dxa"/>
            <w:tcBorders>
              <w:left w:val="nil"/>
              <w:right w:val="nil"/>
            </w:tcBorders>
            <w:shd w:val="clear" w:color="auto" w:fill="auto"/>
            <w:noWrap/>
          </w:tcPr>
          <w:p w14:paraId="0C14917C" w14:textId="77777777" w:rsidR="000F6636" w:rsidRPr="00C518D0" w:rsidRDefault="000F6636" w:rsidP="00484DB0">
            <w:pPr>
              <w:pStyle w:val="Bezriadkovania"/>
              <w:jc w:val="center"/>
              <w:rPr>
                <w:sz w:val="18"/>
                <w:szCs w:val="18"/>
              </w:rPr>
            </w:pPr>
            <w:r w:rsidRPr="00F803F5">
              <w:rPr>
                <w:sz w:val="18"/>
                <w:szCs w:val="18"/>
              </w:rPr>
              <w:t>-112</w:t>
            </w:r>
          </w:p>
        </w:tc>
        <w:tc>
          <w:tcPr>
            <w:tcW w:w="567" w:type="dxa"/>
            <w:tcBorders>
              <w:left w:val="nil"/>
              <w:right w:val="nil"/>
            </w:tcBorders>
            <w:shd w:val="clear" w:color="auto" w:fill="auto"/>
            <w:noWrap/>
          </w:tcPr>
          <w:p w14:paraId="0C1DEFC2"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383914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196A6782"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2211979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6372C4A" w14:textId="77777777" w:rsidTr="00484DB0">
        <w:trPr>
          <w:trHeight w:val="21"/>
        </w:trPr>
        <w:tc>
          <w:tcPr>
            <w:tcW w:w="6237" w:type="dxa"/>
            <w:tcBorders>
              <w:left w:val="nil"/>
              <w:right w:val="nil"/>
            </w:tcBorders>
            <w:shd w:val="clear" w:color="auto" w:fill="auto"/>
            <w:noWrap/>
          </w:tcPr>
          <w:p w14:paraId="35B88A44" w14:textId="77777777" w:rsidR="000F6636" w:rsidRPr="00FE2D91" w:rsidRDefault="000F6636" w:rsidP="00484DB0">
            <w:pPr>
              <w:pStyle w:val="Bezriadkovania"/>
              <w:rPr>
                <w:sz w:val="18"/>
                <w:szCs w:val="18"/>
                <w:highlight w:val="yellow"/>
              </w:rPr>
            </w:pPr>
            <w:r w:rsidRPr="00FE2D91">
              <w:rPr>
                <w:sz w:val="18"/>
                <w:szCs w:val="18"/>
              </w:rPr>
              <w:t>Jednorazové dotácie pre zariadenia sociálnych služieb</w:t>
            </w:r>
          </w:p>
        </w:tc>
        <w:tc>
          <w:tcPr>
            <w:tcW w:w="567" w:type="dxa"/>
            <w:tcBorders>
              <w:left w:val="nil"/>
              <w:right w:val="nil"/>
            </w:tcBorders>
            <w:shd w:val="clear" w:color="auto" w:fill="auto"/>
            <w:noWrap/>
          </w:tcPr>
          <w:p w14:paraId="039D1671" w14:textId="77777777" w:rsidR="000F6636" w:rsidRPr="00C518D0" w:rsidRDefault="000F6636" w:rsidP="00484DB0">
            <w:pPr>
              <w:pStyle w:val="Bezriadkovania"/>
              <w:jc w:val="center"/>
              <w:rPr>
                <w:sz w:val="18"/>
                <w:szCs w:val="18"/>
              </w:rPr>
            </w:pPr>
            <w:r w:rsidRPr="00F803F5">
              <w:rPr>
                <w:sz w:val="18"/>
                <w:szCs w:val="18"/>
              </w:rPr>
              <w:t>-29</w:t>
            </w:r>
          </w:p>
        </w:tc>
        <w:tc>
          <w:tcPr>
            <w:tcW w:w="567" w:type="dxa"/>
            <w:tcBorders>
              <w:left w:val="nil"/>
              <w:right w:val="nil"/>
            </w:tcBorders>
            <w:shd w:val="clear" w:color="auto" w:fill="auto"/>
            <w:noWrap/>
          </w:tcPr>
          <w:p w14:paraId="3C72A852"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15B01F4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0AC4680"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C196B54"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5CEA4DC" w14:textId="77777777" w:rsidTr="00484DB0">
        <w:trPr>
          <w:trHeight w:val="21"/>
        </w:trPr>
        <w:tc>
          <w:tcPr>
            <w:tcW w:w="6237" w:type="dxa"/>
            <w:tcBorders>
              <w:left w:val="nil"/>
              <w:right w:val="nil"/>
            </w:tcBorders>
            <w:shd w:val="clear" w:color="auto" w:fill="auto"/>
            <w:noWrap/>
          </w:tcPr>
          <w:p w14:paraId="4DAAE441" w14:textId="77777777" w:rsidR="000F6636" w:rsidRPr="00FE2D91" w:rsidRDefault="000F6636" w:rsidP="00484DB0">
            <w:pPr>
              <w:pStyle w:val="Bezriadkovania"/>
              <w:rPr>
                <w:sz w:val="18"/>
                <w:szCs w:val="18"/>
                <w:highlight w:val="yellow"/>
              </w:rPr>
            </w:pPr>
            <w:r w:rsidRPr="00FE2D91">
              <w:rPr>
                <w:sz w:val="18"/>
                <w:szCs w:val="18"/>
              </w:rPr>
              <w:t>Súdna reforma a správne súdy (projekt súdnej mapy)</w:t>
            </w:r>
          </w:p>
        </w:tc>
        <w:tc>
          <w:tcPr>
            <w:tcW w:w="567" w:type="dxa"/>
            <w:tcBorders>
              <w:left w:val="nil"/>
              <w:right w:val="nil"/>
            </w:tcBorders>
            <w:shd w:val="clear" w:color="auto" w:fill="auto"/>
            <w:noWrap/>
          </w:tcPr>
          <w:p w14:paraId="3003757E" w14:textId="77777777" w:rsidR="000F6636" w:rsidRPr="00C518D0" w:rsidRDefault="000F6636" w:rsidP="00484DB0">
            <w:pPr>
              <w:pStyle w:val="Bezriadkovania"/>
              <w:jc w:val="center"/>
              <w:rPr>
                <w:sz w:val="18"/>
                <w:szCs w:val="18"/>
              </w:rPr>
            </w:pPr>
            <w:r w:rsidRPr="00F803F5">
              <w:rPr>
                <w:sz w:val="18"/>
                <w:szCs w:val="18"/>
              </w:rPr>
              <w:t>24</w:t>
            </w:r>
          </w:p>
        </w:tc>
        <w:tc>
          <w:tcPr>
            <w:tcW w:w="567" w:type="dxa"/>
            <w:tcBorders>
              <w:left w:val="nil"/>
              <w:right w:val="nil"/>
            </w:tcBorders>
            <w:shd w:val="clear" w:color="auto" w:fill="auto"/>
            <w:noWrap/>
          </w:tcPr>
          <w:p w14:paraId="0FBF417C" w14:textId="77777777" w:rsidR="000F6636" w:rsidRPr="00C518D0" w:rsidRDefault="000F6636" w:rsidP="00484DB0">
            <w:pPr>
              <w:pStyle w:val="Bezriadkovania"/>
              <w:jc w:val="center"/>
              <w:rPr>
                <w:sz w:val="18"/>
                <w:szCs w:val="18"/>
              </w:rPr>
            </w:pPr>
            <w:r w:rsidRPr="00F803F5">
              <w:rPr>
                <w:sz w:val="18"/>
                <w:szCs w:val="18"/>
              </w:rPr>
              <w:t>-15</w:t>
            </w:r>
          </w:p>
        </w:tc>
        <w:tc>
          <w:tcPr>
            <w:tcW w:w="567" w:type="dxa"/>
            <w:tcBorders>
              <w:left w:val="nil"/>
              <w:right w:val="nil"/>
            </w:tcBorders>
            <w:shd w:val="clear" w:color="auto" w:fill="auto"/>
            <w:noWrap/>
          </w:tcPr>
          <w:p w14:paraId="373FFC4D"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CBEF00A"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340B6FD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E8CA2DE" w14:textId="77777777" w:rsidTr="00484DB0">
        <w:trPr>
          <w:trHeight w:val="21"/>
        </w:trPr>
        <w:tc>
          <w:tcPr>
            <w:tcW w:w="6237" w:type="dxa"/>
            <w:tcBorders>
              <w:left w:val="nil"/>
              <w:right w:val="nil"/>
            </w:tcBorders>
            <w:shd w:val="clear" w:color="auto" w:fill="auto"/>
            <w:noWrap/>
          </w:tcPr>
          <w:p w14:paraId="53975B45" w14:textId="77777777" w:rsidR="000F6636" w:rsidRPr="00FE2D91" w:rsidRDefault="000F6636" w:rsidP="00484DB0">
            <w:pPr>
              <w:pStyle w:val="Bezriadkovania"/>
              <w:rPr>
                <w:sz w:val="18"/>
                <w:szCs w:val="18"/>
                <w:highlight w:val="yellow"/>
              </w:rPr>
            </w:pPr>
            <w:r w:rsidRPr="00FE2D91">
              <w:rPr>
                <w:sz w:val="18"/>
                <w:szCs w:val="18"/>
              </w:rPr>
              <w:t>Zákon o výstavbe, územnom plánovaní a zriadenie centrálneho úradu</w:t>
            </w:r>
          </w:p>
        </w:tc>
        <w:tc>
          <w:tcPr>
            <w:tcW w:w="567" w:type="dxa"/>
            <w:tcBorders>
              <w:left w:val="nil"/>
              <w:right w:val="nil"/>
            </w:tcBorders>
            <w:shd w:val="clear" w:color="auto" w:fill="auto"/>
            <w:noWrap/>
          </w:tcPr>
          <w:p w14:paraId="70954D9D" w14:textId="77777777" w:rsidR="000F6636" w:rsidRPr="00C518D0" w:rsidRDefault="000F6636" w:rsidP="00484DB0">
            <w:pPr>
              <w:pStyle w:val="Bezriadkovania"/>
              <w:jc w:val="center"/>
              <w:rPr>
                <w:sz w:val="18"/>
                <w:szCs w:val="18"/>
              </w:rPr>
            </w:pPr>
            <w:r w:rsidRPr="00F803F5">
              <w:rPr>
                <w:sz w:val="18"/>
                <w:szCs w:val="18"/>
              </w:rPr>
              <w:t>65</w:t>
            </w:r>
          </w:p>
        </w:tc>
        <w:tc>
          <w:tcPr>
            <w:tcW w:w="567" w:type="dxa"/>
            <w:tcBorders>
              <w:left w:val="nil"/>
              <w:right w:val="nil"/>
            </w:tcBorders>
            <w:shd w:val="clear" w:color="auto" w:fill="auto"/>
            <w:noWrap/>
          </w:tcPr>
          <w:p w14:paraId="2ACF814A" w14:textId="77777777" w:rsidR="000F6636" w:rsidRPr="00C518D0" w:rsidRDefault="000F6636" w:rsidP="00484DB0">
            <w:pPr>
              <w:pStyle w:val="Bezriadkovania"/>
              <w:jc w:val="center"/>
              <w:rPr>
                <w:sz w:val="18"/>
                <w:szCs w:val="18"/>
              </w:rPr>
            </w:pPr>
            <w:r w:rsidRPr="00F803F5">
              <w:rPr>
                <w:sz w:val="18"/>
                <w:szCs w:val="18"/>
              </w:rPr>
              <w:t>5</w:t>
            </w:r>
          </w:p>
        </w:tc>
        <w:tc>
          <w:tcPr>
            <w:tcW w:w="567" w:type="dxa"/>
            <w:tcBorders>
              <w:left w:val="nil"/>
              <w:right w:val="nil"/>
            </w:tcBorders>
            <w:shd w:val="clear" w:color="auto" w:fill="auto"/>
            <w:noWrap/>
          </w:tcPr>
          <w:p w14:paraId="759FB41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ACCF01D"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73243185"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7DDDEEC" w14:textId="77777777" w:rsidTr="00484DB0">
        <w:trPr>
          <w:trHeight w:val="21"/>
        </w:trPr>
        <w:tc>
          <w:tcPr>
            <w:tcW w:w="6237" w:type="dxa"/>
            <w:tcBorders>
              <w:left w:val="nil"/>
              <w:right w:val="nil"/>
            </w:tcBorders>
            <w:shd w:val="clear" w:color="auto" w:fill="auto"/>
            <w:noWrap/>
          </w:tcPr>
          <w:p w14:paraId="0450F9B1" w14:textId="77777777" w:rsidR="000F6636" w:rsidRPr="00FE2D91" w:rsidRDefault="000F6636" w:rsidP="00484DB0">
            <w:pPr>
              <w:pStyle w:val="Bezriadkovania"/>
              <w:rPr>
                <w:sz w:val="18"/>
                <w:szCs w:val="18"/>
                <w:highlight w:val="yellow"/>
              </w:rPr>
            </w:pPr>
            <w:r w:rsidRPr="00FE2D91">
              <w:rPr>
                <w:sz w:val="18"/>
                <w:szCs w:val="18"/>
              </w:rPr>
              <w:t>Zvýšenie úhrad zdravotnej poisťovne za starostlivosť (dlhodobá a paliatívna)</w:t>
            </w:r>
          </w:p>
        </w:tc>
        <w:tc>
          <w:tcPr>
            <w:tcW w:w="567" w:type="dxa"/>
            <w:tcBorders>
              <w:left w:val="nil"/>
              <w:right w:val="nil"/>
            </w:tcBorders>
            <w:shd w:val="clear" w:color="auto" w:fill="auto"/>
            <w:noWrap/>
          </w:tcPr>
          <w:p w14:paraId="3187A304" w14:textId="77777777" w:rsidR="000F6636" w:rsidRPr="00C518D0" w:rsidRDefault="000F6636" w:rsidP="00484DB0">
            <w:pPr>
              <w:pStyle w:val="Bezriadkovania"/>
              <w:jc w:val="center"/>
              <w:rPr>
                <w:sz w:val="18"/>
                <w:szCs w:val="18"/>
              </w:rPr>
            </w:pPr>
            <w:r w:rsidRPr="00F803F5">
              <w:rPr>
                <w:sz w:val="18"/>
                <w:szCs w:val="18"/>
              </w:rPr>
              <w:t>14</w:t>
            </w:r>
          </w:p>
        </w:tc>
        <w:tc>
          <w:tcPr>
            <w:tcW w:w="567" w:type="dxa"/>
            <w:tcBorders>
              <w:left w:val="nil"/>
              <w:right w:val="nil"/>
            </w:tcBorders>
            <w:shd w:val="clear" w:color="auto" w:fill="auto"/>
            <w:noWrap/>
          </w:tcPr>
          <w:p w14:paraId="3B858E45"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DAFC14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A96EDA7"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7B27FB3A"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2C4C133" w14:textId="77777777" w:rsidTr="00484DB0">
        <w:trPr>
          <w:trHeight w:val="21"/>
        </w:trPr>
        <w:tc>
          <w:tcPr>
            <w:tcW w:w="6237" w:type="dxa"/>
            <w:tcBorders>
              <w:left w:val="nil"/>
              <w:right w:val="nil"/>
            </w:tcBorders>
            <w:shd w:val="clear" w:color="auto" w:fill="auto"/>
            <w:noWrap/>
          </w:tcPr>
          <w:p w14:paraId="25BDF182" w14:textId="77777777" w:rsidR="000F6636" w:rsidRPr="00FE2D91" w:rsidRDefault="000F6636" w:rsidP="00484DB0">
            <w:pPr>
              <w:pStyle w:val="Bezriadkovania"/>
              <w:rPr>
                <w:sz w:val="18"/>
                <w:szCs w:val="18"/>
                <w:highlight w:val="yellow"/>
              </w:rPr>
            </w:pPr>
            <w:r w:rsidRPr="001560B0">
              <w:rPr>
                <w:sz w:val="18"/>
                <w:szCs w:val="18"/>
              </w:rPr>
              <w:t>Odchod do dôchodku po 40 odpracovaných rokoch</w:t>
            </w:r>
          </w:p>
        </w:tc>
        <w:tc>
          <w:tcPr>
            <w:tcW w:w="567" w:type="dxa"/>
            <w:tcBorders>
              <w:left w:val="nil"/>
              <w:right w:val="nil"/>
            </w:tcBorders>
            <w:shd w:val="clear" w:color="auto" w:fill="auto"/>
            <w:noWrap/>
          </w:tcPr>
          <w:p w14:paraId="02E6BFAD" w14:textId="77777777" w:rsidR="000F6636" w:rsidRPr="00C518D0" w:rsidRDefault="000F6636" w:rsidP="00484DB0">
            <w:pPr>
              <w:pStyle w:val="Bezriadkovania"/>
              <w:jc w:val="center"/>
              <w:rPr>
                <w:sz w:val="18"/>
                <w:szCs w:val="18"/>
              </w:rPr>
            </w:pPr>
            <w:r>
              <w:rPr>
                <w:sz w:val="18"/>
                <w:szCs w:val="18"/>
              </w:rPr>
              <w:t>34</w:t>
            </w:r>
          </w:p>
        </w:tc>
        <w:tc>
          <w:tcPr>
            <w:tcW w:w="567" w:type="dxa"/>
            <w:tcBorders>
              <w:left w:val="nil"/>
              <w:right w:val="nil"/>
            </w:tcBorders>
            <w:shd w:val="clear" w:color="auto" w:fill="auto"/>
            <w:noWrap/>
          </w:tcPr>
          <w:p w14:paraId="69541335" w14:textId="77777777" w:rsidR="000F6636" w:rsidRPr="00C518D0" w:rsidRDefault="000F6636" w:rsidP="00484DB0">
            <w:pPr>
              <w:pStyle w:val="Bezriadkovania"/>
              <w:jc w:val="center"/>
              <w:rPr>
                <w:sz w:val="18"/>
                <w:szCs w:val="18"/>
              </w:rPr>
            </w:pPr>
            <w:r w:rsidRPr="00F803F5">
              <w:rPr>
                <w:sz w:val="18"/>
                <w:szCs w:val="18"/>
              </w:rPr>
              <w:t>235</w:t>
            </w:r>
          </w:p>
        </w:tc>
        <w:tc>
          <w:tcPr>
            <w:tcW w:w="567" w:type="dxa"/>
            <w:tcBorders>
              <w:left w:val="nil"/>
              <w:right w:val="nil"/>
            </w:tcBorders>
            <w:shd w:val="clear" w:color="auto" w:fill="auto"/>
            <w:noWrap/>
          </w:tcPr>
          <w:p w14:paraId="5971BD6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B7C37DD" w14:textId="77777777" w:rsidR="000F6636" w:rsidRPr="00C518D0" w:rsidRDefault="000F6636" w:rsidP="00484DB0">
            <w:pPr>
              <w:pStyle w:val="Bezriadkovania"/>
              <w:jc w:val="center"/>
              <w:rPr>
                <w:sz w:val="18"/>
                <w:szCs w:val="18"/>
              </w:rPr>
            </w:pPr>
            <w:r w:rsidRPr="00F803F5">
              <w:rPr>
                <w:sz w:val="18"/>
                <w:szCs w:val="18"/>
              </w:rPr>
              <w:t>-319</w:t>
            </w:r>
          </w:p>
        </w:tc>
        <w:tc>
          <w:tcPr>
            <w:tcW w:w="562" w:type="dxa"/>
            <w:tcBorders>
              <w:left w:val="nil"/>
              <w:right w:val="nil"/>
            </w:tcBorders>
            <w:shd w:val="clear" w:color="auto" w:fill="auto"/>
            <w:noWrap/>
          </w:tcPr>
          <w:p w14:paraId="67780781"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C63C7C4" w14:textId="77777777" w:rsidTr="00484DB0">
        <w:trPr>
          <w:trHeight w:val="21"/>
        </w:trPr>
        <w:tc>
          <w:tcPr>
            <w:tcW w:w="6237" w:type="dxa"/>
            <w:tcBorders>
              <w:left w:val="nil"/>
              <w:right w:val="nil"/>
            </w:tcBorders>
            <w:shd w:val="clear" w:color="auto" w:fill="auto"/>
            <w:noWrap/>
          </w:tcPr>
          <w:p w14:paraId="51347321" w14:textId="77777777" w:rsidR="000F6636" w:rsidRPr="00FE2D91" w:rsidRDefault="000F6636" w:rsidP="00484DB0">
            <w:pPr>
              <w:pStyle w:val="Bezriadkovania"/>
              <w:rPr>
                <w:sz w:val="18"/>
                <w:szCs w:val="18"/>
              </w:rPr>
            </w:pPr>
            <w:r w:rsidRPr="001560B0">
              <w:rPr>
                <w:sz w:val="18"/>
                <w:szCs w:val="18"/>
              </w:rPr>
              <w:t>Rodičovský dôchodok</w:t>
            </w:r>
          </w:p>
        </w:tc>
        <w:tc>
          <w:tcPr>
            <w:tcW w:w="567" w:type="dxa"/>
            <w:tcBorders>
              <w:left w:val="nil"/>
              <w:right w:val="nil"/>
            </w:tcBorders>
            <w:shd w:val="clear" w:color="auto" w:fill="auto"/>
            <w:noWrap/>
          </w:tcPr>
          <w:p w14:paraId="64319C45" w14:textId="77777777" w:rsidR="000F6636" w:rsidRPr="00F803F5" w:rsidRDefault="000F6636" w:rsidP="00484DB0">
            <w:pPr>
              <w:pStyle w:val="Bezriadkovania"/>
              <w:jc w:val="center"/>
              <w:rPr>
                <w:sz w:val="18"/>
                <w:szCs w:val="18"/>
              </w:rPr>
            </w:pPr>
            <w:r>
              <w:rPr>
                <w:sz w:val="18"/>
                <w:szCs w:val="18"/>
              </w:rPr>
              <w:t>286</w:t>
            </w:r>
          </w:p>
        </w:tc>
        <w:tc>
          <w:tcPr>
            <w:tcW w:w="567" w:type="dxa"/>
            <w:tcBorders>
              <w:left w:val="nil"/>
              <w:right w:val="nil"/>
            </w:tcBorders>
            <w:shd w:val="clear" w:color="auto" w:fill="auto"/>
            <w:noWrap/>
          </w:tcPr>
          <w:p w14:paraId="5E44E765" w14:textId="77777777" w:rsidR="000F6636" w:rsidRPr="00F803F5" w:rsidRDefault="000F6636" w:rsidP="00484DB0">
            <w:pPr>
              <w:pStyle w:val="Bezriadkovania"/>
              <w:jc w:val="center"/>
              <w:rPr>
                <w:sz w:val="18"/>
                <w:szCs w:val="18"/>
              </w:rPr>
            </w:pPr>
          </w:p>
        </w:tc>
        <w:tc>
          <w:tcPr>
            <w:tcW w:w="567" w:type="dxa"/>
            <w:tcBorders>
              <w:left w:val="nil"/>
              <w:right w:val="nil"/>
            </w:tcBorders>
            <w:shd w:val="clear" w:color="auto" w:fill="auto"/>
            <w:noWrap/>
          </w:tcPr>
          <w:p w14:paraId="146DEFDA" w14:textId="77777777" w:rsidR="000F6636" w:rsidRPr="00C518D0" w:rsidRDefault="000F6636" w:rsidP="00484DB0">
            <w:pPr>
              <w:pStyle w:val="Bezriadkovania"/>
              <w:jc w:val="center"/>
              <w:rPr>
                <w:sz w:val="18"/>
                <w:szCs w:val="18"/>
              </w:rPr>
            </w:pPr>
          </w:p>
        </w:tc>
        <w:tc>
          <w:tcPr>
            <w:tcW w:w="567" w:type="dxa"/>
            <w:tcBorders>
              <w:left w:val="nil"/>
              <w:right w:val="nil"/>
            </w:tcBorders>
            <w:shd w:val="clear" w:color="auto" w:fill="auto"/>
            <w:noWrap/>
          </w:tcPr>
          <w:p w14:paraId="58972FB9" w14:textId="77777777" w:rsidR="000F6636" w:rsidRPr="00F803F5" w:rsidRDefault="000F6636" w:rsidP="00484DB0">
            <w:pPr>
              <w:pStyle w:val="Bezriadkovania"/>
              <w:jc w:val="center"/>
              <w:rPr>
                <w:sz w:val="18"/>
                <w:szCs w:val="18"/>
              </w:rPr>
            </w:pPr>
          </w:p>
        </w:tc>
        <w:tc>
          <w:tcPr>
            <w:tcW w:w="562" w:type="dxa"/>
            <w:tcBorders>
              <w:left w:val="nil"/>
              <w:right w:val="nil"/>
            </w:tcBorders>
            <w:shd w:val="clear" w:color="auto" w:fill="auto"/>
            <w:noWrap/>
          </w:tcPr>
          <w:p w14:paraId="3B0EA885" w14:textId="77777777" w:rsidR="000F6636" w:rsidRPr="00C518D0" w:rsidRDefault="000F6636" w:rsidP="00484DB0">
            <w:pPr>
              <w:pStyle w:val="Bezriadkovania"/>
              <w:jc w:val="center"/>
              <w:rPr>
                <w:sz w:val="18"/>
                <w:szCs w:val="18"/>
              </w:rPr>
            </w:pPr>
          </w:p>
        </w:tc>
      </w:tr>
      <w:tr w:rsidR="000F6636" w:rsidRPr="007C2DC9" w14:paraId="2EC75B31" w14:textId="77777777" w:rsidTr="00484DB0">
        <w:trPr>
          <w:trHeight w:val="21"/>
        </w:trPr>
        <w:tc>
          <w:tcPr>
            <w:tcW w:w="6237" w:type="dxa"/>
            <w:tcBorders>
              <w:left w:val="nil"/>
              <w:right w:val="nil"/>
            </w:tcBorders>
            <w:shd w:val="clear" w:color="auto" w:fill="auto"/>
            <w:noWrap/>
          </w:tcPr>
          <w:p w14:paraId="5AF36EB0" w14:textId="77777777" w:rsidR="000F6636" w:rsidRPr="00FE2D91" w:rsidRDefault="000F6636" w:rsidP="00484DB0">
            <w:pPr>
              <w:pStyle w:val="Bezriadkovania"/>
              <w:rPr>
                <w:sz w:val="18"/>
                <w:szCs w:val="18"/>
                <w:highlight w:val="yellow"/>
              </w:rPr>
            </w:pPr>
            <w:r w:rsidRPr="00FE2D91">
              <w:rPr>
                <w:sz w:val="18"/>
                <w:szCs w:val="18"/>
              </w:rPr>
              <w:t>Jednorazové vyplatenie "14. dôchodku"</w:t>
            </w:r>
          </w:p>
        </w:tc>
        <w:tc>
          <w:tcPr>
            <w:tcW w:w="567" w:type="dxa"/>
            <w:tcBorders>
              <w:left w:val="nil"/>
              <w:right w:val="nil"/>
            </w:tcBorders>
            <w:shd w:val="clear" w:color="auto" w:fill="auto"/>
            <w:noWrap/>
          </w:tcPr>
          <w:p w14:paraId="47EA3087" w14:textId="77777777" w:rsidR="000F6636" w:rsidRPr="00C518D0" w:rsidRDefault="000F6636" w:rsidP="00484DB0">
            <w:pPr>
              <w:pStyle w:val="Bezriadkovania"/>
              <w:jc w:val="center"/>
              <w:rPr>
                <w:sz w:val="18"/>
                <w:szCs w:val="18"/>
              </w:rPr>
            </w:pPr>
            <w:r w:rsidRPr="00F803F5">
              <w:rPr>
                <w:sz w:val="18"/>
                <w:szCs w:val="18"/>
              </w:rPr>
              <w:t>-208</w:t>
            </w:r>
          </w:p>
        </w:tc>
        <w:tc>
          <w:tcPr>
            <w:tcW w:w="567" w:type="dxa"/>
            <w:tcBorders>
              <w:left w:val="nil"/>
              <w:right w:val="nil"/>
            </w:tcBorders>
            <w:shd w:val="clear" w:color="auto" w:fill="auto"/>
            <w:noWrap/>
          </w:tcPr>
          <w:p w14:paraId="7E5475A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9331E0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913C498"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5669AAB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08E3F16" w14:textId="77777777" w:rsidTr="00484DB0">
        <w:trPr>
          <w:trHeight w:val="21"/>
        </w:trPr>
        <w:tc>
          <w:tcPr>
            <w:tcW w:w="6237" w:type="dxa"/>
            <w:tcBorders>
              <w:left w:val="nil"/>
              <w:right w:val="nil"/>
            </w:tcBorders>
            <w:shd w:val="clear" w:color="auto" w:fill="auto"/>
            <w:noWrap/>
          </w:tcPr>
          <w:p w14:paraId="3102346D" w14:textId="77777777" w:rsidR="000F6636" w:rsidRPr="00FE2D91" w:rsidRDefault="000F6636" w:rsidP="00484DB0">
            <w:pPr>
              <w:pStyle w:val="Bezriadkovania"/>
              <w:rPr>
                <w:sz w:val="18"/>
                <w:szCs w:val="18"/>
                <w:highlight w:val="yellow"/>
              </w:rPr>
            </w:pPr>
            <w:r w:rsidRPr="00FE2D91">
              <w:rPr>
                <w:sz w:val="18"/>
                <w:szCs w:val="18"/>
              </w:rPr>
              <w:t>Zrušenie krátenia príspevku na opatrovanie poberateľom dôchodkov</w:t>
            </w:r>
          </w:p>
        </w:tc>
        <w:tc>
          <w:tcPr>
            <w:tcW w:w="567" w:type="dxa"/>
            <w:tcBorders>
              <w:left w:val="nil"/>
              <w:right w:val="nil"/>
            </w:tcBorders>
            <w:shd w:val="clear" w:color="auto" w:fill="auto"/>
            <w:noWrap/>
          </w:tcPr>
          <w:p w14:paraId="3CA21A55" w14:textId="77777777" w:rsidR="000F6636" w:rsidRPr="00C518D0" w:rsidRDefault="000F6636" w:rsidP="00484DB0">
            <w:pPr>
              <w:pStyle w:val="Bezriadkovania"/>
              <w:jc w:val="center"/>
              <w:rPr>
                <w:sz w:val="18"/>
                <w:szCs w:val="18"/>
              </w:rPr>
            </w:pPr>
            <w:r w:rsidRPr="00F803F5">
              <w:rPr>
                <w:sz w:val="18"/>
                <w:szCs w:val="18"/>
              </w:rPr>
              <w:t>20</w:t>
            </w:r>
          </w:p>
        </w:tc>
        <w:tc>
          <w:tcPr>
            <w:tcW w:w="567" w:type="dxa"/>
            <w:tcBorders>
              <w:left w:val="nil"/>
              <w:right w:val="nil"/>
            </w:tcBorders>
            <w:shd w:val="clear" w:color="auto" w:fill="auto"/>
            <w:noWrap/>
          </w:tcPr>
          <w:p w14:paraId="31D8F576" w14:textId="77777777" w:rsidR="000F6636" w:rsidRPr="00C518D0" w:rsidRDefault="000F6636" w:rsidP="00484DB0">
            <w:pPr>
              <w:pStyle w:val="Bezriadkovania"/>
              <w:jc w:val="center"/>
              <w:rPr>
                <w:sz w:val="18"/>
                <w:szCs w:val="18"/>
              </w:rPr>
            </w:pPr>
            <w:r w:rsidRPr="00F803F5">
              <w:rPr>
                <w:sz w:val="18"/>
                <w:szCs w:val="18"/>
              </w:rPr>
              <w:t>16</w:t>
            </w:r>
          </w:p>
        </w:tc>
        <w:tc>
          <w:tcPr>
            <w:tcW w:w="567" w:type="dxa"/>
            <w:tcBorders>
              <w:left w:val="nil"/>
              <w:right w:val="nil"/>
            </w:tcBorders>
            <w:shd w:val="clear" w:color="auto" w:fill="auto"/>
            <w:noWrap/>
          </w:tcPr>
          <w:p w14:paraId="6B4D8DC0" w14:textId="77777777" w:rsidR="000F6636" w:rsidRPr="00C518D0" w:rsidRDefault="000F6636" w:rsidP="00484DB0">
            <w:pPr>
              <w:pStyle w:val="Bezriadkovania"/>
              <w:jc w:val="center"/>
              <w:rPr>
                <w:sz w:val="18"/>
                <w:szCs w:val="18"/>
              </w:rPr>
            </w:pPr>
            <w:r>
              <w:rPr>
                <w:sz w:val="18"/>
                <w:szCs w:val="18"/>
              </w:rPr>
              <w:t>-</w:t>
            </w:r>
          </w:p>
        </w:tc>
        <w:tc>
          <w:tcPr>
            <w:tcW w:w="567" w:type="dxa"/>
            <w:tcBorders>
              <w:left w:val="nil"/>
              <w:right w:val="nil"/>
            </w:tcBorders>
            <w:shd w:val="clear" w:color="auto" w:fill="auto"/>
            <w:noWrap/>
          </w:tcPr>
          <w:p w14:paraId="1943EF72"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5E45A315"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67C0AB9B" w14:textId="77777777" w:rsidTr="00484DB0">
        <w:trPr>
          <w:trHeight w:val="21"/>
        </w:trPr>
        <w:tc>
          <w:tcPr>
            <w:tcW w:w="6237" w:type="dxa"/>
            <w:tcBorders>
              <w:left w:val="nil"/>
              <w:right w:val="nil"/>
            </w:tcBorders>
            <w:shd w:val="clear" w:color="auto" w:fill="auto"/>
            <w:noWrap/>
          </w:tcPr>
          <w:p w14:paraId="5C16FC64" w14:textId="77777777" w:rsidR="000F6636" w:rsidRPr="00FE2D91" w:rsidRDefault="000F6636" w:rsidP="00484DB0">
            <w:pPr>
              <w:pStyle w:val="Bezriadkovania"/>
              <w:rPr>
                <w:sz w:val="18"/>
                <w:szCs w:val="18"/>
                <w:highlight w:val="yellow"/>
              </w:rPr>
            </w:pPr>
            <w:r w:rsidRPr="00FE2D91">
              <w:rPr>
                <w:sz w:val="18"/>
                <w:szCs w:val="18"/>
              </w:rPr>
              <w:t>Zvýšenie prídavku na dieťa na 60 eur mesačne</w:t>
            </w:r>
          </w:p>
        </w:tc>
        <w:tc>
          <w:tcPr>
            <w:tcW w:w="567" w:type="dxa"/>
            <w:tcBorders>
              <w:left w:val="nil"/>
              <w:right w:val="nil"/>
            </w:tcBorders>
            <w:shd w:val="clear" w:color="auto" w:fill="auto"/>
            <w:noWrap/>
          </w:tcPr>
          <w:p w14:paraId="78DD7A84" w14:textId="77777777" w:rsidR="000F6636" w:rsidRPr="00C518D0" w:rsidRDefault="000F6636" w:rsidP="00484DB0">
            <w:pPr>
              <w:pStyle w:val="Bezriadkovania"/>
              <w:jc w:val="center"/>
              <w:rPr>
                <w:sz w:val="18"/>
                <w:szCs w:val="18"/>
              </w:rPr>
            </w:pPr>
            <w:r w:rsidRPr="00F803F5">
              <w:rPr>
                <w:sz w:val="18"/>
                <w:szCs w:val="18"/>
              </w:rPr>
              <w:t>227</w:t>
            </w:r>
          </w:p>
        </w:tc>
        <w:tc>
          <w:tcPr>
            <w:tcW w:w="567" w:type="dxa"/>
            <w:tcBorders>
              <w:left w:val="nil"/>
              <w:right w:val="nil"/>
            </w:tcBorders>
            <w:shd w:val="clear" w:color="auto" w:fill="auto"/>
            <w:noWrap/>
          </w:tcPr>
          <w:p w14:paraId="63B2134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199CE2D"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4877036"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1AE8959F"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65EA3319" w14:textId="77777777" w:rsidTr="00484DB0">
        <w:trPr>
          <w:trHeight w:val="21"/>
        </w:trPr>
        <w:tc>
          <w:tcPr>
            <w:tcW w:w="6237" w:type="dxa"/>
            <w:tcBorders>
              <w:left w:val="nil"/>
              <w:right w:val="nil"/>
            </w:tcBorders>
            <w:shd w:val="clear" w:color="auto" w:fill="auto"/>
            <w:noWrap/>
          </w:tcPr>
          <w:p w14:paraId="65845803" w14:textId="77777777" w:rsidR="000F6636" w:rsidRPr="00FE2D91" w:rsidRDefault="000F6636" w:rsidP="00484DB0">
            <w:pPr>
              <w:pStyle w:val="Bezriadkovania"/>
              <w:rPr>
                <w:sz w:val="18"/>
                <w:szCs w:val="18"/>
                <w:highlight w:val="yellow"/>
              </w:rPr>
            </w:pPr>
            <w:r w:rsidRPr="00FE2D91">
              <w:rPr>
                <w:sz w:val="18"/>
                <w:szCs w:val="18"/>
              </w:rPr>
              <w:t>Zvýšenie daňového bonusu na 100 eur a dočasne na 140 eur</w:t>
            </w:r>
          </w:p>
        </w:tc>
        <w:tc>
          <w:tcPr>
            <w:tcW w:w="567" w:type="dxa"/>
            <w:tcBorders>
              <w:left w:val="nil"/>
              <w:right w:val="nil"/>
            </w:tcBorders>
            <w:shd w:val="clear" w:color="auto" w:fill="auto"/>
            <w:noWrap/>
          </w:tcPr>
          <w:p w14:paraId="21314ADA" w14:textId="77777777" w:rsidR="000F6636" w:rsidRPr="00C518D0" w:rsidRDefault="000F6636" w:rsidP="00484DB0">
            <w:pPr>
              <w:pStyle w:val="Bezriadkovania"/>
              <w:jc w:val="center"/>
              <w:rPr>
                <w:sz w:val="18"/>
                <w:szCs w:val="18"/>
              </w:rPr>
            </w:pPr>
            <w:r w:rsidRPr="00F803F5">
              <w:rPr>
                <w:sz w:val="18"/>
                <w:szCs w:val="18"/>
              </w:rPr>
              <w:t>550</w:t>
            </w:r>
          </w:p>
        </w:tc>
        <w:tc>
          <w:tcPr>
            <w:tcW w:w="567" w:type="dxa"/>
            <w:tcBorders>
              <w:left w:val="nil"/>
              <w:right w:val="nil"/>
            </w:tcBorders>
            <w:shd w:val="clear" w:color="auto" w:fill="auto"/>
            <w:noWrap/>
          </w:tcPr>
          <w:p w14:paraId="7B1145E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60B40F1A" w14:textId="77777777" w:rsidR="000F6636" w:rsidRPr="00C518D0" w:rsidRDefault="000F6636" w:rsidP="00484DB0">
            <w:pPr>
              <w:pStyle w:val="Bezriadkovania"/>
              <w:jc w:val="center"/>
              <w:rPr>
                <w:sz w:val="18"/>
                <w:szCs w:val="18"/>
              </w:rPr>
            </w:pPr>
            <w:r w:rsidRPr="00F803F5">
              <w:rPr>
                <w:sz w:val="18"/>
                <w:szCs w:val="18"/>
              </w:rPr>
              <w:t>-241</w:t>
            </w:r>
          </w:p>
        </w:tc>
        <w:tc>
          <w:tcPr>
            <w:tcW w:w="567" w:type="dxa"/>
            <w:tcBorders>
              <w:left w:val="nil"/>
              <w:right w:val="nil"/>
            </w:tcBorders>
            <w:shd w:val="clear" w:color="auto" w:fill="auto"/>
            <w:noWrap/>
          </w:tcPr>
          <w:p w14:paraId="76B44444"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7CABCD26"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21FE65D" w14:textId="77777777" w:rsidTr="00484DB0">
        <w:trPr>
          <w:trHeight w:val="21"/>
        </w:trPr>
        <w:tc>
          <w:tcPr>
            <w:tcW w:w="6237" w:type="dxa"/>
            <w:tcBorders>
              <w:left w:val="nil"/>
              <w:right w:val="nil"/>
            </w:tcBorders>
            <w:shd w:val="clear" w:color="auto" w:fill="auto"/>
            <w:noWrap/>
          </w:tcPr>
          <w:p w14:paraId="64B72F81" w14:textId="0F948F43" w:rsidR="000F6636" w:rsidRPr="00FE2D91" w:rsidRDefault="000F6636" w:rsidP="00484DB0">
            <w:pPr>
              <w:pStyle w:val="Bezriadkovania"/>
              <w:rPr>
                <w:sz w:val="18"/>
                <w:szCs w:val="18"/>
                <w:highlight w:val="yellow"/>
              </w:rPr>
            </w:pPr>
            <w:r w:rsidRPr="00FE2D91">
              <w:rPr>
                <w:sz w:val="18"/>
                <w:szCs w:val="18"/>
              </w:rPr>
              <w:t>Kompenzácia rastúcich cien energií spolu (ponížené o</w:t>
            </w:r>
            <w:r>
              <w:rPr>
                <w:sz w:val="18"/>
                <w:szCs w:val="18"/>
              </w:rPr>
              <w:t> krytie z</w:t>
            </w:r>
            <w:r w:rsidR="000A22C5">
              <w:rPr>
                <w:sz w:val="18"/>
                <w:szCs w:val="18"/>
              </w:rPr>
              <w:t> </w:t>
            </w:r>
            <w:r w:rsidRPr="00FE2D91">
              <w:rPr>
                <w:sz w:val="18"/>
                <w:szCs w:val="18"/>
              </w:rPr>
              <w:t>fond</w:t>
            </w:r>
            <w:r>
              <w:rPr>
                <w:sz w:val="18"/>
                <w:szCs w:val="18"/>
              </w:rPr>
              <w:t>ov</w:t>
            </w:r>
            <w:r w:rsidR="000A22C5">
              <w:rPr>
                <w:sz w:val="18"/>
                <w:szCs w:val="18"/>
              </w:rPr>
              <w:t xml:space="preserve"> EÚ</w:t>
            </w:r>
            <w:r w:rsidRPr="00FE2D91">
              <w:rPr>
                <w:sz w:val="18"/>
                <w:szCs w:val="18"/>
              </w:rPr>
              <w:t>)</w:t>
            </w:r>
          </w:p>
        </w:tc>
        <w:tc>
          <w:tcPr>
            <w:tcW w:w="567" w:type="dxa"/>
            <w:tcBorders>
              <w:left w:val="nil"/>
              <w:right w:val="nil"/>
            </w:tcBorders>
            <w:shd w:val="clear" w:color="auto" w:fill="auto"/>
            <w:noWrap/>
          </w:tcPr>
          <w:p w14:paraId="62A65781" w14:textId="77777777" w:rsidR="000F6636" w:rsidRPr="00C518D0" w:rsidRDefault="000F6636" w:rsidP="00484DB0">
            <w:pPr>
              <w:pStyle w:val="Bezriadkovania"/>
              <w:jc w:val="center"/>
              <w:rPr>
                <w:sz w:val="18"/>
                <w:szCs w:val="18"/>
              </w:rPr>
            </w:pPr>
            <w:r w:rsidRPr="00F803F5">
              <w:rPr>
                <w:sz w:val="18"/>
                <w:szCs w:val="18"/>
              </w:rPr>
              <w:t>2052</w:t>
            </w:r>
          </w:p>
        </w:tc>
        <w:tc>
          <w:tcPr>
            <w:tcW w:w="567" w:type="dxa"/>
            <w:tcBorders>
              <w:left w:val="nil"/>
              <w:right w:val="nil"/>
            </w:tcBorders>
            <w:shd w:val="clear" w:color="auto" w:fill="auto"/>
            <w:noWrap/>
          </w:tcPr>
          <w:p w14:paraId="2277E26E" w14:textId="77777777" w:rsidR="000F6636" w:rsidRPr="00C518D0" w:rsidRDefault="000F6636" w:rsidP="00484DB0">
            <w:pPr>
              <w:pStyle w:val="Bezriadkovania"/>
              <w:jc w:val="center"/>
              <w:rPr>
                <w:sz w:val="18"/>
                <w:szCs w:val="18"/>
              </w:rPr>
            </w:pPr>
            <w:r w:rsidRPr="00F803F5">
              <w:rPr>
                <w:sz w:val="18"/>
                <w:szCs w:val="18"/>
              </w:rPr>
              <w:t>-1379</w:t>
            </w:r>
          </w:p>
        </w:tc>
        <w:tc>
          <w:tcPr>
            <w:tcW w:w="567" w:type="dxa"/>
            <w:tcBorders>
              <w:left w:val="nil"/>
              <w:right w:val="nil"/>
            </w:tcBorders>
            <w:shd w:val="clear" w:color="auto" w:fill="auto"/>
            <w:noWrap/>
          </w:tcPr>
          <w:p w14:paraId="6C366562" w14:textId="77777777" w:rsidR="000F6636" w:rsidRPr="00C518D0" w:rsidRDefault="000F6636" w:rsidP="00484DB0">
            <w:pPr>
              <w:pStyle w:val="Bezriadkovania"/>
              <w:jc w:val="center"/>
              <w:rPr>
                <w:sz w:val="18"/>
                <w:szCs w:val="18"/>
              </w:rPr>
            </w:pPr>
            <w:r w:rsidRPr="00F803F5">
              <w:rPr>
                <w:sz w:val="18"/>
                <w:szCs w:val="18"/>
              </w:rPr>
              <w:t>-800</w:t>
            </w:r>
          </w:p>
        </w:tc>
        <w:tc>
          <w:tcPr>
            <w:tcW w:w="567" w:type="dxa"/>
            <w:tcBorders>
              <w:left w:val="nil"/>
              <w:right w:val="nil"/>
            </w:tcBorders>
            <w:shd w:val="clear" w:color="auto" w:fill="auto"/>
            <w:noWrap/>
          </w:tcPr>
          <w:p w14:paraId="7DDC4F1E"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7D42F1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326819A" w14:textId="77777777" w:rsidTr="00484DB0">
        <w:trPr>
          <w:trHeight w:val="21"/>
        </w:trPr>
        <w:tc>
          <w:tcPr>
            <w:tcW w:w="6237" w:type="dxa"/>
            <w:tcBorders>
              <w:left w:val="nil"/>
              <w:right w:val="nil"/>
            </w:tcBorders>
            <w:shd w:val="clear" w:color="auto" w:fill="auto"/>
            <w:noWrap/>
          </w:tcPr>
          <w:p w14:paraId="4CD56988" w14:textId="77777777" w:rsidR="000F6636" w:rsidRPr="00FE2D91" w:rsidRDefault="000F6636" w:rsidP="00484DB0">
            <w:pPr>
              <w:pStyle w:val="Bezriadkovania"/>
              <w:rPr>
                <w:sz w:val="18"/>
                <w:szCs w:val="18"/>
                <w:highlight w:val="yellow"/>
              </w:rPr>
            </w:pPr>
            <w:r w:rsidRPr="00FE2D91">
              <w:rPr>
                <w:sz w:val="18"/>
                <w:szCs w:val="18"/>
              </w:rPr>
              <w:t>Kolektívne vyjednávanie zdravotníckych pracovníkov</w:t>
            </w:r>
          </w:p>
        </w:tc>
        <w:tc>
          <w:tcPr>
            <w:tcW w:w="567" w:type="dxa"/>
            <w:tcBorders>
              <w:left w:val="nil"/>
              <w:right w:val="nil"/>
            </w:tcBorders>
            <w:shd w:val="clear" w:color="auto" w:fill="auto"/>
            <w:noWrap/>
          </w:tcPr>
          <w:p w14:paraId="323E680A" w14:textId="77777777" w:rsidR="000F6636" w:rsidRPr="00C518D0" w:rsidRDefault="000F6636" w:rsidP="00484DB0">
            <w:pPr>
              <w:pStyle w:val="Bezriadkovania"/>
              <w:jc w:val="center"/>
              <w:rPr>
                <w:sz w:val="18"/>
                <w:szCs w:val="18"/>
              </w:rPr>
            </w:pPr>
            <w:r w:rsidRPr="00F803F5">
              <w:rPr>
                <w:sz w:val="18"/>
                <w:szCs w:val="18"/>
              </w:rPr>
              <w:t>398</w:t>
            </w:r>
          </w:p>
        </w:tc>
        <w:tc>
          <w:tcPr>
            <w:tcW w:w="567" w:type="dxa"/>
            <w:tcBorders>
              <w:left w:val="nil"/>
              <w:right w:val="nil"/>
            </w:tcBorders>
            <w:shd w:val="clear" w:color="auto" w:fill="auto"/>
            <w:noWrap/>
          </w:tcPr>
          <w:p w14:paraId="1F2A151C" w14:textId="77777777" w:rsidR="000F6636" w:rsidRPr="00C518D0" w:rsidRDefault="000F6636" w:rsidP="00484DB0">
            <w:pPr>
              <w:pStyle w:val="Bezriadkovania"/>
              <w:jc w:val="center"/>
              <w:rPr>
                <w:sz w:val="18"/>
                <w:szCs w:val="18"/>
              </w:rPr>
            </w:pPr>
            <w:r w:rsidRPr="00F803F5">
              <w:rPr>
                <w:sz w:val="18"/>
                <w:szCs w:val="18"/>
              </w:rPr>
              <w:t>-25</w:t>
            </w:r>
          </w:p>
        </w:tc>
        <w:tc>
          <w:tcPr>
            <w:tcW w:w="567" w:type="dxa"/>
            <w:tcBorders>
              <w:left w:val="nil"/>
              <w:right w:val="nil"/>
            </w:tcBorders>
            <w:shd w:val="clear" w:color="auto" w:fill="auto"/>
            <w:noWrap/>
          </w:tcPr>
          <w:p w14:paraId="2C78A5F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B83E9EB"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7EB1B981"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6B4D1F4" w14:textId="77777777" w:rsidTr="00484DB0">
        <w:trPr>
          <w:trHeight w:val="21"/>
        </w:trPr>
        <w:tc>
          <w:tcPr>
            <w:tcW w:w="6237" w:type="dxa"/>
            <w:tcBorders>
              <w:left w:val="nil"/>
              <w:right w:val="nil"/>
            </w:tcBorders>
            <w:shd w:val="clear" w:color="auto" w:fill="auto"/>
            <w:noWrap/>
          </w:tcPr>
          <w:p w14:paraId="7746AE9C" w14:textId="77777777" w:rsidR="000F6636" w:rsidRPr="00FE2D91" w:rsidRDefault="000F6636" w:rsidP="00484DB0">
            <w:pPr>
              <w:pStyle w:val="Bezriadkovania"/>
              <w:rPr>
                <w:sz w:val="18"/>
                <w:szCs w:val="18"/>
                <w:highlight w:val="yellow"/>
              </w:rPr>
            </w:pPr>
            <w:r w:rsidRPr="00FE2D91">
              <w:rPr>
                <w:sz w:val="18"/>
                <w:szCs w:val="18"/>
              </w:rPr>
              <w:t>Stabilizačný príspevok pre pracovníkov v zariadeniach sociálnych služieb</w:t>
            </w:r>
          </w:p>
        </w:tc>
        <w:tc>
          <w:tcPr>
            <w:tcW w:w="567" w:type="dxa"/>
            <w:tcBorders>
              <w:left w:val="nil"/>
              <w:right w:val="nil"/>
            </w:tcBorders>
            <w:shd w:val="clear" w:color="auto" w:fill="auto"/>
            <w:noWrap/>
          </w:tcPr>
          <w:p w14:paraId="6DA58351" w14:textId="77777777" w:rsidR="000F6636" w:rsidRPr="00C518D0" w:rsidRDefault="000F6636" w:rsidP="00484DB0">
            <w:pPr>
              <w:pStyle w:val="Bezriadkovania"/>
              <w:jc w:val="center"/>
              <w:rPr>
                <w:sz w:val="18"/>
                <w:szCs w:val="18"/>
              </w:rPr>
            </w:pPr>
            <w:r w:rsidRPr="00F803F5">
              <w:rPr>
                <w:sz w:val="18"/>
                <w:szCs w:val="18"/>
              </w:rPr>
              <w:t>44</w:t>
            </w:r>
          </w:p>
        </w:tc>
        <w:tc>
          <w:tcPr>
            <w:tcW w:w="567" w:type="dxa"/>
            <w:tcBorders>
              <w:left w:val="nil"/>
              <w:right w:val="nil"/>
            </w:tcBorders>
            <w:shd w:val="clear" w:color="auto" w:fill="auto"/>
            <w:noWrap/>
          </w:tcPr>
          <w:p w14:paraId="01ABB9E2" w14:textId="77777777" w:rsidR="000F6636" w:rsidRPr="00C518D0" w:rsidRDefault="000F6636" w:rsidP="00484DB0">
            <w:pPr>
              <w:pStyle w:val="Bezriadkovania"/>
              <w:jc w:val="center"/>
              <w:rPr>
                <w:sz w:val="18"/>
                <w:szCs w:val="18"/>
              </w:rPr>
            </w:pPr>
            <w:r w:rsidRPr="00F803F5">
              <w:rPr>
                <w:sz w:val="18"/>
                <w:szCs w:val="18"/>
              </w:rPr>
              <w:t>-44</w:t>
            </w:r>
          </w:p>
        </w:tc>
        <w:tc>
          <w:tcPr>
            <w:tcW w:w="567" w:type="dxa"/>
            <w:tcBorders>
              <w:left w:val="nil"/>
              <w:right w:val="nil"/>
            </w:tcBorders>
            <w:shd w:val="clear" w:color="auto" w:fill="auto"/>
            <w:noWrap/>
          </w:tcPr>
          <w:p w14:paraId="3406C58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2D4AF41"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3454079D"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2445ECF" w14:textId="77777777" w:rsidTr="00484DB0">
        <w:trPr>
          <w:trHeight w:val="21"/>
        </w:trPr>
        <w:tc>
          <w:tcPr>
            <w:tcW w:w="6237" w:type="dxa"/>
            <w:tcBorders>
              <w:left w:val="nil"/>
              <w:right w:val="nil"/>
            </w:tcBorders>
            <w:shd w:val="clear" w:color="auto" w:fill="auto"/>
            <w:noWrap/>
          </w:tcPr>
          <w:p w14:paraId="31E745CC" w14:textId="77777777" w:rsidR="000F6636" w:rsidRPr="00FE2D91" w:rsidRDefault="000F6636" w:rsidP="00484DB0">
            <w:pPr>
              <w:pStyle w:val="Bezriadkovania"/>
              <w:rPr>
                <w:sz w:val="18"/>
                <w:szCs w:val="18"/>
                <w:highlight w:val="yellow"/>
              </w:rPr>
            </w:pPr>
            <w:r w:rsidRPr="00FE2D91">
              <w:rPr>
                <w:sz w:val="18"/>
                <w:szCs w:val="18"/>
              </w:rPr>
              <w:t>Zvýšenie príspevku poisťovní pre záchrannú zdravotnú službu a NCZI</w:t>
            </w:r>
          </w:p>
        </w:tc>
        <w:tc>
          <w:tcPr>
            <w:tcW w:w="567" w:type="dxa"/>
            <w:tcBorders>
              <w:left w:val="nil"/>
              <w:right w:val="nil"/>
            </w:tcBorders>
            <w:shd w:val="clear" w:color="auto" w:fill="auto"/>
            <w:noWrap/>
          </w:tcPr>
          <w:p w14:paraId="106D79E1" w14:textId="77777777" w:rsidR="000F6636" w:rsidRPr="00C518D0" w:rsidRDefault="000F6636" w:rsidP="00484DB0">
            <w:pPr>
              <w:pStyle w:val="Bezriadkovania"/>
              <w:jc w:val="center"/>
              <w:rPr>
                <w:sz w:val="18"/>
                <w:szCs w:val="18"/>
              </w:rPr>
            </w:pPr>
            <w:r w:rsidRPr="00F803F5">
              <w:rPr>
                <w:sz w:val="18"/>
                <w:szCs w:val="18"/>
              </w:rPr>
              <w:t>14</w:t>
            </w:r>
          </w:p>
        </w:tc>
        <w:tc>
          <w:tcPr>
            <w:tcW w:w="567" w:type="dxa"/>
            <w:tcBorders>
              <w:left w:val="nil"/>
              <w:right w:val="nil"/>
            </w:tcBorders>
            <w:shd w:val="clear" w:color="auto" w:fill="auto"/>
            <w:noWrap/>
          </w:tcPr>
          <w:p w14:paraId="52E96D40"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6011192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AFEAC09"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671A97F4"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90F6BCA" w14:textId="77777777" w:rsidTr="00484DB0">
        <w:trPr>
          <w:trHeight w:val="21"/>
        </w:trPr>
        <w:tc>
          <w:tcPr>
            <w:tcW w:w="6237" w:type="dxa"/>
            <w:tcBorders>
              <w:left w:val="nil"/>
              <w:right w:val="nil"/>
            </w:tcBorders>
            <w:shd w:val="clear" w:color="auto" w:fill="auto"/>
            <w:noWrap/>
          </w:tcPr>
          <w:p w14:paraId="13F5E5A5" w14:textId="77777777" w:rsidR="000F6636" w:rsidRPr="00FE2D91" w:rsidRDefault="000F6636" w:rsidP="00484DB0">
            <w:pPr>
              <w:pStyle w:val="Bezriadkovania"/>
              <w:rPr>
                <w:sz w:val="18"/>
                <w:szCs w:val="18"/>
                <w:highlight w:val="yellow"/>
              </w:rPr>
            </w:pPr>
            <w:r w:rsidRPr="00FE2D91">
              <w:rPr>
                <w:sz w:val="18"/>
                <w:szCs w:val="18"/>
              </w:rPr>
              <w:t>Dofinancovanie ambulantného sektora</w:t>
            </w:r>
          </w:p>
        </w:tc>
        <w:tc>
          <w:tcPr>
            <w:tcW w:w="567" w:type="dxa"/>
            <w:tcBorders>
              <w:left w:val="nil"/>
              <w:right w:val="nil"/>
            </w:tcBorders>
            <w:shd w:val="clear" w:color="auto" w:fill="auto"/>
            <w:noWrap/>
          </w:tcPr>
          <w:p w14:paraId="5B77B87E" w14:textId="77777777" w:rsidR="000F6636" w:rsidRPr="00C518D0" w:rsidRDefault="000F6636" w:rsidP="00484DB0">
            <w:pPr>
              <w:pStyle w:val="Bezriadkovania"/>
              <w:jc w:val="center"/>
              <w:rPr>
                <w:sz w:val="18"/>
                <w:szCs w:val="18"/>
              </w:rPr>
            </w:pPr>
            <w:r w:rsidRPr="00F803F5">
              <w:rPr>
                <w:sz w:val="18"/>
                <w:szCs w:val="18"/>
              </w:rPr>
              <w:t>190</w:t>
            </w:r>
          </w:p>
        </w:tc>
        <w:tc>
          <w:tcPr>
            <w:tcW w:w="567" w:type="dxa"/>
            <w:tcBorders>
              <w:left w:val="nil"/>
              <w:right w:val="nil"/>
            </w:tcBorders>
            <w:shd w:val="clear" w:color="auto" w:fill="auto"/>
            <w:noWrap/>
          </w:tcPr>
          <w:p w14:paraId="1AEDAA8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AB4582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63A5EEAF"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6FC2A3B6"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62F4710" w14:textId="77777777" w:rsidTr="00484DB0">
        <w:trPr>
          <w:trHeight w:val="21"/>
        </w:trPr>
        <w:tc>
          <w:tcPr>
            <w:tcW w:w="6237" w:type="dxa"/>
            <w:tcBorders>
              <w:left w:val="nil"/>
              <w:right w:val="nil"/>
            </w:tcBorders>
            <w:shd w:val="clear" w:color="auto" w:fill="auto"/>
            <w:noWrap/>
          </w:tcPr>
          <w:p w14:paraId="7FA6E2CB" w14:textId="77777777" w:rsidR="000F6636" w:rsidRPr="00FE2D91" w:rsidRDefault="000F6636" w:rsidP="00484DB0">
            <w:pPr>
              <w:pStyle w:val="Bezriadkovania"/>
              <w:rPr>
                <w:sz w:val="18"/>
                <w:szCs w:val="18"/>
                <w:highlight w:val="yellow"/>
              </w:rPr>
            </w:pPr>
            <w:r w:rsidRPr="00FE2D91">
              <w:rPr>
                <w:sz w:val="18"/>
                <w:szCs w:val="18"/>
              </w:rPr>
              <w:t>Opätovn</w:t>
            </w:r>
            <w:r>
              <w:rPr>
                <w:sz w:val="18"/>
                <w:szCs w:val="18"/>
              </w:rPr>
              <w:t>é</w:t>
            </w:r>
            <w:r w:rsidRPr="00FE2D91">
              <w:rPr>
                <w:sz w:val="18"/>
                <w:szCs w:val="18"/>
              </w:rPr>
              <w:t xml:space="preserve"> zaveden</w:t>
            </w:r>
            <w:r>
              <w:rPr>
                <w:sz w:val="18"/>
                <w:szCs w:val="18"/>
              </w:rPr>
              <w:t>ie</w:t>
            </w:r>
            <w:r w:rsidRPr="00FE2D91">
              <w:rPr>
                <w:sz w:val="18"/>
                <w:szCs w:val="18"/>
              </w:rPr>
              <w:t xml:space="preserve"> </w:t>
            </w:r>
            <w:r>
              <w:rPr>
                <w:sz w:val="18"/>
                <w:szCs w:val="18"/>
              </w:rPr>
              <w:t>obedov zadarmo</w:t>
            </w:r>
          </w:p>
        </w:tc>
        <w:tc>
          <w:tcPr>
            <w:tcW w:w="567" w:type="dxa"/>
            <w:tcBorders>
              <w:left w:val="nil"/>
              <w:right w:val="nil"/>
            </w:tcBorders>
            <w:shd w:val="clear" w:color="auto" w:fill="auto"/>
            <w:noWrap/>
          </w:tcPr>
          <w:p w14:paraId="405791B6" w14:textId="77777777" w:rsidR="000F6636" w:rsidRPr="00C518D0" w:rsidRDefault="000F6636" w:rsidP="00484DB0">
            <w:pPr>
              <w:pStyle w:val="Bezriadkovania"/>
              <w:jc w:val="center"/>
              <w:rPr>
                <w:sz w:val="18"/>
                <w:szCs w:val="18"/>
              </w:rPr>
            </w:pPr>
            <w:r w:rsidRPr="00F803F5">
              <w:rPr>
                <w:sz w:val="18"/>
                <w:szCs w:val="18"/>
              </w:rPr>
              <w:t>113</w:t>
            </w:r>
          </w:p>
        </w:tc>
        <w:tc>
          <w:tcPr>
            <w:tcW w:w="567" w:type="dxa"/>
            <w:tcBorders>
              <w:left w:val="nil"/>
              <w:right w:val="nil"/>
            </w:tcBorders>
            <w:shd w:val="clear" w:color="auto" w:fill="auto"/>
            <w:noWrap/>
          </w:tcPr>
          <w:p w14:paraId="7A7DD8A4" w14:textId="77777777" w:rsidR="000F6636" w:rsidRPr="00C518D0" w:rsidRDefault="000F6636" w:rsidP="00484DB0">
            <w:pPr>
              <w:pStyle w:val="Bezriadkovania"/>
              <w:jc w:val="center"/>
              <w:rPr>
                <w:sz w:val="18"/>
                <w:szCs w:val="18"/>
              </w:rPr>
            </w:pPr>
            <w:r w:rsidRPr="00F803F5">
              <w:rPr>
                <w:sz w:val="18"/>
                <w:szCs w:val="18"/>
              </w:rPr>
              <w:t>79</w:t>
            </w:r>
          </w:p>
        </w:tc>
        <w:tc>
          <w:tcPr>
            <w:tcW w:w="567" w:type="dxa"/>
            <w:tcBorders>
              <w:left w:val="nil"/>
              <w:right w:val="nil"/>
            </w:tcBorders>
            <w:shd w:val="clear" w:color="auto" w:fill="auto"/>
            <w:noWrap/>
          </w:tcPr>
          <w:p w14:paraId="48ED1080"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99EE155"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6F3743C1"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273B385D" w14:textId="77777777" w:rsidTr="00484DB0">
        <w:trPr>
          <w:trHeight w:val="21"/>
        </w:trPr>
        <w:tc>
          <w:tcPr>
            <w:tcW w:w="6237" w:type="dxa"/>
            <w:tcBorders>
              <w:left w:val="nil"/>
              <w:right w:val="nil"/>
            </w:tcBorders>
            <w:shd w:val="clear" w:color="auto" w:fill="auto"/>
            <w:noWrap/>
          </w:tcPr>
          <w:p w14:paraId="4EC605B5" w14:textId="77777777" w:rsidR="000F6636" w:rsidRPr="00FE2D91" w:rsidRDefault="000F6636" w:rsidP="00484DB0">
            <w:pPr>
              <w:pStyle w:val="Bezriadkovania"/>
              <w:rPr>
                <w:sz w:val="18"/>
                <w:szCs w:val="18"/>
                <w:highlight w:val="yellow"/>
              </w:rPr>
            </w:pPr>
            <w:r w:rsidRPr="00FE2D91">
              <w:rPr>
                <w:sz w:val="18"/>
                <w:szCs w:val="18"/>
              </w:rPr>
              <w:t xml:space="preserve">Mimoriadna valorizácia dôchodkov od júla 2023 </w:t>
            </w:r>
          </w:p>
        </w:tc>
        <w:tc>
          <w:tcPr>
            <w:tcW w:w="567" w:type="dxa"/>
            <w:tcBorders>
              <w:left w:val="nil"/>
              <w:right w:val="nil"/>
            </w:tcBorders>
            <w:shd w:val="clear" w:color="auto" w:fill="auto"/>
            <w:noWrap/>
          </w:tcPr>
          <w:p w14:paraId="1DD5C2E1" w14:textId="77777777" w:rsidR="000F6636" w:rsidRPr="00C518D0" w:rsidRDefault="000F6636" w:rsidP="00484DB0">
            <w:pPr>
              <w:pStyle w:val="Bezriadkovania"/>
              <w:jc w:val="center"/>
              <w:rPr>
                <w:sz w:val="18"/>
                <w:szCs w:val="18"/>
              </w:rPr>
            </w:pPr>
            <w:r w:rsidRPr="00F803F5">
              <w:rPr>
                <w:sz w:val="18"/>
                <w:szCs w:val="18"/>
              </w:rPr>
              <w:t>524</w:t>
            </w:r>
          </w:p>
        </w:tc>
        <w:tc>
          <w:tcPr>
            <w:tcW w:w="567" w:type="dxa"/>
            <w:tcBorders>
              <w:left w:val="nil"/>
              <w:right w:val="nil"/>
            </w:tcBorders>
            <w:shd w:val="clear" w:color="auto" w:fill="auto"/>
            <w:noWrap/>
          </w:tcPr>
          <w:p w14:paraId="2CA1E836" w14:textId="77777777" w:rsidR="000F6636" w:rsidRPr="00C518D0" w:rsidRDefault="000F6636" w:rsidP="00484DB0">
            <w:pPr>
              <w:pStyle w:val="Bezriadkovania"/>
              <w:jc w:val="center"/>
              <w:rPr>
                <w:sz w:val="18"/>
                <w:szCs w:val="18"/>
              </w:rPr>
            </w:pPr>
            <w:r w:rsidRPr="00F803F5">
              <w:rPr>
                <w:sz w:val="18"/>
                <w:szCs w:val="18"/>
              </w:rPr>
              <w:t>-524</w:t>
            </w:r>
          </w:p>
        </w:tc>
        <w:tc>
          <w:tcPr>
            <w:tcW w:w="567" w:type="dxa"/>
            <w:tcBorders>
              <w:left w:val="nil"/>
              <w:right w:val="nil"/>
            </w:tcBorders>
            <w:shd w:val="clear" w:color="auto" w:fill="auto"/>
            <w:noWrap/>
          </w:tcPr>
          <w:p w14:paraId="5A563B7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934ABAF"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34AB35C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256D4DFE" w14:textId="77777777" w:rsidTr="00484DB0">
        <w:trPr>
          <w:trHeight w:val="21"/>
        </w:trPr>
        <w:tc>
          <w:tcPr>
            <w:tcW w:w="6237" w:type="dxa"/>
            <w:tcBorders>
              <w:left w:val="nil"/>
              <w:right w:val="nil"/>
            </w:tcBorders>
            <w:shd w:val="clear" w:color="auto" w:fill="auto"/>
            <w:noWrap/>
          </w:tcPr>
          <w:p w14:paraId="25EE012F" w14:textId="77777777" w:rsidR="000F6636" w:rsidRPr="00FE2D91" w:rsidRDefault="000F6636" w:rsidP="00484DB0">
            <w:pPr>
              <w:pStyle w:val="Bezriadkovania"/>
              <w:rPr>
                <w:sz w:val="18"/>
                <w:szCs w:val="18"/>
                <w:highlight w:val="yellow"/>
              </w:rPr>
            </w:pPr>
            <w:r w:rsidRPr="00FE2D91">
              <w:rPr>
                <w:sz w:val="18"/>
                <w:szCs w:val="18"/>
              </w:rPr>
              <w:t>Rodičovský dôchodok pre rodičov pracovníkov s výsluhovým dôchodkom</w:t>
            </w:r>
          </w:p>
        </w:tc>
        <w:tc>
          <w:tcPr>
            <w:tcW w:w="567" w:type="dxa"/>
            <w:tcBorders>
              <w:left w:val="nil"/>
              <w:right w:val="nil"/>
            </w:tcBorders>
            <w:shd w:val="clear" w:color="auto" w:fill="auto"/>
            <w:noWrap/>
          </w:tcPr>
          <w:p w14:paraId="36B020CC" w14:textId="77777777" w:rsidR="000F6636" w:rsidRPr="00C518D0" w:rsidRDefault="000F6636" w:rsidP="00484DB0">
            <w:pPr>
              <w:pStyle w:val="Bezriadkovania"/>
              <w:jc w:val="center"/>
              <w:rPr>
                <w:sz w:val="18"/>
                <w:szCs w:val="18"/>
              </w:rPr>
            </w:pPr>
            <w:r w:rsidRPr="00F803F5">
              <w:rPr>
                <w:sz w:val="18"/>
                <w:szCs w:val="18"/>
              </w:rPr>
              <w:t>13</w:t>
            </w:r>
          </w:p>
        </w:tc>
        <w:tc>
          <w:tcPr>
            <w:tcW w:w="567" w:type="dxa"/>
            <w:tcBorders>
              <w:left w:val="nil"/>
              <w:right w:val="nil"/>
            </w:tcBorders>
            <w:shd w:val="clear" w:color="auto" w:fill="auto"/>
            <w:noWrap/>
          </w:tcPr>
          <w:p w14:paraId="1DE6F8D8"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0E53BED"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538DB8C"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614B6BA4"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48A352E" w14:textId="77777777" w:rsidTr="00484DB0">
        <w:trPr>
          <w:trHeight w:val="21"/>
        </w:trPr>
        <w:tc>
          <w:tcPr>
            <w:tcW w:w="6237" w:type="dxa"/>
            <w:tcBorders>
              <w:left w:val="nil"/>
              <w:right w:val="nil"/>
            </w:tcBorders>
            <w:shd w:val="clear" w:color="auto" w:fill="auto"/>
            <w:noWrap/>
          </w:tcPr>
          <w:p w14:paraId="6D55D3D3" w14:textId="77777777" w:rsidR="000F6636" w:rsidRPr="00FE2D91" w:rsidRDefault="000F6636" w:rsidP="00484DB0">
            <w:pPr>
              <w:pStyle w:val="Bezriadkovania"/>
              <w:rPr>
                <w:sz w:val="18"/>
                <w:szCs w:val="18"/>
                <w:highlight w:val="yellow"/>
              </w:rPr>
            </w:pPr>
            <w:r w:rsidRPr="00FE2D91">
              <w:rPr>
                <w:sz w:val="18"/>
                <w:szCs w:val="18"/>
              </w:rPr>
              <w:t>Mimoriadna valorizácia rodičovského príspevku</w:t>
            </w:r>
          </w:p>
        </w:tc>
        <w:tc>
          <w:tcPr>
            <w:tcW w:w="567" w:type="dxa"/>
            <w:tcBorders>
              <w:left w:val="nil"/>
              <w:right w:val="nil"/>
            </w:tcBorders>
            <w:shd w:val="clear" w:color="auto" w:fill="auto"/>
            <w:noWrap/>
          </w:tcPr>
          <w:p w14:paraId="10AC3B98" w14:textId="77777777" w:rsidR="000F6636" w:rsidRPr="00C518D0" w:rsidRDefault="000F6636" w:rsidP="00484DB0">
            <w:pPr>
              <w:pStyle w:val="Bezriadkovania"/>
              <w:jc w:val="center"/>
              <w:rPr>
                <w:sz w:val="18"/>
                <w:szCs w:val="18"/>
              </w:rPr>
            </w:pPr>
            <w:r w:rsidRPr="00F803F5">
              <w:rPr>
                <w:sz w:val="18"/>
                <w:szCs w:val="18"/>
              </w:rPr>
              <w:t>35</w:t>
            </w:r>
          </w:p>
        </w:tc>
        <w:tc>
          <w:tcPr>
            <w:tcW w:w="567" w:type="dxa"/>
            <w:tcBorders>
              <w:left w:val="nil"/>
              <w:right w:val="nil"/>
            </w:tcBorders>
            <w:shd w:val="clear" w:color="auto" w:fill="auto"/>
            <w:noWrap/>
          </w:tcPr>
          <w:p w14:paraId="3A76E619"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E66298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05498E2"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3879D26B"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6FFD56A5" w14:textId="77777777" w:rsidTr="00484DB0">
        <w:trPr>
          <w:trHeight w:val="21"/>
        </w:trPr>
        <w:tc>
          <w:tcPr>
            <w:tcW w:w="6237" w:type="dxa"/>
            <w:tcBorders>
              <w:left w:val="nil"/>
              <w:right w:val="nil"/>
            </w:tcBorders>
            <w:shd w:val="clear" w:color="auto" w:fill="auto"/>
            <w:noWrap/>
          </w:tcPr>
          <w:p w14:paraId="3526E52D" w14:textId="77777777" w:rsidR="000F6636" w:rsidRPr="00FE2D91" w:rsidRDefault="000F6636" w:rsidP="00484DB0">
            <w:pPr>
              <w:pStyle w:val="Bezriadkovania"/>
              <w:rPr>
                <w:sz w:val="18"/>
                <w:szCs w:val="18"/>
                <w:highlight w:val="yellow"/>
              </w:rPr>
            </w:pPr>
            <w:r w:rsidRPr="00FE2D91">
              <w:rPr>
                <w:sz w:val="18"/>
                <w:szCs w:val="18"/>
              </w:rPr>
              <w:t>Novela školského zákona (</w:t>
            </w:r>
            <w:r>
              <w:rPr>
                <w:sz w:val="18"/>
                <w:szCs w:val="18"/>
              </w:rPr>
              <w:t>posilnenie kapacít zamestnancov v školstve)</w:t>
            </w:r>
          </w:p>
        </w:tc>
        <w:tc>
          <w:tcPr>
            <w:tcW w:w="567" w:type="dxa"/>
            <w:tcBorders>
              <w:left w:val="nil"/>
              <w:right w:val="nil"/>
            </w:tcBorders>
            <w:shd w:val="clear" w:color="auto" w:fill="auto"/>
            <w:noWrap/>
          </w:tcPr>
          <w:p w14:paraId="3032C36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67FB212" w14:textId="77777777" w:rsidR="000F6636" w:rsidRPr="00C518D0" w:rsidRDefault="000F6636" w:rsidP="00484DB0">
            <w:pPr>
              <w:pStyle w:val="Bezriadkovania"/>
              <w:jc w:val="center"/>
              <w:rPr>
                <w:sz w:val="18"/>
                <w:szCs w:val="18"/>
              </w:rPr>
            </w:pPr>
            <w:r w:rsidRPr="00F803F5">
              <w:rPr>
                <w:sz w:val="18"/>
                <w:szCs w:val="18"/>
              </w:rPr>
              <w:t>116</w:t>
            </w:r>
          </w:p>
        </w:tc>
        <w:tc>
          <w:tcPr>
            <w:tcW w:w="567" w:type="dxa"/>
            <w:tcBorders>
              <w:left w:val="nil"/>
              <w:right w:val="nil"/>
            </w:tcBorders>
            <w:shd w:val="clear" w:color="auto" w:fill="auto"/>
            <w:noWrap/>
          </w:tcPr>
          <w:p w14:paraId="0BDF19FC" w14:textId="77777777" w:rsidR="000F6636" w:rsidRPr="00C518D0" w:rsidRDefault="000F6636" w:rsidP="00484DB0">
            <w:pPr>
              <w:pStyle w:val="Bezriadkovania"/>
              <w:jc w:val="center"/>
              <w:rPr>
                <w:sz w:val="18"/>
                <w:szCs w:val="18"/>
              </w:rPr>
            </w:pPr>
            <w:r w:rsidRPr="00F803F5">
              <w:rPr>
                <w:sz w:val="18"/>
                <w:szCs w:val="18"/>
              </w:rPr>
              <w:t>116</w:t>
            </w:r>
          </w:p>
        </w:tc>
        <w:tc>
          <w:tcPr>
            <w:tcW w:w="567" w:type="dxa"/>
            <w:tcBorders>
              <w:left w:val="nil"/>
              <w:right w:val="nil"/>
            </w:tcBorders>
            <w:shd w:val="clear" w:color="auto" w:fill="auto"/>
            <w:noWrap/>
          </w:tcPr>
          <w:p w14:paraId="08F489EE" w14:textId="77777777" w:rsidR="000F6636" w:rsidRPr="00C518D0" w:rsidRDefault="000F6636" w:rsidP="00484DB0">
            <w:pPr>
              <w:pStyle w:val="Bezriadkovania"/>
              <w:jc w:val="center"/>
              <w:rPr>
                <w:sz w:val="18"/>
                <w:szCs w:val="18"/>
              </w:rPr>
            </w:pPr>
            <w:r w:rsidRPr="00F803F5">
              <w:rPr>
                <w:sz w:val="18"/>
                <w:szCs w:val="18"/>
              </w:rPr>
              <w:t>50</w:t>
            </w:r>
          </w:p>
        </w:tc>
        <w:tc>
          <w:tcPr>
            <w:tcW w:w="562" w:type="dxa"/>
            <w:tcBorders>
              <w:left w:val="nil"/>
              <w:right w:val="nil"/>
            </w:tcBorders>
            <w:shd w:val="clear" w:color="auto" w:fill="auto"/>
            <w:noWrap/>
          </w:tcPr>
          <w:p w14:paraId="285C177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3361E64C" w14:textId="77777777" w:rsidTr="00484DB0">
        <w:trPr>
          <w:trHeight w:val="21"/>
        </w:trPr>
        <w:tc>
          <w:tcPr>
            <w:tcW w:w="6237" w:type="dxa"/>
            <w:tcBorders>
              <w:left w:val="nil"/>
              <w:right w:val="nil"/>
            </w:tcBorders>
            <w:shd w:val="clear" w:color="auto" w:fill="auto"/>
            <w:noWrap/>
          </w:tcPr>
          <w:p w14:paraId="64F1E20A" w14:textId="77777777" w:rsidR="000F6636" w:rsidRPr="00FE2D91" w:rsidRDefault="000F6636" w:rsidP="00484DB0">
            <w:pPr>
              <w:pStyle w:val="Bezriadkovania"/>
              <w:rPr>
                <w:sz w:val="18"/>
                <w:szCs w:val="18"/>
                <w:highlight w:val="yellow"/>
              </w:rPr>
            </w:pPr>
            <w:r w:rsidRPr="00FE2D91">
              <w:rPr>
                <w:sz w:val="18"/>
                <w:szCs w:val="18"/>
              </w:rPr>
              <w:t>Rodičovský príspevok na deti od 3 rokov neprijaté do škôlky</w:t>
            </w:r>
          </w:p>
        </w:tc>
        <w:tc>
          <w:tcPr>
            <w:tcW w:w="567" w:type="dxa"/>
            <w:tcBorders>
              <w:left w:val="nil"/>
              <w:right w:val="nil"/>
            </w:tcBorders>
            <w:shd w:val="clear" w:color="auto" w:fill="auto"/>
            <w:noWrap/>
          </w:tcPr>
          <w:p w14:paraId="2E797B44" w14:textId="77777777" w:rsidR="000F6636" w:rsidRPr="00C518D0" w:rsidRDefault="000F6636" w:rsidP="00484DB0">
            <w:pPr>
              <w:pStyle w:val="Bezriadkovania"/>
              <w:jc w:val="center"/>
              <w:rPr>
                <w:sz w:val="18"/>
                <w:szCs w:val="18"/>
              </w:rPr>
            </w:pPr>
            <w:r w:rsidRPr="00F803F5">
              <w:rPr>
                <w:sz w:val="18"/>
                <w:szCs w:val="18"/>
              </w:rPr>
              <w:t>2</w:t>
            </w:r>
          </w:p>
        </w:tc>
        <w:tc>
          <w:tcPr>
            <w:tcW w:w="567" w:type="dxa"/>
            <w:tcBorders>
              <w:left w:val="nil"/>
              <w:right w:val="nil"/>
            </w:tcBorders>
            <w:shd w:val="clear" w:color="auto" w:fill="auto"/>
            <w:noWrap/>
          </w:tcPr>
          <w:p w14:paraId="057AAD2F" w14:textId="77777777" w:rsidR="000F6636" w:rsidRPr="00C518D0" w:rsidRDefault="000F6636" w:rsidP="00484DB0">
            <w:pPr>
              <w:pStyle w:val="Bezriadkovania"/>
              <w:jc w:val="center"/>
              <w:rPr>
                <w:sz w:val="18"/>
                <w:szCs w:val="18"/>
              </w:rPr>
            </w:pPr>
            <w:r w:rsidRPr="00F803F5">
              <w:rPr>
                <w:sz w:val="18"/>
                <w:szCs w:val="18"/>
              </w:rPr>
              <w:t>38</w:t>
            </w:r>
          </w:p>
        </w:tc>
        <w:tc>
          <w:tcPr>
            <w:tcW w:w="567" w:type="dxa"/>
            <w:tcBorders>
              <w:left w:val="nil"/>
              <w:right w:val="nil"/>
            </w:tcBorders>
            <w:shd w:val="clear" w:color="auto" w:fill="auto"/>
            <w:noWrap/>
          </w:tcPr>
          <w:p w14:paraId="4E529082"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507E9A0D"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23E8C1DC"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43B9C17" w14:textId="77777777" w:rsidTr="00484DB0">
        <w:trPr>
          <w:trHeight w:val="21"/>
        </w:trPr>
        <w:tc>
          <w:tcPr>
            <w:tcW w:w="6237" w:type="dxa"/>
            <w:tcBorders>
              <w:left w:val="nil"/>
              <w:right w:val="nil"/>
            </w:tcBorders>
            <w:shd w:val="clear" w:color="auto" w:fill="auto"/>
            <w:noWrap/>
          </w:tcPr>
          <w:p w14:paraId="4DCCAF20" w14:textId="77777777" w:rsidR="000F6636" w:rsidRPr="00FE2D91" w:rsidRDefault="000F6636" w:rsidP="00484DB0">
            <w:pPr>
              <w:pStyle w:val="Bezriadkovania"/>
              <w:rPr>
                <w:sz w:val="18"/>
                <w:szCs w:val="18"/>
                <w:highlight w:val="yellow"/>
              </w:rPr>
            </w:pPr>
            <w:r w:rsidRPr="00FE2D91">
              <w:rPr>
                <w:sz w:val="18"/>
                <w:szCs w:val="18"/>
              </w:rPr>
              <w:t>Rozšírenie osobnej asistencie na školách</w:t>
            </w:r>
          </w:p>
        </w:tc>
        <w:tc>
          <w:tcPr>
            <w:tcW w:w="567" w:type="dxa"/>
            <w:tcBorders>
              <w:left w:val="nil"/>
              <w:right w:val="nil"/>
            </w:tcBorders>
            <w:shd w:val="clear" w:color="auto" w:fill="auto"/>
            <w:noWrap/>
          </w:tcPr>
          <w:p w14:paraId="40673D5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53A8D67F" w14:textId="77777777" w:rsidR="000F6636" w:rsidRPr="00C518D0" w:rsidRDefault="000F6636" w:rsidP="00484DB0">
            <w:pPr>
              <w:pStyle w:val="Bezriadkovania"/>
              <w:jc w:val="center"/>
              <w:rPr>
                <w:sz w:val="18"/>
                <w:szCs w:val="18"/>
              </w:rPr>
            </w:pPr>
            <w:r w:rsidRPr="00F803F5">
              <w:rPr>
                <w:sz w:val="18"/>
                <w:szCs w:val="18"/>
              </w:rPr>
              <w:t>14</w:t>
            </w:r>
          </w:p>
        </w:tc>
        <w:tc>
          <w:tcPr>
            <w:tcW w:w="567" w:type="dxa"/>
            <w:tcBorders>
              <w:left w:val="nil"/>
              <w:right w:val="nil"/>
            </w:tcBorders>
            <w:shd w:val="clear" w:color="auto" w:fill="auto"/>
            <w:noWrap/>
          </w:tcPr>
          <w:p w14:paraId="0F39A03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0C3AB1B"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5D87F7D5"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762A4164" w14:textId="77777777" w:rsidTr="00484DB0">
        <w:trPr>
          <w:trHeight w:val="21"/>
        </w:trPr>
        <w:tc>
          <w:tcPr>
            <w:tcW w:w="6237" w:type="dxa"/>
            <w:tcBorders>
              <w:left w:val="nil"/>
              <w:right w:val="nil"/>
            </w:tcBorders>
            <w:shd w:val="clear" w:color="auto" w:fill="auto"/>
            <w:noWrap/>
          </w:tcPr>
          <w:p w14:paraId="3DE005E8" w14:textId="77777777" w:rsidR="000F6636" w:rsidRPr="00FE2D91" w:rsidRDefault="000F6636" w:rsidP="00484DB0">
            <w:pPr>
              <w:pStyle w:val="Bezriadkovania"/>
              <w:rPr>
                <w:sz w:val="18"/>
                <w:szCs w:val="18"/>
                <w:highlight w:val="yellow"/>
              </w:rPr>
            </w:pPr>
            <w:r w:rsidRPr="00FE2D91">
              <w:rPr>
                <w:sz w:val="18"/>
                <w:szCs w:val="18"/>
              </w:rPr>
              <w:t>Navýšenie príspevku na bývanie v rámci pomoci v hmotnej núdzi</w:t>
            </w:r>
          </w:p>
        </w:tc>
        <w:tc>
          <w:tcPr>
            <w:tcW w:w="567" w:type="dxa"/>
            <w:tcBorders>
              <w:left w:val="nil"/>
              <w:right w:val="nil"/>
            </w:tcBorders>
            <w:shd w:val="clear" w:color="auto" w:fill="auto"/>
            <w:noWrap/>
          </w:tcPr>
          <w:p w14:paraId="564F702B" w14:textId="77777777" w:rsidR="000F6636" w:rsidRPr="00C518D0" w:rsidRDefault="000F6636" w:rsidP="00484DB0">
            <w:pPr>
              <w:pStyle w:val="Bezriadkovania"/>
              <w:jc w:val="center"/>
              <w:rPr>
                <w:sz w:val="18"/>
                <w:szCs w:val="18"/>
              </w:rPr>
            </w:pPr>
            <w:r w:rsidRPr="00F803F5">
              <w:rPr>
                <w:sz w:val="18"/>
                <w:szCs w:val="18"/>
              </w:rPr>
              <w:t>10</w:t>
            </w:r>
          </w:p>
        </w:tc>
        <w:tc>
          <w:tcPr>
            <w:tcW w:w="567" w:type="dxa"/>
            <w:tcBorders>
              <w:left w:val="nil"/>
              <w:right w:val="nil"/>
            </w:tcBorders>
            <w:shd w:val="clear" w:color="auto" w:fill="auto"/>
            <w:noWrap/>
          </w:tcPr>
          <w:p w14:paraId="408F0820" w14:textId="77777777" w:rsidR="000F6636" w:rsidRPr="00C518D0" w:rsidRDefault="000F6636" w:rsidP="00484DB0">
            <w:pPr>
              <w:pStyle w:val="Bezriadkovania"/>
              <w:jc w:val="center"/>
              <w:rPr>
                <w:sz w:val="18"/>
                <w:szCs w:val="18"/>
              </w:rPr>
            </w:pPr>
            <w:r w:rsidRPr="00F803F5">
              <w:rPr>
                <w:sz w:val="18"/>
                <w:szCs w:val="18"/>
              </w:rPr>
              <w:t>10</w:t>
            </w:r>
          </w:p>
        </w:tc>
        <w:tc>
          <w:tcPr>
            <w:tcW w:w="567" w:type="dxa"/>
            <w:tcBorders>
              <w:left w:val="nil"/>
              <w:right w:val="nil"/>
            </w:tcBorders>
            <w:shd w:val="clear" w:color="auto" w:fill="auto"/>
            <w:noWrap/>
          </w:tcPr>
          <w:p w14:paraId="4A3779AF"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D44020B"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450F472C"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621528D2" w14:textId="77777777" w:rsidTr="00484DB0">
        <w:trPr>
          <w:trHeight w:val="21"/>
        </w:trPr>
        <w:tc>
          <w:tcPr>
            <w:tcW w:w="6237" w:type="dxa"/>
            <w:tcBorders>
              <w:left w:val="nil"/>
              <w:right w:val="nil"/>
            </w:tcBorders>
            <w:shd w:val="clear" w:color="auto" w:fill="auto"/>
            <w:noWrap/>
          </w:tcPr>
          <w:p w14:paraId="4E1B946F" w14:textId="77777777" w:rsidR="000F6636" w:rsidRPr="00FE2D91" w:rsidRDefault="000F6636" w:rsidP="00484DB0">
            <w:pPr>
              <w:pStyle w:val="Bezriadkovania"/>
              <w:rPr>
                <w:sz w:val="18"/>
                <w:szCs w:val="18"/>
                <w:highlight w:val="yellow"/>
              </w:rPr>
            </w:pPr>
            <w:r w:rsidRPr="00FE2D91">
              <w:rPr>
                <w:sz w:val="18"/>
                <w:szCs w:val="18"/>
              </w:rPr>
              <w:t>Zmena posudzovania invalidných dôchodkov</w:t>
            </w:r>
          </w:p>
        </w:tc>
        <w:tc>
          <w:tcPr>
            <w:tcW w:w="567" w:type="dxa"/>
            <w:tcBorders>
              <w:left w:val="nil"/>
              <w:right w:val="nil"/>
            </w:tcBorders>
            <w:shd w:val="clear" w:color="auto" w:fill="auto"/>
            <w:noWrap/>
          </w:tcPr>
          <w:p w14:paraId="131A50F3" w14:textId="77777777" w:rsidR="000F6636" w:rsidRPr="00C518D0" w:rsidRDefault="000F6636" w:rsidP="00484DB0">
            <w:pPr>
              <w:pStyle w:val="Bezriadkovania"/>
              <w:jc w:val="center"/>
              <w:rPr>
                <w:sz w:val="18"/>
                <w:szCs w:val="18"/>
              </w:rPr>
            </w:pPr>
            <w:r w:rsidRPr="00F803F5">
              <w:rPr>
                <w:sz w:val="18"/>
                <w:szCs w:val="18"/>
              </w:rPr>
              <w:t>4</w:t>
            </w:r>
          </w:p>
        </w:tc>
        <w:tc>
          <w:tcPr>
            <w:tcW w:w="567" w:type="dxa"/>
            <w:tcBorders>
              <w:left w:val="nil"/>
              <w:right w:val="nil"/>
            </w:tcBorders>
            <w:shd w:val="clear" w:color="auto" w:fill="auto"/>
            <w:noWrap/>
          </w:tcPr>
          <w:p w14:paraId="73A03FF5" w14:textId="77777777" w:rsidR="000F6636" w:rsidRPr="00C518D0" w:rsidRDefault="000F6636" w:rsidP="00484DB0">
            <w:pPr>
              <w:pStyle w:val="Bezriadkovania"/>
              <w:jc w:val="center"/>
              <w:rPr>
                <w:sz w:val="18"/>
                <w:szCs w:val="18"/>
              </w:rPr>
            </w:pPr>
            <w:r w:rsidRPr="00F803F5">
              <w:rPr>
                <w:sz w:val="18"/>
                <w:szCs w:val="18"/>
              </w:rPr>
              <w:t>39</w:t>
            </w:r>
          </w:p>
        </w:tc>
        <w:tc>
          <w:tcPr>
            <w:tcW w:w="567" w:type="dxa"/>
            <w:tcBorders>
              <w:left w:val="nil"/>
              <w:right w:val="nil"/>
            </w:tcBorders>
            <w:shd w:val="clear" w:color="auto" w:fill="auto"/>
            <w:noWrap/>
          </w:tcPr>
          <w:p w14:paraId="65C2975B"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53579EA"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1F92E984"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6896FD2" w14:textId="77777777" w:rsidTr="00484DB0">
        <w:trPr>
          <w:trHeight w:val="21"/>
        </w:trPr>
        <w:tc>
          <w:tcPr>
            <w:tcW w:w="6237" w:type="dxa"/>
            <w:tcBorders>
              <w:left w:val="nil"/>
              <w:right w:val="nil"/>
            </w:tcBorders>
            <w:shd w:val="clear" w:color="auto" w:fill="auto"/>
            <w:noWrap/>
          </w:tcPr>
          <w:p w14:paraId="60CBDF26" w14:textId="77777777" w:rsidR="000F6636" w:rsidRPr="00FE2D91" w:rsidRDefault="000F6636" w:rsidP="00484DB0">
            <w:pPr>
              <w:pStyle w:val="Bezriadkovania"/>
              <w:rPr>
                <w:sz w:val="18"/>
                <w:szCs w:val="18"/>
                <w:highlight w:val="yellow"/>
              </w:rPr>
            </w:pPr>
            <w:r w:rsidRPr="00FE2D91">
              <w:rPr>
                <w:sz w:val="18"/>
                <w:szCs w:val="18"/>
              </w:rPr>
              <w:t>Výkonnostné zmluvy verejných vysokých škôl (VVŠ)</w:t>
            </w:r>
          </w:p>
        </w:tc>
        <w:tc>
          <w:tcPr>
            <w:tcW w:w="567" w:type="dxa"/>
            <w:tcBorders>
              <w:left w:val="nil"/>
              <w:right w:val="nil"/>
            </w:tcBorders>
            <w:shd w:val="clear" w:color="auto" w:fill="auto"/>
            <w:noWrap/>
          </w:tcPr>
          <w:p w14:paraId="083C8D00"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15F9E476" w14:textId="77777777" w:rsidR="000F6636" w:rsidRPr="00C518D0" w:rsidRDefault="000F6636" w:rsidP="00484DB0">
            <w:pPr>
              <w:pStyle w:val="Bezriadkovania"/>
              <w:jc w:val="center"/>
              <w:rPr>
                <w:sz w:val="18"/>
                <w:szCs w:val="18"/>
              </w:rPr>
            </w:pPr>
            <w:r w:rsidRPr="00F803F5">
              <w:rPr>
                <w:sz w:val="18"/>
                <w:szCs w:val="18"/>
              </w:rPr>
              <w:t>47</w:t>
            </w:r>
          </w:p>
        </w:tc>
        <w:tc>
          <w:tcPr>
            <w:tcW w:w="567" w:type="dxa"/>
            <w:tcBorders>
              <w:left w:val="nil"/>
              <w:right w:val="nil"/>
            </w:tcBorders>
            <w:shd w:val="clear" w:color="auto" w:fill="auto"/>
            <w:noWrap/>
          </w:tcPr>
          <w:p w14:paraId="2EBE43D5" w14:textId="77777777" w:rsidR="000F6636" w:rsidRPr="00C518D0" w:rsidRDefault="000F6636" w:rsidP="00484DB0">
            <w:pPr>
              <w:pStyle w:val="Bezriadkovania"/>
              <w:jc w:val="center"/>
              <w:rPr>
                <w:sz w:val="18"/>
                <w:szCs w:val="18"/>
              </w:rPr>
            </w:pPr>
            <w:r w:rsidRPr="00F803F5">
              <w:rPr>
                <w:sz w:val="18"/>
                <w:szCs w:val="18"/>
              </w:rPr>
              <w:t>20</w:t>
            </w:r>
          </w:p>
        </w:tc>
        <w:tc>
          <w:tcPr>
            <w:tcW w:w="567" w:type="dxa"/>
            <w:tcBorders>
              <w:left w:val="nil"/>
              <w:right w:val="nil"/>
            </w:tcBorders>
            <w:shd w:val="clear" w:color="auto" w:fill="auto"/>
            <w:noWrap/>
          </w:tcPr>
          <w:p w14:paraId="543D085C" w14:textId="77777777" w:rsidR="000F6636" w:rsidRPr="00C518D0" w:rsidRDefault="000F6636" w:rsidP="00484DB0">
            <w:pPr>
              <w:pStyle w:val="Bezriadkovania"/>
              <w:jc w:val="center"/>
              <w:rPr>
                <w:sz w:val="18"/>
                <w:szCs w:val="18"/>
              </w:rPr>
            </w:pPr>
            <w:r w:rsidRPr="00F803F5">
              <w:rPr>
                <w:sz w:val="18"/>
                <w:szCs w:val="18"/>
              </w:rPr>
              <w:t>20</w:t>
            </w:r>
          </w:p>
        </w:tc>
        <w:tc>
          <w:tcPr>
            <w:tcW w:w="562" w:type="dxa"/>
            <w:tcBorders>
              <w:left w:val="nil"/>
              <w:right w:val="nil"/>
            </w:tcBorders>
            <w:shd w:val="clear" w:color="auto" w:fill="auto"/>
            <w:noWrap/>
          </w:tcPr>
          <w:p w14:paraId="4476A449" w14:textId="77777777" w:rsidR="000F6636" w:rsidRPr="00C518D0" w:rsidRDefault="000F6636" w:rsidP="00484DB0">
            <w:pPr>
              <w:pStyle w:val="Bezriadkovania"/>
              <w:jc w:val="center"/>
              <w:rPr>
                <w:sz w:val="18"/>
                <w:szCs w:val="18"/>
              </w:rPr>
            </w:pPr>
            <w:r w:rsidRPr="00CD7E3D">
              <w:rPr>
                <w:sz w:val="18"/>
                <w:szCs w:val="18"/>
              </w:rPr>
              <w:t>-20</w:t>
            </w:r>
          </w:p>
        </w:tc>
      </w:tr>
      <w:tr w:rsidR="000F6636" w:rsidRPr="007C2DC9" w14:paraId="110E6E4A" w14:textId="77777777" w:rsidTr="00484DB0">
        <w:trPr>
          <w:trHeight w:val="21"/>
        </w:trPr>
        <w:tc>
          <w:tcPr>
            <w:tcW w:w="6237" w:type="dxa"/>
            <w:tcBorders>
              <w:left w:val="nil"/>
              <w:right w:val="nil"/>
            </w:tcBorders>
            <w:shd w:val="clear" w:color="auto" w:fill="auto"/>
            <w:noWrap/>
          </w:tcPr>
          <w:p w14:paraId="319382F6" w14:textId="77777777" w:rsidR="000F6636" w:rsidRPr="00FE2D91" w:rsidRDefault="000F6636" w:rsidP="00484DB0">
            <w:pPr>
              <w:pStyle w:val="Bezriadkovania"/>
              <w:rPr>
                <w:sz w:val="18"/>
                <w:szCs w:val="18"/>
                <w:highlight w:val="yellow"/>
              </w:rPr>
            </w:pPr>
            <w:r w:rsidRPr="00FE2D91">
              <w:rPr>
                <w:sz w:val="18"/>
                <w:szCs w:val="18"/>
              </w:rPr>
              <w:t>Zvýšenie výdavkov na výskum a vývoj (VaV)</w:t>
            </w:r>
          </w:p>
        </w:tc>
        <w:tc>
          <w:tcPr>
            <w:tcW w:w="567" w:type="dxa"/>
            <w:tcBorders>
              <w:left w:val="nil"/>
              <w:right w:val="nil"/>
            </w:tcBorders>
            <w:shd w:val="clear" w:color="auto" w:fill="auto"/>
            <w:noWrap/>
          </w:tcPr>
          <w:p w14:paraId="0313EFA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EDCF2A5" w14:textId="77777777" w:rsidR="000F6636" w:rsidRPr="00C518D0" w:rsidRDefault="000F6636" w:rsidP="00484DB0">
            <w:pPr>
              <w:pStyle w:val="Bezriadkovania"/>
              <w:jc w:val="center"/>
              <w:rPr>
                <w:sz w:val="18"/>
                <w:szCs w:val="18"/>
              </w:rPr>
            </w:pPr>
            <w:r w:rsidRPr="00F803F5">
              <w:rPr>
                <w:sz w:val="18"/>
                <w:szCs w:val="18"/>
              </w:rPr>
              <w:t>50</w:t>
            </w:r>
          </w:p>
        </w:tc>
        <w:tc>
          <w:tcPr>
            <w:tcW w:w="567" w:type="dxa"/>
            <w:tcBorders>
              <w:left w:val="nil"/>
              <w:right w:val="nil"/>
            </w:tcBorders>
            <w:shd w:val="clear" w:color="auto" w:fill="auto"/>
            <w:noWrap/>
          </w:tcPr>
          <w:p w14:paraId="6D5560C8" w14:textId="77777777" w:rsidR="000F6636" w:rsidRPr="00C518D0" w:rsidRDefault="000F6636" w:rsidP="00484DB0">
            <w:pPr>
              <w:pStyle w:val="Bezriadkovania"/>
              <w:jc w:val="center"/>
              <w:rPr>
                <w:sz w:val="18"/>
                <w:szCs w:val="18"/>
              </w:rPr>
            </w:pPr>
            <w:r w:rsidRPr="00F803F5">
              <w:rPr>
                <w:sz w:val="18"/>
                <w:szCs w:val="18"/>
              </w:rPr>
              <w:t>130</w:t>
            </w:r>
          </w:p>
        </w:tc>
        <w:tc>
          <w:tcPr>
            <w:tcW w:w="567" w:type="dxa"/>
            <w:tcBorders>
              <w:left w:val="nil"/>
              <w:right w:val="nil"/>
            </w:tcBorders>
            <w:shd w:val="clear" w:color="auto" w:fill="auto"/>
            <w:noWrap/>
          </w:tcPr>
          <w:p w14:paraId="7F6EDC60" w14:textId="77777777" w:rsidR="000F6636" w:rsidRPr="00C518D0" w:rsidRDefault="000F6636" w:rsidP="00484DB0">
            <w:pPr>
              <w:pStyle w:val="Bezriadkovania"/>
              <w:jc w:val="center"/>
              <w:rPr>
                <w:sz w:val="18"/>
                <w:szCs w:val="18"/>
              </w:rPr>
            </w:pPr>
            <w:r w:rsidRPr="00F803F5">
              <w:rPr>
                <w:sz w:val="18"/>
                <w:szCs w:val="18"/>
              </w:rPr>
              <w:t>134</w:t>
            </w:r>
          </w:p>
        </w:tc>
        <w:tc>
          <w:tcPr>
            <w:tcW w:w="562" w:type="dxa"/>
            <w:tcBorders>
              <w:left w:val="nil"/>
              <w:right w:val="nil"/>
            </w:tcBorders>
            <w:shd w:val="clear" w:color="auto" w:fill="auto"/>
            <w:noWrap/>
          </w:tcPr>
          <w:p w14:paraId="5B095BAA" w14:textId="77777777" w:rsidR="000F6636" w:rsidRPr="00C518D0" w:rsidRDefault="000F6636" w:rsidP="00484DB0">
            <w:pPr>
              <w:pStyle w:val="Bezriadkovania"/>
              <w:jc w:val="center"/>
              <w:rPr>
                <w:sz w:val="18"/>
                <w:szCs w:val="18"/>
              </w:rPr>
            </w:pPr>
            <w:r w:rsidRPr="00F803F5">
              <w:rPr>
                <w:sz w:val="18"/>
                <w:szCs w:val="18"/>
              </w:rPr>
              <w:t>44</w:t>
            </w:r>
          </w:p>
        </w:tc>
      </w:tr>
      <w:tr w:rsidR="000F6636" w:rsidRPr="007C2DC9" w14:paraId="4239B254" w14:textId="77777777" w:rsidTr="00484DB0">
        <w:trPr>
          <w:trHeight w:val="21"/>
        </w:trPr>
        <w:tc>
          <w:tcPr>
            <w:tcW w:w="6237" w:type="dxa"/>
            <w:tcBorders>
              <w:left w:val="nil"/>
              <w:right w:val="nil"/>
            </w:tcBorders>
            <w:shd w:val="clear" w:color="auto" w:fill="auto"/>
            <w:noWrap/>
          </w:tcPr>
          <w:p w14:paraId="71A9C514" w14:textId="77777777" w:rsidR="000F6636" w:rsidRPr="00FE2D91" w:rsidRDefault="000F6636" w:rsidP="00484DB0">
            <w:pPr>
              <w:pStyle w:val="Bezriadkovania"/>
              <w:rPr>
                <w:sz w:val="18"/>
                <w:szCs w:val="18"/>
                <w:highlight w:val="yellow"/>
              </w:rPr>
            </w:pPr>
            <w:r w:rsidRPr="00FE2D91">
              <w:rPr>
                <w:sz w:val="18"/>
                <w:szCs w:val="18"/>
              </w:rPr>
              <w:t>Jednorazová dávka pre poberateľov dôchodkov vo výške 300 eur</w:t>
            </w:r>
          </w:p>
        </w:tc>
        <w:tc>
          <w:tcPr>
            <w:tcW w:w="567" w:type="dxa"/>
            <w:tcBorders>
              <w:left w:val="nil"/>
              <w:right w:val="nil"/>
            </w:tcBorders>
            <w:shd w:val="clear" w:color="auto" w:fill="auto"/>
            <w:noWrap/>
          </w:tcPr>
          <w:p w14:paraId="18FA72F3" w14:textId="77777777" w:rsidR="000F6636" w:rsidRPr="00C518D0" w:rsidRDefault="000F6636" w:rsidP="00484DB0">
            <w:pPr>
              <w:pStyle w:val="Bezriadkovania"/>
              <w:jc w:val="center"/>
              <w:rPr>
                <w:sz w:val="18"/>
                <w:szCs w:val="18"/>
              </w:rPr>
            </w:pPr>
            <w:r w:rsidRPr="00F803F5">
              <w:rPr>
                <w:sz w:val="18"/>
                <w:szCs w:val="18"/>
              </w:rPr>
              <w:t>441</w:t>
            </w:r>
          </w:p>
        </w:tc>
        <w:tc>
          <w:tcPr>
            <w:tcW w:w="567" w:type="dxa"/>
            <w:tcBorders>
              <w:left w:val="nil"/>
              <w:right w:val="nil"/>
            </w:tcBorders>
            <w:shd w:val="clear" w:color="auto" w:fill="auto"/>
            <w:noWrap/>
          </w:tcPr>
          <w:p w14:paraId="5B18904B" w14:textId="77777777" w:rsidR="000F6636" w:rsidRPr="00C518D0" w:rsidRDefault="000F6636" w:rsidP="00484DB0">
            <w:pPr>
              <w:pStyle w:val="Bezriadkovania"/>
              <w:jc w:val="center"/>
              <w:rPr>
                <w:sz w:val="18"/>
                <w:szCs w:val="18"/>
              </w:rPr>
            </w:pPr>
            <w:r w:rsidRPr="00F803F5">
              <w:rPr>
                <w:sz w:val="18"/>
                <w:szCs w:val="18"/>
              </w:rPr>
              <w:t>-441</w:t>
            </w:r>
          </w:p>
        </w:tc>
        <w:tc>
          <w:tcPr>
            <w:tcW w:w="567" w:type="dxa"/>
            <w:tcBorders>
              <w:left w:val="nil"/>
              <w:right w:val="nil"/>
            </w:tcBorders>
            <w:shd w:val="clear" w:color="auto" w:fill="auto"/>
            <w:noWrap/>
          </w:tcPr>
          <w:p w14:paraId="58647A0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1AAC7F2"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2FC5617D"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187A6B6B" w14:textId="77777777" w:rsidTr="00484DB0">
        <w:trPr>
          <w:trHeight w:val="21"/>
        </w:trPr>
        <w:tc>
          <w:tcPr>
            <w:tcW w:w="6237" w:type="dxa"/>
            <w:tcBorders>
              <w:left w:val="nil"/>
              <w:right w:val="nil"/>
            </w:tcBorders>
            <w:shd w:val="clear" w:color="auto" w:fill="auto"/>
            <w:noWrap/>
          </w:tcPr>
          <w:p w14:paraId="3A7B2A04" w14:textId="77777777" w:rsidR="000F6636" w:rsidRPr="00FE2D91" w:rsidRDefault="000F6636" w:rsidP="00484DB0">
            <w:pPr>
              <w:pStyle w:val="Bezriadkovania"/>
              <w:rPr>
                <w:sz w:val="18"/>
                <w:szCs w:val="18"/>
                <w:highlight w:val="yellow"/>
              </w:rPr>
            </w:pPr>
            <w:r w:rsidRPr="00FE2D91">
              <w:rPr>
                <w:sz w:val="18"/>
                <w:szCs w:val="18"/>
              </w:rPr>
              <w:t>Zdvojnásobenie 13. dôchodku od roku 2024</w:t>
            </w:r>
          </w:p>
        </w:tc>
        <w:tc>
          <w:tcPr>
            <w:tcW w:w="567" w:type="dxa"/>
            <w:tcBorders>
              <w:left w:val="nil"/>
              <w:right w:val="nil"/>
            </w:tcBorders>
            <w:shd w:val="clear" w:color="auto" w:fill="auto"/>
            <w:noWrap/>
          </w:tcPr>
          <w:p w14:paraId="2207ABB4"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1B52E079" w14:textId="77777777" w:rsidR="000F6636" w:rsidRPr="00C518D0" w:rsidRDefault="000F6636" w:rsidP="00484DB0">
            <w:pPr>
              <w:pStyle w:val="Bezriadkovania"/>
              <w:jc w:val="center"/>
              <w:rPr>
                <w:sz w:val="18"/>
                <w:szCs w:val="18"/>
              </w:rPr>
            </w:pPr>
            <w:r w:rsidRPr="00F803F5">
              <w:rPr>
                <w:sz w:val="18"/>
                <w:szCs w:val="18"/>
              </w:rPr>
              <w:t>515</w:t>
            </w:r>
          </w:p>
        </w:tc>
        <w:tc>
          <w:tcPr>
            <w:tcW w:w="567" w:type="dxa"/>
            <w:tcBorders>
              <w:left w:val="nil"/>
              <w:right w:val="nil"/>
            </w:tcBorders>
            <w:shd w:val="clear" w:color="auto" w:fill="auto"/>
            <w:noWrap/>
          </w:tcPr>
          <w:p w14:paraId="557A51C1"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509F441C"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904CEB3"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6134FEAF" w14:textId="77777777" w:rsidTr="00484DB0">
        <w:trPr>
          <w:trHeight w:val="21"/>
        </w:trPr>
        <w:tc>
          <w:tcPr>
            <w:tcW w:w="6237" w:type="dxa"/>
            <w:tcBorders>
              <w:left w:val="nil"/>
              <w:right w:val="nil"/>
            </w:tcBorders>
            <w:shd w:val="clear" w:color="auto" w:fill="auto"/>
            <w:noWrap/>
          </w:tcPr>
          <w:p w14:paraId="2B7798CD" w14:textId="77777777" w:rsidR="000F6636" w:rsidRPr="00FE2D91" w:rsidRDefault="000F6636" w:rsidP="00484DB0">
            <w:pPr>
              <w:pStyle w:val="Bezriadkovania"/>
              <w:rPr>
                <w:sz w:val="18"/>
                <w:szCs w:val="18"/>
                <w:highlight w:val="yellow"/>
              </w:rPr>
            </w:pPr>
            <w:r w:rsidRPr="00FE2D91">
              <w:rPr>
                <w:sz w:val="18"/>
                <w:szCs w:val="18"/>
              </w:rPr>
              <w:t xml:space="preserve">Kompenzácia nárastu hypotekárnych splátok </w:t>
            </w:r>
          </w:p>
        </w:tc>
        <w:tc>
          <w:tcPr>
            <w:tcW w:w="567" w:type="dxa"/>
            <w:tcBorders>
              <w:left w:val="nil"/>
              <w:right w:val="nil"/>
            </w:tcBorders>
            <w:shd w:val="clear" w:color="auto" w:fill="auto"/>
            <w:noWrap/>
          </w:tcPr>
          <w:p w14:paraId="262DBB67"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37B2A78" w14:textId="77777777" w:rsidR="000F6636" w:rsidRPr="00C518D0" w:rsidRDefault="000F6636" w:rsidP="00484DB0">
            <w:pPr>
              <w:pStyle w:val="Bezriadkovania"/>
              <w:jc w:val="center"/>
              <w:rPr>
                <w:sz w:val="18"/>
                <w:szCs w:val="18"/>
              </w:rPr>
            </w:pPr>
            <w:r w:rsidRPr="00F803F5">
              <w:rPr>
                <w:sz w:val="18"/>
                <w:szCs w:val="18"/>
              </w:rPr>
              <w:t>88</w:t>
            </w:r>
          </w:p>
        </w:tc>
        <w:tc>
          <w:tcPr>
            <w:tcW w:w="567" w:type="dxa"/>
            <w:tcBorders>
              <w:left w:val="nil"/>
              <w:right w:val="nil"/>
            </w:tcBorders>
            <w:shd w:val="clear" w:color="auto" w:fill="auto"/>
            <w:noWrap/>
          </w:tcPr>
          <w:p w14:paraId="67192571" w14:textId="77777777" w:rsidR="000F6636" w:rsidRPr="00C518D0" w:rsidRDefault="000F6636" w:rsidP="00484DB0">
            <w:pPr>
              <w:pStyle w:val="Bezriadkovania"/>
              <w:jc w:val="center"/>
              <w:rPr>
                <w:sz w:val="18"/>
                <w:szCs w:val="18"/>
              </w:rPr>
            </w:pPr>
            <w:r w:rsidRPr="00F803F5">
              <w:rPr>
                <w:sz w:val="18"/>
                <w:szCs w:val="18"/>
              </w:rPr>
              <w:t>-73</w:t>
            </w:r>
          </w:p>
        </w:tc>
        <w:tc>
          <w:tcPr>
            <w:tcW w:w="567" w:type="dxa"/>
            <w:tcBorders>
              <w:left w:val="nil"/>
              <w:right w:val="nil"/>
            </w:tcBorders>
            <w:shd w:val="clear" w:color="auto" w:fill="auto"/>
            <w:noWrap/>
          </w:tcPr>
          <w:p w14:paraId="4ABE56D0"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03153F96"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2F3884CB" w14:textId="77777777" w:rsidTr="00484DB0">
        <w:trPr>
          <w:trHeight w:val="21"/>
        </w:trPr>
        <w:tc>
          <w:tcPr>
            <w:tcW w:w="6237" w:type="dxa"/>
            <w:tcBorders>
              <w:left w:val="nil"/>
              <w:right w:val="nil"/>
            </w:tcBorders>
            <w:shd w:val="clear" w:color="auto" w:fill="auto"/>
            <w:noWrap/>
          </w:tcPr>
          <w:p w14:paraId="491B6B53" w14:textId="77777777" w:rsidR="000F6636" w:rsidRPr="00FE2D91" w:rsidRDefault="000F6636" w:rsidP="00484DB0">
            <w:pPr>
              <w:pStyle w:val="Bezriadkovania"/>
              <w:rPr>
                <w:sz w:val="18"/>
                <w:szCs w:val="18"/>
                <w:highlight w:val="yellow"/>
              </w:rPr>
            </w:pPr>
            <w:r w:rsidRPr="00FE2D91">
              <w:rPr>
                <w:sz w:val="18"/>
                <w:szCs w:val="18"/>
              </w:rPr>
              <w:t>Zníženie výdavkov kapitol štátneho rozpočtu o 5 %</w:t>
            </w:r>
          </w:p>
        </w:tc>
        <w:tc>
          <w:tcPr>
            <w:tcW w:w="567" w:type="dxa"/>
            <w:tcBorders>
              <w:left w:val="nil"/>
              <w:right w:val="nil"/>
            </w:tcBorders>
            <w:shd w:val="clear" w:color="auto" w:fill="auto"/>
            <w:noWrap/>
          </w:tcPr>
          <w:p w14:paraId="3BF12146"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C965744" w14:textId="77777777" w:rsidR="000F6636" w:rsidRPr="00C518D0" w:rsidRDefault="000F6636" w:rsidP="00484DB0">
            <w:pPr>
              <w:pStyle w:val="Bezriadkovania"/>
              <w:jc w:val="center"/>
              <w:rPr>
                <w:sz w:val="18"/>
                <w:szCs w:val="18"/>
              </w:rPr>
            </w:pPr>
            <w:r w:rsidRPr="00F803F5">
              <w:rPr>
                <w:sz w:val="18"/>
                <w:szCs w:val="18"/>
              </w:rPr>
              <w:t>-71</w:t>
            </w:r>
          </w:p>
        </w:tc>
        <w:tc>
          <w:tcPr>
            <w:tcW w:w="567" w:type="dxa"/>
            <w:tcBorders>
              <w:left w:val="nil"/>
              <w:right w:val="nil"/>
            </w:tcBorders>
            <w:shd w:val="clear" w:color="auto" w:fill="auto"/>
            <w:noWrap/>
          </w:tcPr>
          <w:p w14:paraId="1E9EA791"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478F33AD"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5BBE510F"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4CCA8517" w14:textId="77777777" w:rsidTr="00484DB0">
        <w:trPr>
          <w:trHeight w:val="21"/>
        </w:trPr>
        <w:tc>
          <w:tcPr>
            <w:tcW w:w="6237" w:type="dxa"/>
            <w:tcBorders>
              <w:left w:val="nil"/>
              <w:right w:val="nil"/>
            </w:tcBorders>
            <w:shd w:val="clear" w:color="auto" w:fill="auto"/>
            <w:noWrap/>
          </w:tcPr>
          <w:p w14:paraId="264B1925" w14:textId="77777777" w:rsidR="000F6636" w:rsidRPr="00FE2D91" w:rsidRDefault="000F6636" w:rsidP="00484DB0">
            <w:pPr>
              <w:pStyle w:val="Bezriadkovania"/>
              <w:rPr>
                <w:sz w:val="18"/>
                <w:szCs w:val="18"/>
                <w:highlight w:val="yellow"/>
              </w:rPr>
            </w:pPr>
            <w:r w:rsidRPr="00FE2D91">
              <w:rPr>
                <w:sz w:val="18"/>
                <w:szCs w:val="18"/>
              </w:rPr>
              <w:t>Tlmenie valorizácie miezd vo verejnej správe od 2024</w:t>
            </w:r>
          </w:p>
        </w:tc>
        <w:tc>
          <w:tcPr>
            <w:tcW w:w="567" w:type="dxa"/>
            <w:tcBorders>
              <w:left w:val="nil"/>
              <w:right w:val="nil"/>
            </w:tcBorders>
            <w:shd w:val="clear" w:color="auto" w:fill="auto"/>
            <w:noWrap/>
          </w:tcPr>
          <w:p w14:paraId="2A10592A"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503966FD" w14:textId="77777777" w:rsidR="000F6636" w:rsidRPr="00C518D0" w:rsidRDefault="000F6636" w:rsidP="00484DB0">
            <w:pPr>
              <w:pStyle w:val="Bezriadkovania"/>
              <w:jc w:val="center"/>
              <w:rPr>
                <w:sz w:val="18"/>
                <w:szCs w:val="18"/>
              </w:rPr>
            </w:pPr>
            <w:r w:rsidRPr="00F803F5">
              <w:rPr>
                <w:sz w:val="18"/>
                <w:szCs w:val="18"/>
              </w:rPr>
              <w:t>-56</w:t>
            </w:r>
          </w:p>
        </w:tc>
        <w:tc>
          <w:tcPr>
            <w:tcW w:w="567" w:type="dxa"/>
            <w:tcBorders>
              <w:left w:val="nil"/>
              <w:right w:val="nil"/>
            </w:tcBorders>
            <w:shd w:val="clear" w:color="auto" w:fill="auto"/>
            <w:noWrap/>
          </w:tcPr>
          <w:p w14:paraId="4530E3BB" w14:textId="77777777" w:rsidR="000F6636" w:rsidRPr="00C518D0" w:rsidRDefault="000F6636" w:rsidP="00484DB0">
            <w:pPr>
              <w:pStyle w:val="Bezriadkovania"/>
              <w:jc w:val="center"/>
              <w:rPr>
                <w:sz w:val="18"/>
                <w:szCs w:val="18"/>
              </w:rPr>
            </w:pPr>
            <w:r w:rsidRPr="00F803F5">
              <w:rPr>
                <w:sz w:val="18"/>
                <w:szCs w:val="18"/>
              </w:rPr>
              <w:t>-193</w:t>
            </w:r>
          </w:p>
        </w:tc>
        <w:tc>
          <w:tcPr>
            <w:tcW w:w="567" w:type="dxa"/>
            <w:tcBorders>
              <w:left w:val="nil"/>
              <w:right w:val="nil"/>
            </w:tcBorders>
            <w:shd w:val="clear" w:color="auto" w:fill="auto"/>
            <w:noWrap/>
          </w:tcPr>
          <w:p w14:paraId="7F9D6561" w14:textId="77777777" w:rsidR="000F6636" w:rsidRPr="00C518D0" w:rsidRDefault="000F6636" w:rsidP="00484DB0">
            <w:pPr>
              <w:pStyle w:val="Bezriadkovania"/>
              <w:jc w:val="center"/>
              <w:rPr>
                <w:sz w:val="18"/>
                <w:szCs w:val="18"/>
              </w:rPr>
            </w:pPr>
            <w:r w:rsidRPr="00F803F5">
              <w:rPr>
                <w:sz w:val="18"/>
                <w:szCs w:val="18"/>
              </w:rPr>
              <w:t>-98</w:t>
            </w:r>
          </w:p>
        </w:tc>
        <w:tc>
          <w:tcPr>
            <w:tcW w:w="562" w:type="dxa"/>
            <w:tcBorders>
              <w:left w:val="nil"/>
              <w:right w:val="nil"/>
            </w:tcBorders>
            <w:shd w:val="clear" w:color="auto" w:fill="auto"/>
            <w:noWrap/>
          </w:tcPr>
          <w:p w14:paraId="54474262" w14:textId="77777777" w:rsidR="000F6636" w:rsidRPr="00C518D0" w:rsidRDefault="000F6636" w:rsidP="00484DB0">
            <w:pPr>
              <w:pStyle w:val="Bezriadkovania"/>
              <w:jc w:val="center"/>
              <w:rPr>
                <w:sz w:val="18"/>
                <w:szCs w:val="18"/>
              </w:rPr>
            </w:pPr>
            <w:r w:rsidRPr="00C518D0">
              <w:rPr>
                <w:sz w:val="18"/>
                <w:szCs w:val="18"/>
              </w:rPr>
              <w:t>-</w:t>
            </w:r>
            <w:r w:rsidRPr="001560B0">
              <w:rPr>
                <w:sz w:val="18"/>
                <w:szCs w:val="18"/>
              </w:rPr>
              <w:t>90</w:t>
            </w:r>
          </w:p>
        </w:tc>
      </w:tr>
      <w:tr w:rsidR="000F6636" w:rsidRPr="007C2DC9" w14:paraId="583C1AE0" w14:textId="77777777" w:rsidTr="00484DB0">
        <w:trPr>
          <w:trHeight w:val="21"/>
        </w:trPr>
        <w:tc>
          <w:tcPr>
            <w:tcW w:w="6237" w:type="dxa"/>
            <w:tcBorders>
              <w:left w:val="nil"/>
              <w:right w:val="nil"/>
            </w:tcBorders>
            <w:shd w:val="clear" w:color="auto" w:fill="auto"/>
            <w:noWrap/>
          </w:tcPr>
          <w:p w14:paraId="106094E1" w14:textId="77777777" w:rsidR="000F6636" w:rsidRPr="0066782A" w:rsidRDefault="000F6636" w:rsidP="00484DB0">
            <w:pPr>
              <w:pStyle w:val="Bezriadkovania"/>
              <w:rPr>
                <w:sz w:val="18"/>
                <w:szCs w:val="18"/>
              </w:rPr>
            </w:pPr>
            <w:r w:rsidRPr="00C518D0">
              <w:rPr>
                <w:sz w:val="18"/>
                <w:szCs w:val="18"/>
              </w:rPr>
              <w:t>Zrušenie podpory zníženia koncovej ceny elektriny pre podniky</w:t>
            </w:r>
          </w:p>
        </w:tc>
        <w:tc>
          <w:tcPr>
            <w:tcW w:w="567" w:type="dxa"/>
            <w:tcBorders>
              <w:left w:val="nil"/>
              <w:right w:val="nil"/>
            </w:tcBorders>
            <w:shd w:val="clear" w:color="auto" w:fill="auto"/>
            <w:noWrap/>
          </w:tcPr>
          <w:p w14:paraId="643C4730"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7783F944" w14:textId="77777777" w:rsidR="000F6636" w:rsidRPr="00F803F5" w:rsidRDefault="000F6636" w:rsidP="00484DB0">
            <w:pPr>
              <w:pStyle w:val="Bezriadkovania"/>
              <w:jc w:val="center"/>
              <w:rPr>
                <w:sz w:val="18"/>
                <w:szCs w:val="18"/>
              </w:rPr>
            </w:pPr>
            <w:r w:rsidRPr="00C518D0">
              <w:rPr>
                <w:sz w:val="18"/>
                <w:szCs w:val="18"/>
              </w:rPr>
              <w:t>-40</w:t>
            </w:r>
          </w:p>
        </w:tc>
        <w:tc>
          <w:tcPr>
            <w:tcW w:w="567" w:type="dxa"/>
            <w:tcBorders>
              <w:left w:val="nil"/>
              <w:right w:val="nil"/>
            </w:tcBorders>
            <w:shd w:val="clear" w:color="auto" w:fill="auto"/>
            <w:noWrap/>
          </w:tcPr>
          <w:p w14:paraId="1CFE9712"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6DF660A2"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1FE6118D"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24758441" w14:textId="77777777" w:rsidTr="00484DB0">
        <w:trPr>
          <w:trHeight w:val="21"/>
        </w:trPr>
        <w:tc>
          <w:tcPr>
            <w:tcW w:w="6237" w:type="dxa"/>
            <w:tcBorders>
              <w:left w:val="nil"/>
              <w:right w:val="nil"/>
            </w:tcBorders>
            <w:shd w:val="clear" w:color="auto" w:fill="auto"/>
            <w:noWrap/>
          </w:tcPr>
          <w:p w14:paraId="14DFD640" w14:textId="77777777" w:rsidR="000F6636" w:rsidRPr="0066782A" w:rsidRDefault="000F6636" w:rsidP="00484DB0">
            <w:pPr>
              <w:pStyle w:val="Bezriadkovania"/>
              <w:rPr>
                <w:sz w:val="18"/>
                <w:szCs w:val="18"/>
              </w:rPr>
            </w:pPr>
            <w:r w:rsidRPr="00C518D0">
              <w:rPr>
                <w:sz w:val="18"/>
                <w:szCs w:val="18"/>
              </w:rPr>
              <w:t>Nové Ministerstvo cestovného ruchu a športu SR</w:t>
            </w:r>
          </w:p>
        </w:tc>
        <w:tc>
          <w:tcPr>
            <w:tcW w:w="567" w:type="dxa"/>
            <w:tcBorders>
              <w:left w:val="nil"/>
              <w:right w:val="nil"/>
            </w:tcBorders>
            <w:shd w:val="clear" w:color="auto" w:fill="auto"/>
            <w:noWrap/>
          </w:tcPr>
          <w:p w14:paraId="6A2B04AD"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0F5F603B" w14:textId="77777777" w:rsidR="000F6636" w:rsidRPr="00F803F5" w:rsidRDefault="000F6636" w:rsidP="00484DB0">
            <w:pPr>
              <w:pStyle w:val="Bezriadkovania"/>
              <w:jc w:val="center"/>
              <w:rPr>
                <w:sz w:val="18"/>
                <w:szCs w:val="18"/>
              </w:rPr>
            </w:pPr>
            <w:r w:rsidRPr="00C518D0">
              <w:rPr>
                <w:sz w:val="18"/>
                <w:szCs w:val="18"/>
              </w:rPr>
              <w:t>100</w:t>
            </w:r>
          </w:p>
        </w:tc>
        <w:tc>
          <w:tcPr>
            <w:tcW w:w="567" w:type="dxa"/>
            <w:tcBorders>
              <w:left w:val="nil"/>
              <w:right w:val="nil"/>
            </w:tcBorders>
            <w:shd w:val="clear" w:color="auto" w:fill="auto"/>
            <w:noWrap/>
          </w:tcPr>
          <w:p w14:paraId="58FB62D1"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3F0ACC49"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1C4BD6A0"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01EBC2BE" w14:textId="77777777" w:rsidTr="00484DB0">
        <w:trPr>
          <w:trHeight w:val="21"/>
        </w:trPr>
        <w:tc>
          <w:tcPr>
            <w:tcW w:w="6237" w:type="dxa"/>
            <w:tcBorders>
              <w:left w:val="nil"/>
              <w:right w:val="nil"/>
            </w:tcBorders>
            <w:shd w:val="clear" w:color="auto" w:fill="auto"/>
            <w:noWrap/>
          </w:tcPr>
          <w:p w14:paraId="4B5F7A12" w14:textId="77777777" w:rsidR="000F6636" w:rsidRPr="0066782A" w:rsidRDefault="000F6636" w:rsidP="00484DB0">
            <w:pPr>
              <w:pStyle w:val="Bezriadkovania"/>
              <w:rPr>
                <w:sz w:val="18"/>
                <w:szCs w:val="18"/>
                <w:highlight w:val="yellow"/>
              </w:rPr>
            </w:pPr>
            <w:r w:rsidRPr="00C518D0">
              <w:rPr>
                <w:sz w:val="18"/>
                <w:szCs w:val="18"/>
              </w:rPr>
              <w:t>Zvýšené výdavky na zdravotníctvo</w:t>
            </w:r>
          </w:p>
        </w:tc>
        <w:tc>
          <w:tcPr>
            <w:tcW w:w="567" w:type="dxa"/>
            <w:tcBorders>
              <w:left w:val="nil"/>
              <w:right w:val="nil"/>
            </w:tcBorders>
            <w:shd w:val="clear" w:color="auto" w:fill="auto"/>
            <w:noWrap/>
          </w:tcPr>
          <w:p w14:paraId="28DAD0D1"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6D89B851" w14:textId="77777777" w:rsidR="000F6636" w:rsidRPr="00C518D0" w:rsidRDefault="000F6636" w:rsidP="00484DB0">
            <w:pPr>
              <w:pStyle w:val="Bezriadkovania"/>
              <w:jc w:val="center"/>
              <w:rPr>
                <w:sz w:val="18"/>
                <w:szCs w:val="18"/>
              </w:rPr>
            </w:pPr>
            <w:r w:rsidRPr="00C518D0">
              <w:rPr>
                <w:sz w:val="18"/>
                <w:szCs w:val="18"/>
              </w:rPr>
              <w:t>263</w:t>
            </w:r>
          </w:p>
        </w:tc>
        <w:tc>
          <w:tcPr>
            <w:tcW w:w="567" w:type="dxa"/>
            <w:tcBorders>
              <w:left w:val="nil"/>
              <w:right w:val="nil"/>
            </w:tcBorders>
            <w:shd w:val="clear" w:color="auto" w:fill="auto"/>
            <w:noWrap/>
          </w:tcPr>
          <w:p w14:paraId="5770E5D3" w14:textId="77777777" w:rsidR="000F6636" w:rsidRPr="00C518D0" w:rsidRDefault="000F6636" w:rsidP="00484DB0">
            <w:pPr>
              <w:pStyle w:val="Bezriadkovania"/>
              <w:jc w:val="center"/>
              <w:rPr>
                <w:sz w:val="18"/>
                <w:szCs w:val="18"/>
              </w:rPr>
            </w:pPr>
            <w:r w:rsidRPr="00C518D0">
              <w:rPr>
                <w:sz w:val="18"/>
                <w:szCs w:val="18"/>
              </w:rPr>
              <w:t>-</w:t>
            </w:r>
          </w:p>
        </w:tc>
        <w:tc>
          <w:tcPr>
            <w:tcW w:w="567" w:type="dxa"/>
            <w:tcBorders>
              <w:left w:val="nil"/>
              <w:right w:val="nil"/>
            </w:tcBorders>
            <w:shd w:val="clear" w:color="auto" w:fill="auto"/>
            <w:noWrap/>
          </w:tcPr>
          <w:p w14:paraId="212DA6CC" w14:textId="77777777" w:rsidR="000F6636" w:rsidRPr="00C518D0" w:rsidRDefault="000F6636" w:rsidP="00484DB0">
            <w:pPr>
              <w:pStyle w:val="Bezriadkovania"/>
              <w:jc w:val="center"/>
              <w:rPr>
                <w:sz w:val="18"/>
                <w:szCs w:val="18"/>
              </w:rPr>
            </w:pPr>
            <w:r w:rsidRPr="00C518D0">
              <w:rPr>
                <w:sz w:val="18"/>
                <w:szCs w:val="18"/>
              </w:rPr>
              <w:t>-</w:t>
            </w:r>
          </w:p>
        </w:tc>
        <w:tc>
          <w:tcPr>
            <w:tcW w:w="562" w:type="dxa"/>
            <w:tcBorders>
              <w:left w:val="nil"/>
              <w:right w:val="nil"/>
            </w:tcBorders>
            <w:shd w:val="clear" w:color="auto" w:fill="auto"/>
            <w:noWrap/>
          </w:tcPr>
          <w:p w14:paraId="6F649D19" w14:textId="77777777" w:rsidR="000F6636" w:rsidRPr="00C518D0" w:rsidRDefault="000F6636" w:rsidP="00484DB0">
            <w:pPr>
              <w:pStyle w:val="Bezriadkovania"/>
              <w:jc w:val="center"/>
              <w:rPr>
                <w:sz w:val="18"/>
                <w:szCs w:val="18"/>
              </w:rPr>
            </w:pPr>
            <w:r w:rsidRPr="00C518D0">
              <w:rPr>
                <w:sz w:val="18"/>
                <w:szCs w:val="18"/>
              </w:rPr>
              <w:t>-</w:t>
            </w:r>
          </w:p>
        </w:tc>
      </w:tr>
      <w:tr w:rsidR="000F6636" w:rsidRPr="007C2DC9" w14:paraId="56052C85" w14:textId="77777777" w:rsidTr="00484DB0">
        <w:trPr>
          <w:trHeight w:val="21"/>
        </w:trPr>
        <w:tc>
          <w:tcPr>
            <w:tcW w:w="6237" w:type="dxa"/>
            <w:tcBorders>
              <w:top w:val="single" w:sz="4" w:space="0" w:color="auto"/>
              <w:left w:val="nil"/>
              <w:bottom w:val="single" w:sz="4" w:space="0" w:color="auto"/>
              <w:right w:val="nil"/>
            </w:tcBorders>
            <w:shd w:val="clear" w:color="auto" w:fill="auto"/>
            <w:vAlign w:val="center"/>
          </w:tcPr>
          <w:p w14:paraId="4C9AB3D6" w14:textId="77777777" w:rsidR="000F6636" w:rsidRPr="008B6DB4" w:rsidRDefault="000F6636" w:rsidP="00484DB0">
            <w:pPr>
              <w:pStyle w:val="Bezriadkovania"/>
              <w:rPr>
                <w:b/>
                <w:sz w:val="18"/>
                <w:szCs w:val="18"/>
                <w:lang w:eastAsia="sk-SK"/>
              </w:rPr>
            </w:pPr>
            <w:r w:rsidRPr="008B6DB4">
              <w:rPr>
                <w:b/>
                <w:sz w:val="18"/>
                <w:szCs w:val="18"/>
              </w:rPr>
              <w:t>Spolu</w:t>
            </w:r>
          </w:p>
        </w:tc>
        <w:tc>
          <w:tcPr>
            <w:tcW w:w="567" w:type="dxa"/>
            <w:tcBorders>
              <w:top w:val="single" w:sz="4" w:space="0" w:color="auto"/>
              <w:left w:val="nil"/>
              <w:bottom w:val="single" w:sz="4" w:space="0" w:color="auto"/>
              <w:right w:val="nil"/>
            </w:tcBorders>
            <w:shd w:val="clear" w:color="auto" w:fill="auto"/>
            <w:noWrap/>
          </w:tcPr>
          <w:p w14:paraId="65F1F727" w14:textId="77777777" w:rsidR="000F6636" w:rsidRPr="0066782A" w:rsidRDefault="000F6636" w:rsidP="00484DB0">
            <w:pPr>
              <w:pStyle w:val="Bezriadkovania"/>
              <w:jc w:val="center"/>
              <w:rPr>
                <w:b/>
                <w:sz w:val="18"/>
                <w:szCs w:val="18"/>
              </w:rPr>
            </w:pPr>
            <w:r w:rsidRPr="00C518D0">
              <w:rPr>
                <w:sz w:val="18"/>
                <w:szCs w:val="18"/>
              </w:rPr>
              <w:t xml:space="preserve"> 4 </w:t>
            </w:r>
            <w:r>
              <w:rPr>
                <w:sz w:val="18"/>
                <w:szCs w:val="18"/>
              </w:rPr>
              <w:t>197</w:t>
            </w:r>
            <w:r w:rsidRPr="00C518D0">
              <w:rPr>
                <w:sz w:val="18"/>
                <w:szCs w:val="18"/>
              </w:rPr>
              <w:t xml:space="preserve"> </w:t>
            </w:r>
          </w:p>
        </w:tc>
        <w:tc>
          <w:tcPr>
            <w:tcW w:w="567" w:type="dxa"/>
            <w:tcBorders>
              <w:top w:val="single" w:sz="4" w:space="0" w:color="auto"/>
              <w:left w:val="nil"/>
              <w:bottom w:val="single" w:sz="4" w:space="0" w:color="auto"/>
              <w:right w:val="nil"/>
            </w:tcBorders>
            <w:shd w:val="clear" w:color="auto" w:fill="auto"/>
            <w:noWrap/>
          </w:tcPr>
          <w:p w14:paraId="0EA37EEB" w14:textId="77777777" w:rsidR="000F6636" w:rsidRPr="0066782A" w:rsidRDefault="000F6636" w:rsidP="00484DB0">
            <w:pPr>
              <w:pStyle w:val="Bezriadkovania"/>
              <w:jc w:val="center"/>
              <w:rPr>
                <w:b/>
                <w:sz w:val="18"/>
                <w:szCs w:val="18"/>
              </w:rPr>
            </w:pPr>
            <w:r w:rsidRPr="00C518D0">
              <w:rPr>
                <w:sz w:val="18"/>
                <w:szCs w:val="18"/>
              </w:rPr>
              <w:t xml:space="preserve">-448 </w:t>
            </w:r>
          </w:p>
        </w:tc>
        <w:tc>
          <w:tcPr>
            <w:tcW w:w="567" w:type="dxa"/>
            <w:tcBorders>
              <w:top w:val="single" w:sz="4" w:space="0" w:color="auto"/>
              <w:left w:val="nil"/>
              <w:bottom w:val="single" w:sz="4" w:space="0" w:color="auto"/>
              <w:right w:val="nil"/>
            </w:tcBorders>
            <w:shd w:val="clear" w:color="auto" w:fill="auto"/>
            <w:noWrap/>
          </w:tcPr>
          <w:p w14:paraId="3148B87E" w14:textId="77777777" w:rsidR="000F6636" w:rsidRPr="0066782A" w:rsidRDefault="000F6636" w:rsidP="00484DB0">
            <w:pPr>
              <w:pStyle w:val="Bezriadkovania"/>
              <w:jc w:val="center"/>
              <w:rPr>
                <w:b/>
                <w:sz w:val="18"/>
                <w:szCs w:val="18"/>
              </w:rPr>
            </w:pPr>
            <w:r w:rsidRPr="00C518D0">
              <w:rPr>
                <w:sz w:val="18"/>
                <w:szCs w:val="18"/>
              </w:rPr>
              <w:t>-1</w:t>
            </w:r>
            <w:r>
              <w:rPr>
                <w:sz w:val="18"/>
                <w:szCs w:val="18"/>
              </w:rPr>
              <w:t>27</w:t>
            </w:r>
            <w:r w:rsidRPr="00C518D0">
              <w:rPr>
                <w:sz w:val="18"/>
                <w:szCs w:val="18"/>
              </w:rPr>
              <w:t xml:space="preserve"> </w:t>
            </w:r>
          </w:p>
        </w:tc>
        <w:tc>
          <w:tcPr>
            <w:tcW w:w="567" w:type="dxa"/>
            <w:tcBorders>
              <w:top w:val="single" w:sz="4" w:space="0" w:color="auto"/>
              <w:left w:val="nil"/>
              <w:bottom w:val="single" w:sz="4" w:space="0" w:color="auto"/>
              <w:right w:val="nil"/>
            </w:tcBorders>
            <w:shd w:val="clear" w:color="auto" w:fill="auto"/>
            <w:noWrap/>
          </w:tcPr>
          <w:p w14:paraId="4DDA7950" w14:textId="77777777" w:rsidR="000F6636" w:rsidRPr="0066782A" w:rsidRDefault="000F6636" w:rsidP="00484DB0">
            <w:pPr>
              <w:pStyle w:val="Bezriadkovania"/>
              <w:jc w:val="center"/>
              <w:rPr>
                <w:b/>
                <w:sz w:val="18"/>
                <w:szCs w:val="18"/>
              </w:rPr>
            </w:pPr>
            <w:r w:rsidRPr="00C518D0">
              <w:rPr>
                <w:sz w:val="18"/>
                <w:szCs w:val="18"/>
              </w:rPr>
              <w:t xml:space="preserve">-1 295 </w:t>
            </w:r>
          </w:p>
        </w:tc>
        <w:tc>
          <w:tcPr>
            <w:tcW w:w="562" w:type="dxa"/>
            <w:tcBorders>
              <w:top w:val="single" w:sz="4" w:space="0" w:color="auto"/>
              <w:left w:val="nil"/>
              <w:bottom w:val="single" w:sz="4" w:space="0" w:color="auto"/>
              <w:right w:val="nil"/>
            </w:tcBorders>
            <w:shd w:val="clear" w:color="auto" w:fill="auto"/>
            <w:noWrap/>
          </w:tcPr>
          <w:p w14:paraId="516CCD1A" w14:textId="77777777" w:rsidR="000F6636" w:rsidRPr="0066782A" w:rsidRDefault="000F6636" w:rsidP="00484DB0">
            <w:pPr>
              <w:pStyle w:val="Bezriadkovania"/>
              <w:jc w:val="center"/>
              <w:rPr>
                <w:b/>
                <w:sz w:val="18"/>
                <w:szCs w:val="18"/>
              </w:rPr>
            </w:pPr>
            <w:r w:rsidRPr="00C518D0">
              <w:rPr>
                <w:sz w:val="18"/>
                <w:szCs w:val="18"/>
              </w:rPr>
              <w:t xml:space="preserve"> </w:t>
            </w:r>
            <w:r w:rsidRPr="001560B0">
              <w:rPr>
                <w:sz w:val="18"/>
                <w:szCs w:val="18"/>
              </w:rPr>
              <w:t>89</w:t>
            </w:r>
            <w:r w:rsidRPr="00C518D0">
              <w:rPr>
                <w:sz w:val="18"/>
                <w:szCs w:val="18"/>
              </w:rPr>
              <w:t xml:space="preserve"> </w:t>
            </w:r>
          </w:p>
        </w:tc>
      </w:tr>
    </w:tbl>
    <w:p w14:paraId="1F89CE7F" w14:textId="77777777" w:rsidR="000F6636" w:rsidRPr="008B6DB4" w:rsidRDefault="000F6636" w:rsidP="000F6636">
      <w:pPr>
        <w:jc w:val="right"/>
        <w:rPr>
          <w:i/>
          <w:sz w:val="16"/>
          <w:szCs w:val="16"/>
        </w:rPr>
      </w:pPr>
      <w:r w:rsidRPr="008B6DB4">
        <w:rPr>
          <w:i/>
          <w:sz w:val="16"/>
          <w:szCs w:val="16"/>
        </w:rPr>
        <w:t>Zdroj: MF SR</w:t>
      </w:r>
    </w:p>
    <w:p w14:paraId="04C3B25C" w14:textId="77777777" w:rsidR="000F6636" w:rsidRPr="008B6DB4" w:rsidRDefault="000F6636" w:rsidP="000F6636">
      <w:pPr>
        <w:jc w:val="both"/>
        <w:rPr>
          <w:i/>
          <w:sz w:val="16"/>
          <w:szCs w:val="16"/>
        </w:rPr>
      </w:pPr>
      <w:r w:rsidRPr="008B6DB4">
        <w:rPr>
          <w:i/>
          <w:sz w:val="16"/>
          <w:szCs w:val="16"/>
        </w:rPr>
        <w:t>Poznámka: V prípade opatrení súvisiacich s pandémiou COVID-19</w:t>
      </w:r>
      <w:r>
        <w:rPr>
          <w:i/>
          <w:sz w:val="16"/>
          <w:szCs w:val="16"/>
        </w:rPr>
        <w:t>, či pomoci vlády pri rastúcej cenovej hladine</w:t>
      </w:r>
      <w:r w:rsidRPr="008B6DB4">
        <w:rPr>
          <w:i/>
          <w:sz w:val="16"/>
          <w:szCs w:val="16"/>
        </w:rPr>
        <w:t xml:space="preserve"> ide o doznievanie vplyvov opatrení. Keďže išlo o jednorazové opatrenia, najskôr v inkrementálnom vyjadrení navyšovali výdavky (zhoršovali saldo) a následne sa ich efekt postupne zmenšoval (zlepšoval sa vplyv na saldo)</w:t>
      </w:r>
    </w:p>
    <w:p w14:paraId="629E2D31" w14:textId="77777777" w:rsidR="000F6636" w:rsidRPr="008B6DB4" w:rsidRDefault="000F6636" w:rsidP="000F6636">
      <w:pPr>
        <w:jc w:val="both"/>
        <w:rPr>
          <w:i/>
          <w:sz w:val="16"/>
          <w:szCs w:val="16"/>
        </w:rPr>
      </w:pPr>
      <w:r w:rsidRPr="008B6DB4">
        <w:rPr>
          <w:i/>
          <w:sz w:val="16"/>
          <w:szCs w:val="16"/>
        </w:rPr>
        <w:t xml:space="preserve">Pozn. 2: </w:t>
      </w:r>
      <w:r w:rsidRPr="008B6DB4">
        <w:rPr>
          <w:rFonts w:cs="Calibri"/>
          <w:color w:val="000000"/>
          <w:sz w:val="16"/>
          <w:szCs w:val="16"/>
        </w:rPr>
        <w:t>(-) zlepšuje bilanciu VS, (+) zhoršuje bilanciu VS</w:t>
      </w:r>
    </w:p>
    <w:p w14:paraId="69388C5C" w14:textId="77777777" w:rsidR="000F6636" w:rsidRPr="007C2DC9" w:rsidRDefault="000F6636" w:rsidP="000F6636">
      <w:pPr>
        <w:rPr>
          <w:b/>
          <w:color w:val="2C9ADC"/>
          <w:sz w:val="24"/>
          <w:szCs w:val="24"/>
          <w:highlight w:val="yellow"/>
        </w:rPr>
      </w:pPr>
      <w:r w:rsidRPr="007C2DC9">
        <w:rPr>
          <w:b/>
          <w:color w:val="2C9ADC"/>
          <w:sz w:val="24"/>
          <w:szCs w:val="24"/>
          <w:highlight w:val="yellow"/>
        </w:rPr>
        <w:br w:type="page"/>
      </w:r>
    </w:p>
    <w:p w14:paraId="396DA447" w14:textId="6AD03394" w:rsidR="000F6636" w:rsidRDefault="000F6636" w:rsidP="000F6636">
      <w:pPr>
        <w:rPr>
          <w:b/>
          <w:color w:val="2C9ADC"/>
          <w:sz w:val="24"/>
          <w:szCs w:val="24"/>
        </w:rPr>
      </w:pPr>
      <w:r w:rsidRPr="00B340F1">
        <w:rPr>
          <w:b/>
          <w:color w:val="2C9ADC"/>
          <w:sz w:val="24"/>
          <w:szCs w:val="24"/>
        </w:rPr>
        <w:lastRenderedPageBreak/>
        <w:t>Príloha 7 – Povinné tabuľky Programu stability</w:t>
      </w:r>
    </w:p>
    <w:p w14:paraId="5057B2DF" w14:textId="77777777" w:rsidR="00B35F2C" w:rsidRPr="00B340F1" w:rsidRDefault="00B35F2C" w:rsidP="000F6636">
      <w:pPr>
        <w:rPr>
          <w:b/>
          <w:color w:val="2C9ADC"/>
          <w:sz w:val="24"/>
          <w:szCs w:val="24"/>
        </w:rPr>
      </w:pPr>
    </w:p>
    <w:tbl>
      <w:tblPr>
        <w:tblW w:w="8986" w:type="dxa"/>
        <w:tblCellMar>
          <w:left w:w="70" w:type="dxa"/>
          <w:right w:w="70" w:type="dxa"/>
        </w:tblCellMar>
        <w:tblLook w:val="04A0" w:firstRow="1" w:lastRow="0" w:firstColumn="1" w:lastColumn="0" w:noHBand="0" w:noVBand="1"/>
      </w:tblPr>
      <w:tblGrid>
        <w:gridCol w:w="3085"/>
        <w:gridCol w:w="836"/>
        <w:gridCol w:w="885"/>
        <w:gridCol w:w="836"/>
        <w:gridCol w:w="836"/>
        <w:gridCol w:w="836"/>
        <w:gridCol w:w="836"/>
        <w:gridCol w:w="836"/>
      </w:tblGrid>
      <w:tr w:rsidR="000F6636" w:rsidRPr="00687546" w14:paraId="519F4577" w14:textId="77777777" w:rsidTr="00484DB0">
        <w:trPr>
          <w:trHeight w:val="283"/>
        </w:trPr>
        <w:tc>
          <w:tcPr>
            <w:tcW w:w="8986" w:type="dxa"/>
            <w:gridSpan w:val="8"/>
            <w:tcBorders>
              <w:top w:val="nil"/>
              <w:left w:val="nil"/>
              <w:bottom w:val="single" w:sz="8" w:space="0" w:color="auto"/>
              <w:right w:val="nil"/>
            </w:tcBorders>
            <w:shd w:val="clear" w:color="auto" w:fill="auto"/>
            <w:noWrap/>
            <w:vAlign w:val="center"/>
            <w:hideMark/>
          </w:tcPr>
          <w:p w14:paraId="3E43FF20" w14:textId="77777777" w:rsidR="000F6636" w:rsidRPr="00687546" w:rsidRDefault="000F6636" w:rsidP="00484DB0">
            <w:pPr>
              <w:rPr>
                <w:rFonts w:cs="Times New Roman"/>
                <w:b/>
                <w:bCs/>
                <w:color w:val="5B9BD5"/>
                <w:sz w:val="20"/>
              </w:rPr>
            </w:pPr>
            <w:bookmarkStart w:id="244" w:name="_Toc480905410"/>
            <w:bookmarkStart w:id="245" w:name="_Toc40186688"/>
            <w:bookmarkStart w:id="246" w:name="_Toc71622457"/>
            <w:r w:rsidRPr="00687546">
              <w:rPr>
                <w:rFonts w:cs="Times New Roman"/>
                <w:b/>
                <w:bCs/>
                <w:color w:val="5B9BD5"/>
                <w:sz w:val="20"/>
              </w:rPr>
              <w:t>Tabuľka 1a – Makroekonomický prehľad (ESA 2010, mld. eur)</w:t>
            </w:r>
            <w:bookmarkEnd w:id="244"/>
            <w:bookmarkEnd w:id="245"/>
            <w:bookmarkEnd w:id="246"/>
            <w:r w:rsidRPr="00687546">
              <w:rPr>
                <w:rFonts w:cs="Times New Roman"/>
                <w:b/>
                <w:bCs/>
                <w:color w:val="5B9BD5"/>
                <w:sz w:val="20"/>
              </w:rPr>
              <w:t xml:space="preserve"> </w:t>
            </w:r>
          </w:p>
        </w:tc>
      </w:tr>
      <w:tr w:rsidR="000F6636" w:rsidRPr="00687546" w14:paraId="76F06BC3" w14:textId="77777777" w:rsidTr="00484DB0">
        <w:trPr>
          <w:trHeight w:val="283"/>
        </w:trPr>
        <w:tc>
          <w:tcPr>
            <w:tcW w:w="3085" w:type="dxa"/>
            <w:vMerge w:val="restart"/>
            <w:tcBorders>
              <w:top w:val="nil"/>
              <w:left w:val="nil"/>
              <w:bottom w:val="single" w:sz="6" w:space="0" w:color="auto"/>
              <w:right w:val="nil"/>
            </w:tcBorders>
            <w:shd w:val="clear" w:color="auto" w:fill="auto"/>
            <w:vAlign w:val="bottom"/>
            <w:hideMark/>
          </w:tcPr>
          <w:p w14:paraId="6638D413" w14:textId="77777777" w:rsidR="000F6636" w:rsidRPr="00687546" w:rsidRDefault="000F6636" w:rsidP="00484DB0">
            <w:pPr>
              <w:rPr>
                <w:rFonts w:cs="Times New Roman"/>
                <w:color w:val="000000"/>
                <w:sz w:val="18"/>
                <w:szCs w:val="18"/>
              </w:rPr>
            </w:pPr>
            <w:r w:rsidRPr="00687546">
              <w:rPr>
                <w:rFonts w:cs="Times New Roman"/>
                <w:color w:val="000000"/>
                <w:sz w:val="18"/>
                <w:szCs w:val="18"/>
              </w:rPr>
              <w:t> </w:t>
            </w:r>
          </w:p>
        </w:tc>
        <w:tc>
          <w:tcPr>
            <w:tcW w:w="836" w:type="dxa"/>
            <w:vMerge w:val="restart"/>
            <w:tcBorders>
              <w:top w:val="nil"/>
              <w:left w:val="nil"/>
              <w:bottom w:val="single" w:sz="6" w:space="0" w:color="auto"/>
              <w:right w:val="nil"/>
            </w:tcBorders>
            <w:shd w:val="clear" w:color="auto" w:fill="auto"/>
            <w:vAlign w:val="center"/>
            <w:hideMark/>
          </w:tcPr>
          <w:p w14:paraId="2D2CC1AF" w14:textId="77777777" w:rsidR="000F6636" w:rsidRPr="00687546" w:rsidRDefault="000F6636" w:rsidP="00484DB0">
            <w:pPr>
              <w:jc w:val="center"/>
              <w:rPr>
                <w:rFonts w:cs="Times New Roman"/>
                <w:color w:val="000000"/>
                <w:sz w:val="18"/>
                <w:szCs w:val="18"/>
              </w:rPr>
            </w:pPr>
            <w:r w:rsidRPr="00687546">
              <w:rPr>
                <w:rFonts w:cs="Times New Roman"/>
                <w:color w:val="000000"/>
                <w:sz w:val="18"/>
                <w:szCs w:val="18"/>
              </w:rPr>
              <w:t>ESA kód</w:t>
            </w:r>
          </w:p>
        </w:tc>
        <w:tc>
          <w:tcPr>
            <w:tcW w:w="885" w:type="dxa"/>
            <w:tcBorders>
              <w:top w:val="nil"/>
              <w:left w:val="nil"/>
              <w:bottom w:val="nil"/>
              <w:right w:val="nil"/>
            </w:tcBorders>
            <w:shd w:val="clear" w:color="auto" w:fill="auto"/>
            <w:vAlign w:val="center"/>
            <w:hideMark/>
          </w:tcPr>
          <w:p w14:paraId="290F15D1" w14:textId="77777777" w:rsidR="000F6636" w:rsidRPr="00687546" w:rsidRDefault="000F6636" w:rsidP="00484DB0">
            <w:pPr>
              <w:jc w:val="center"/>
              <w:rPr>
                <w:rFonts w:cs="Times New Roman"/>
                <w:b/>
                <w:bCs/>
                <w:color w:val="000000"/>
                <w:sz w:val="18"/>
                <w:szCs w:val="18"/>
              </w:rPr>
            </w:pPr>
            <w:r w:rsidRPr="00687546">
              <w:rPr>
                <w:b/>
                <w:bCs/>
                <w:color w:val="000000"/>
                <w:sz w:val="18"/>
                <w:szCs w:val="18"/>
              </w:rPr>
              <w:t>2023</w:t>
            </w:r>
          </w:p>
        </w:tc>
        <w:tc>
          <w:tcPr>
            <w:tcW w:w="836" w:type="dxa"/>
            <w:tcBorders>
              <w:top w:val="nil"/>
              <w:left w:val="nil"/>
              <w:bottom w:val="nil"/>
              <w:right w:val="nil"/>
            </w:tcBorders>
            <w:shd w:val="clear" w:color="auto" w:fill="auto"/>
            <w:vAlign w:val="center"/>
            <w:hideMark/>
          </w:tcPr>
          <w:p w14:paraId="42C4B217" w14:textId="77777777" w:rsidR="000F6636" w:rsidRPr="00687546" w:rsidRDefault="000F6636" w:rsidP="00484DB0">
            <w:pPr>
              <w:jc w:val="center"/>
              <w:rPr>
                <w:b/>
                <w:bCs/>
                <w:color w:val="000000"/>
                <w:sz w:val="18"/>
                <w:szCs w:val="18"/>
              </w:rPr>
            </w:pPr>
            <w:r w:rsidRPr="00687546">
              <w:rPr>
                <w:b/>
                <w:bCs/>
                <w:color w:val="000000"/>
                <w:sz w:val="18"/>
                <w:szCs w:val="18"/>
              </w:rPr>
              <w:t>2023</w:t>
            </w:r>
          </w:p>
        </w:tc>
        <w:tc>
          <w:tcPr>
            <w:tcW w:w="836" w:type="dxa"/>
            <w:tcBorders>
              <w:top w:val="nil"/>
              <w:left w:val="nil"/>
              <w:bottom w:val="nil"/>
              <w:right w:val="nil"/>
            </w:tcBorders>
            <w:shd w:val="clear" w:color="auto" w:fill="auto"/>
            <w:vAlign w:val="center"/>
            <w:hideMark/>
          </w:tcPr>
          <w:p w14:paraId="0EF0FAEB" w14:textId="77777777" w:rsidR="000F6636" w:rsidRPr="00687546" w:rsidRDefault="000F6636" w:rsidP="00484DB0">
            <w:pPr>
              <w:jc w:val="center"/>
              <w:rPr>
                <w:b/>
                <w:bCs/>
                <w:color w:val="000000"/>
                <w:sz w:val="18"/>
                <w:szCs w:val="18"/>
              </w:rPr>
            </w:pPr>
            <w:r w:rsidRPr="00687546">
              <w:rPr>
                <w:b/>
                <w:bCs/>
                <w:color w:val="000000"/>
                <w:sz w:val="18"/>
                <w:szCs w:val="18"/>
              </w:rPr>
              <w:t>2024</w:t>
            </w:r>
          </w:p>
        </w:tc>
        <w:tc>
          <w:tcPr>
            <w:tcW w:w="836" w:type="dxa"/>
            <w:tcBorders>
              <w:top w:val="nil"/>
              <w:left w:val="nil"/>
              <w:bottom w:val="nil"/>
              <w:right w:val="nil"/>
            </w:tcBorders>
            <w:shd w:val="clear" w:color="auto" w:fill="auto"/>
            <w:vAlign w:val="center"/>
            <w:hideMark/>
          </w:tcPr>
          <w:p w14:paraId="4DD6C5B0" w14:textId="77777777" w:rsidR="000F6636" w:rsidRPr="00687546" w:rsidRDefault="000F6636" w:rsidP="00484DB0">
            <w:pPr>
              <w:jc w:val="center"/>
              <w:rPr>
                <w:b/>
                <w:bCs/>
                <w:color w:val="000000"/>
                <w:sz w:val="18"/>
                <w:szCs w:val="18"/>
              </w:rPr>
            </w:pPr>
            <w:r w:rsidRPr="00687546">
              <w:rPr>
                <w:b/>
                <w:bCs/>
                <w:color w:val="000000"/>
                <w:sz w:val="18"/>
                <w:szCs w:val="18"/>
              </w:rPr>
              <w:t>2025</w:t>
            </w:r>
          </w:p>
        </w:tc>
        <w:tc>
          <w:tcPr>
            <w:tcW w:w="836" w:type="dxa"/>
            <w:tcBorders>
              <w:top w:val="nil"/>
              <w:left w:val="nil"/>
              <w:bottom w:val="nil"/>
              <w:right w:val="nil"/>
            </w:tcBorders>
            <w:shd w:val="clear" w:color="auto" w:fill="auto"/>
            <w:vAlign w:val="center"/>
            <w:hideMark/>
          </w:tcPr>
          <w:p w14:paraId="436AD33E" w14:textId="77777777" w:rsidR="000F6636" w:rsidRPr="00687546" w:rsidRDefault="000F6636" w:rsidP="00484DB0">
            <w:pPr>
              <w:jc w:val="center"/>
              <w:rPr>
                <w:b/>
                <w:bCs/>
                <w:color w:val="000000"/>
                <w:sz w:val="18"/>
                <w:szCs w:val="18"/>
              </w:rPr>
            </w:pPr>
            <w:r w:rsidRPr="00687546">
              <w:rPr>
                <w:b/>
                <w:bCs/>
                <w:color w:val="000000"/>
                <w:sz w:val="18"/>
                <w:szCs w:val="18"/>
              </w:rPr>
              <w:t>2026</w:t>
            </w:r>
          </w:p>
        </w:tc>
        <w:tc>
          <w:tcPr>
            <w:tcW w:w="836" w:type="dxa"/>
            <w:tcBorders>
              <w:top w:val="nil"/>
              <w:left w:val="nil"/>
              <w:bottom w:val="nil"/>
              <w:right w:val="nil"/>
            </w:tcBorders>
            <w:shd w:val="clear" w:color="auto" w:fill="auto"/>
            <w:vAlign w:val="center"/>
            <w:hideMark/>
          </w:tcPr>
          <w:p w14:paraId="7436D759" w14:textId="77777777" w:rsidR="000F6636" w:rsidRPr="00687546" w:rsidRDefault="000F6636" w:rsidP="00484DB0">
            <w:pPr>
              <w:jc w:val="center"/>
              <w:rPr>
                <w:b/>
                <w:bCs/>
                <w:color w:val="000000"/>
                <w:sz w:val="18"/>
                <w:szCs w:val="18"/>
              </w:rPr>
            </w:pPr>
            <w:r w:rsidRPr="00687546">
              <w:rPr>
                <w:b/>
                <w:bCs/>
                <w:color w:val="000000"/>
                <w:sz w:val="18"/>
                <w:szCs w:val="18"/>
              </w:rPr>
              <w:t>2027</w:t>
            </w:r>
          </w:p>
        </w:tc>
      </w:tr>
      <w:tr w:rsidR="000F6636" w:rsidRPr="00687546" w14:paraId="0CF14286" w14:textId="77777777" w:rsidTr="00484DB0">
        <w:trPr>
          <w:trHeight w:val="283"/>
        </w:trPr>
        <w:tc>
          <w:tcPr>
            <w:tcW w:w="3085" w:type="dxa"/>
            <w:vMerge/>
            <w:tcBorders>
              <w:top w:val="nil"/>
              <w:left w:val="nil"/>
              <w:bottom w:val="single" w:sz="6" w:space="0" w:color="auto"/>
              <w:right w:val="nil"/>
            </w:tcBorders>
            <w:vAlign w:val="center"/>
            <w:hideMark/>
          </w:tcPr>
          <w:p w14:paraId="0063108E" w14:textId="77777777" w:rsidR="000F6636" w:rsidRPr="00687546" w:rsidRDefault="000F6636" w:rsidP="00484DB0">
            <w:pPr>
              <w:rPr>
                <w:rFonts w:cs="Times New Roman"/>
                <w:color w:val="000000"/>
                <w:sz w:val="18"/>
                <w:szCs w:val="18"/>
              </w:rPr>
            </w:pPr>
          </w:p>
        </w:tc>
        <w:tc>
          <w:tcPr>
            <w:tcW w:w="836" w:type="dxa"/>
            <w:vMerge/>
            <w:tcBorders>
              <w:top w:val="nil"/>
              <w:left w:val="nil"/>
              <w:bottom w:val="single" w:sz="6" w:space="0" w:color="auto"/>
              <w:right w:val="nil"/>
            </w:tcBorders>
            <w:vAlign w:val="center"/>
            <w:hideMark/>
          </w:tcPr>
          <w:p w14:paraId="737EBCAC" w14:textId="77777777" w:rsidR="000F6636" w:rsidRPr="00687546" w:rsidRDefault="000F6636" w:rsidP="00484DB0">
            <w:pPr>
              <w:rPr>
                <w:rFonts w:cs="Times New Roman"/>
                <w:color w:val="000000"/>
                <w:sz w:val="18"/>
                <w:szCs w:val="18"/>
              </w:rPr>
            </w:pPr>
          </w:p>
        </w:tc>
        <w:tc>
          <w:tcPr>
            <w:tcW w:w="885" w:type="dxa"/>
            <w:tcBorders>
              <w:top w:val="nil"/>
              <w:left w:val="nil"/>
              <w:bottom w:val="single" w:sz="8" w:space="0" w:color="auto"/>
              <w:right w:val="nil"/>
            </w:tcBorders>
            <w:shd w:val="clear" w:color="auto" w:fill="auto"/>
            <w:noWrap/>
            <w:vAlign w:val="bottom"/>
            <w:hideMark/>
          </w:tcPr>
          <w:p w14:paraId="60190F51" w14:textId="77777777" w:rsidR="000F6636" w:rsidRPr="00687546" w:rsidRDefault="000F6636" w:rsidP="00484DB0">
            <w:pPr>
              <w:jc w:val="center"/>
              <w:rPr>
                <w:rFonts w:cs="Times New Roman"/>
                <w:color w:val="000000"/>
                <w:sz w:val="18"/>
                <w:szCs w:val="18"/>
              </w:rPr>
            </w:pPr>
            <w:r w:rsidRPr="00687546">
              <w:rPr>
                <w:color w:val="000000"/>
                <w:sz w:val="18"/>
                <w:szCs w:val="18"/>
              </w:rPr>
              <w:t>Skutočnosť</w:t>
            </w:r>
          </w:p>
        </w:tc>
        <w:tc>
          <w:tcPr>
            <w:tcW w:w="836" w:type="dxa"/>
            <w:tcBorders>
              <w:top w:val="nil"/>
              <w:left w:val="nil"/>
              <w:bottom w:val="single" w:sz="8" w:space="0" w:color="auto"/>
              <w:right w:val="nil"/>
            </w:tcBorders>
            <w:shd w:val="clear" w:color="auto" w:fill="auto"/>
            <w:vAlign w:val="bottom"/>
            <w:hideMark/>
          </w:tcPr>
          <w:p w14:paraId="3C6D6FD1" w14:textId="77777777" w:rsidR="000F6636" w:rsidRPr="00687546" w:rsidRDefault="000F6636" w:rsidP="00484DB0">
            <w:pPr>
              <w:jc w:val="center"/>
              <w:rPr>
                <w:rFonts w:cs="Times New Roman"/>
                <w:color w:val="000000"/>
                <w:sz w:val="18"/>
                <w:szCs w:val="18"/>
              </w:rPr>
            </w:pPr>
            <w:r w:rsidRPr="00687546">
              <w:rPr>
                <w:color w:val="000000"/>
                <w:sz w:val="18"/>
                <w:szCs w:val="18"/>
              </w:rPr>
              <w:t>miera rastu</w:t>
            </w:r>
          </w:p>
        </w:tc>
        <w:tc>
          <w:tcPr>
            <w:tcW w:w="836" w:type="dxa"/>
            <w:tcBorders>
              <w:top w:val="nil"/>
              <w:left w:val="nil"/>
              <w:bottom w:val="single" w:sz="8" w:space="0" w:color="auto"/>
              <w:right w:val="nil"/>
            </w:tcBorders>
            <w:shd w:val="clear" w:color="auto" w:fill="auto"/>
            <w:vAlign w:val="bottom"/>
            <w:hideMark/>
          </w:tcPr>
          <w:p w14:paraId="4D677327" w14:textId="77777777" w:rsidR="000F6636" w:rsidRPr="00687546" w:rsidRDefault="000F6636" w:rsidP="00484DB0">
            <w:pPr>
              <w:jc w:val="center"/>
              <w:rPr>
                <w:rFonts w:cs="Times New Roman"/>
                <w:color w:val="000000"/>
                <w:sz w:val="18"/>
                <w:szCs w:val="18"/>
              </w:rPr>
            </w:pPr>
            <w:r w:rsidRPr="00687546">
              <w:rPr>
                <w:color w:val="000000"/>
                <w:sz w:val="18"/>
                <w:szCs w:val="18"/>
              </w:rPr>
              <w:t>miera rastu</w:t>
            </w:r>
          </w:p>
        </w:tc>
        <w:tc>
          <w:tcPr>
            <w:tcW w:w="836" w:type="dxa"/>
            <w:tcBorders>
              <w:top w:val="nil"/>
              <w:left w:val="nil"/>
              <w:bottom w:val="single" w:sz="8" w:space="0" w:color="auto"/>
              <w:right w:val="nil"/>
            </w:tcBorders>
            <w:shd w:val="clear" w:color="auto" w:fill="auto"/>
            <w:vAlign w:val="bottom"/>
            <w:hideMark/>
          </w:tcPr>
          <w:p w14:paraId="14B96AEC" w14:textId="77777777" w:rsidR="000F6636" w:rsidRPr="00687546" w:rsidRDefault="000F6636" w:rsidP="00484DB0">
            <w:pPr>
              <w:jc w:val="center"/>
              <w:rPr>
                <w:rFonts w:cs="Times New Roman"/>
                <w:color w:val="000000"/>
                <w:sz w:val="18"/>
                <w:szCs w:val="18"/>
              </w:rPr>
            </w:pPr>
            <w:r w:rsidRPr="00687546">
              <w:rPr>
                <w:color w:val="000000"/>
                <w:sz w:val="18"/>
                <w:szCs w:val="18"/>
              </w:rPr>
              <w:t>miera rastu</w:t>
            </w:r>
          </w:p>
        </w:tc>
        <w:tc>
          <w:tcPr>
            <w:tcW w:w="836" w:type="dxa"/>
            <w:tcBorders>
              <w:top w:val="nil"/>
              <w:left w:val="nil"/>
              <w:bottom w:val="single" w:sz="8" w:space="0" w:color="auto"/>
              <w:right w:val="nil"/>
            </w:tcBorders>
            <w:shd w:val="clear" w:color="auto" w:fill="auto"/>
            <w:vAlign w:val="bottom"/>
            <w:hideMark/>
          </w:tcPr>
          <w:p w14:paraId="2847ABB7" w14:textId="77777777" w:rsidR="000F6636" w:rsidRPr="00687546" w:rsidRDefault="000F6636" w:rsidP="00484DB0">
            <w:pPr>
              <w:jc w:val="center"/>
              <w:rPr>
                <w:rFonts w:cs="Times New Roman"/>
                <w:color w:val="000000"/>
                <w:sz w:val="18"/>
                <w:szCs w:val="18"/>
              </w:rPr>
            </w:pPr>
            <w:r w:rsidRPr="00687546">
              <w:rPr>
                <w:color w:val="000000"/>
                <w:sz w:val="18"/>
                <w:szCs w:val="18"/>
              </w:rPr>
              <w:t>miera rastu</w:t>
            </w:r>
          </w:p>
        </w:tc>
        <w:tc>
          <w:tcPr>
            <w:tcW w:w="836" w:type="dxa"/>
            <w:tcBorders>
              <w:top w:val="nil"/>
              <w:left w:val="nil"/>
              <w:bottom w:val="single" w:sz="8" w:space="0" w:color="auto"/>
              <w:right w:val="nil"/>
            </w:tcBorders>
            <w:shd w:val="clear" w:color="auto" w:fill="auto"/>
            <w:vAlign w:val="bottom"/>
            <w:hideMark/>
          </w:tcPr>
          <w:p w14:paraId="609345FF" w14:textId="77777777" w:rsidR="000F6636" w:rsidRPr="00687546" w:rsidRDefault="000F6636" w:rsidP="00484DB0">
            <w:pPr>
              <w:jc w:val="center"/>
              <w:rPr>
                <w:rFonts w:cs="Times New Roman"/>
                <w:color w:val="000000"/>
                <w:sz w:val="18"/>
                <w:szCs w:val="18"/>
              </w:rPr>
            </w:pPr>
            <w:r w:rsidRPr="00687546">
              <w:rPr>
                <w:color w:val="000000"/>
                <w:sz w:val="18"/>
                <w:szCs w:val="18"/>
              </w:rPr>
              <w:t>miera rastu</w:t>
            </w:r>
          </w:p>
        </w:tc>
      </w:tr>
      <w:tr w:rsidR="000F6636" w:rsidRPr="00687546" w14:paraId="2A6F6AD9" w14:textId="77777777" w:rsidTr="00484DB0">
        <w:trPr>
          <w:trHeight w:val="283"/>
        </w:trPr>
        <w:tc>
          <w:tcPr>
            <w:tcW w:w="3085" w:type="dxa"/>
            <w:tcBorders>
              <w:top w:val="nil"/>
              <w:left w:val="nil"/>
              <w:bottom w:val="nil"/>
              <w:right w:val="nil"/>
            </w:tcBorders>
            <w:shd w:val="clear" w:color="auto" w:fill="auto"/>
            <w:vAlign w:val="center"/>
            <w:hideMark/>
          </w:tcPr>
          <w:p w14:paraId="1E91BDF6" w14:textId="77777777" w:rsidR="000F6636" w:rsidRPr="00687546" w:rsidRDefault="000F6636" w:rsidP="00484DB0">
            <w:pPr>
              <w:rPr>
                <w:rFonts w:cs="Times New Roman"/>
                <w:color w:val="000000"/>
                <w:sz w:val="18"/>
                <w:szCs w:val="18"/>
              </w:rPr>
            </w:pPr>
            <w:r w:rsidRPr="00687546">
              <w:rPr>
                <w:color w:val="000000"/>
                <w:sz w:val="18"/>
                <w:szCs w:val="18"/>
              </w:rPr>
              <w:t>1. Reálne HDP</w:t>
            </w:r>
          </w:p>
        </w:tc>
        <w:tc>
          <w:tcPr>
            <w:tcW w:w="836" w:type="dxa"/>
            <w:tcBorders>
              <w:top w:val="nil"/>
              <w:left w:val="nil"/>
              <w:bottom w:val="nil"/>
              <w:right w:val="nil"/>
            </w:tcBorders>
            <w:shd w:val="clear" w:color="auto" w:fill="auto"/>
            <w:vAlign w:val="center"/>
            <w:hideMark/>
          </w:tcPr>
          <w:p w14:paraId="58315172" w14:textId="77777777" w:rsidR="000F6636" w:rsidRPr="00687546" w:rsidRDefault="000F6636" w:rsidP="00484DB0">
            <w:pPr>
              <w:jc w:val="center"/>
              <w:rPr>
                <w:rFonts w:cs="Times New Roman"/>
                <w:color w:val="000000"/>
                <w:sz w:val="18"/>
                <w:szCs w:val="18"/>
              </w:rPr>
            </w:pPr>
            <w:r w:rsidRPr="00687546">
              <w:rPr>
                <w:color w:val="000000"/>
                <w:sz w:val="18"/>
                <w:szCs w:val="18"/>
              </w:rPr>
              <w:t>B1*g</w:t>
            </w:r>
          </w:p>
        </w:tc>
        <w:tc>
          <w:tcPr>
            <w:tcW w:w="885" w:type="dxa"/>
            <w:tcBorders>
              <w:top w:val="nil"/>
              <w:left w:val="nil"/>
              <w:bottom w:val="nil"/>
              <w:right w:val="nil"/>
            </w:tcBorders>
            <w:shd w:val="clear" w:color="000000" w:fill="FFFFFF"/>
            <w:vAlign w:val="center"/>
            <w:hideMark/>
          </w:tcPr>
          <w:p w14:paraId="770E5C66" w14:textId="77777777" w:rsidR="000F6636" w:rsidRPr="00687546" w:rsidRDefault="000F6636" w:rsidP="00484DB0">
            <w:pPr>
              <w:jc w:val="center"/>
              <w:rPr>
                <w:rFonts w:cs="Times New Roman"/>
                <w:color w:val="000000"/>
                <w:sz w:val="18"/>
                <w:szCs w:val="18"/>
              </w:rPr>
            </w:pPr>
            <w:r w:rsidRPr="00687546">
              <w:rPr>
                <w:color w:val="000000"/>
                <w:sz w:val="18"/>
                <w:szCs w:val="18"/>
              </w:rPr>
              <w:t>94,0</w:t>
            </w:r>
          </w:p>
        </w:tc>
        <w:tc>
          <w:tcPr>
            <w:tcW w:w="836" w:type="dxa"/>
            <w:tcBorders>
              <w:top w:val="nil"/>
              <w:left w:val="nil"/>
              <w:bottom w:val="nil"/>
              <w:right w:val="nil"/>
            </w:tcBorders>
            <w:shd w:val="clear" w:color="000000" w:fill="FFFFFF"/>
            <w:vAlign w:val="center"/>
            <w:hideMark/>
          </w:tcPr>
          <w:p w14:paraId="7CFBBB06" w14:textId="77777777" w:rsidR="000F6636" w:rsidRPr="00687546" w:rsidRDefault="000F6636" w:rsidP="00484DB0">
            <w:pPr>
              <w:jc w:val="center"/>
              <w:rPr>
                <w:color w:val="000000"/>
                <w:sz w:val="18"/>
                <w:szCs w:val="18"/>
              </w:rPr>
            </w:pPr>
            <w:r w:rsidRPr="00687546">
              <w:rPr>
                <w:color w:val="000000"/>
                <w:sz w:val="18"/>
                <w:szCs w:val="18"/>
              </w:rPr>
              <w:t>1,6</w:t>
            </w:r>
          </w:p>
        </w:tc>
        <w:tc>
          <w:tcPr>
            <w:tcW w:w="836" w:type="dxa"/>
            <w:tcBorders>
              <w:top w:val="nil"/>
              <w:left w:val="nil"/>
              <w:bottom w:val="nil"/>
              <w:right w:val="nil"/>
            </w:tcBorders>
            <w:shd w:val="clear" w:color="auto" w:fill="auto"/>
            <w:vAlign w:val="center"/>
            <w:hideMark/>
          </w:tcPr>
          <w:p w14:paraId="6042CCB0" w14:textId="77777777" w:rsidR="000F6636" w:rsidRPr="00687546" w:rsidRDefault="000F6636" w:rsidP="00484DB0">
            <w:pPr>
              <w:jc w:val="center"/>
              <w:rPr>
                <w:color w:val="000000"/>
                <w:sz w:val="18"/>
                <w:szCs w:val="18"/>
              </w:rPr>
            </w:pPr>
            <w:r w:rsidRPr="00687546">
              <w:rPr>
                <w:color w:val="000000"/>
                <w:sz w:val="18"/>
                <w:szCs w:val="18"/>
              </w:rPr>
              <w:t>2,0</w:t>
            </w:r>
          </w:p>
        </w:tc>
        <w:tc>
          <w:tcPr>
            <w:tcW w:w="836" w:type="dxa"/>
            <w:tcBorders>
              <w:top w:val="nil"/>
              <w:left w:val="nil"/>
              <w:bottom w:val="nil"/>
              <w:right w:val="nil"/>
            </w:tcBorders>
            <w:shd w:val="clear" w:color="auto" w:fill="auto"/>
            <w:vAlign w:val="center"/>
            <w:hideMark/>
          </w:tcPr>
          <w:p w14:paraId="7DB37159" w14:textId="77777777" w:rsidR="000F6636" w:rsidRPr="00687546" w:rsidRDefault="000F6636" w:rsidP="00484DB0">
            <w:pPr>
              <w:jc w:val="center"/>
              <w:rPr>
                <w:color w:val="000000"/>
                <w:sz w:val="18"/>
                <w:szCs w:val="18"/>
              </w:rPr>
            </w:pPr>
            <w:r w:rsidRPr="00687546">
              <w:rPr>
                <w:color w:val="000000"/>
                <w:sz w:val="18"/>
                <w:szCs w:val="18"/>
              </w:rPr>
              <w:t>3,1</w:t>
            </w:r>
          </w:p>
        </w:tc>
        <w:tc>
          <w:tcPr>
            <w:tcW w:w="836" w:type="dxa"/>
            <w:tcBorders>
              <w:top w:val="nil"/>
              <w:left w:val="nil"/>
              <w:bottom w:val="nil"/>
              <w:right w:val="nil"/>
            </w:tcBorders>
            <w:shd w:val="clear" w:color="auto" w:fill="auto"/>
            <w:vAlign w:val="center"/>
            <w:hideMark/>
          </w:tcPr>
          <w:p w14:paraId="6810555F" w14:textId="77777777" w:rsidR="000F6636" w:rsidRPr="00687546" w:rsidRDefault="000F6636" w:rsidP="00484DB0">
            <w:pPr>
              <w:jc w:val="center"/>
              <w:rPr>
                <w:color w:val="000000"/>
                <w:sz w:val="18"/>
                <w:szCs w:val="18"/>
              </w:rPr>
            </w:pPr>
            <w:r w:rsidRPr="00687546">
              <w:rPr>
                <w:color w:val="000000"/>
                <w:sz w:val="18"/>
                <w:szCs w:val="18"/>
              </w:rPr>
              <w:t>2,2</w:t>
            </w:r>
          </w:p>
        </w:tc>
        <w:tc>
          <w:tcPr>
            <w:tcW w:w="836" w:type="dxa"/>
            <w:tcBorders>
              <w:top w:val="nil"/>
              <w:left w:val="nil"/>
              <w:bottom w:val="nil"/>
              <w:right w:val="nil"/>
            </w:tcBorders>
            <w:shd w:val="clear" w:color="auto" w:fill="auto"/>
            <w:vAlign w:val="center"/>
            <w:hideMark/>
          </w:tcPr>
          <w:p w14:paraId="55A80908" w14:textId="77777777" w:rsidR="000F6636" w:rsidRPr="00687546" w:rsidRDefault="000F6636" w:rsidP="00484DB0">
            <w:pPr>
              <w:jc w:val="center"/>
              <w:rPr>
                <w:color w:val="000000"/>
                <w:sz w:val="18"/>
                <w:szCs w:val="18"/>
              </w:rPr>
            </w:pPr>
            <w:r w:rsidRPr="00687546">
              <w:rPr>
                <w:color w:val="000000"/>
                <w:sz w:val="18"/>
                <w:szCs w:val="18"/>
              </w:rPr>
              <w:t>1,6</w:t>
            </w:r>
          </w:p>
        </w:tc>
      </w:tr>
      <w:tr w:rsidR="000F6636" w:rsidRPr="00687546" w14:paraId="451B1A12" w14:textId="77777777" w:rsidTr="00484DB0">
        <w:trPr>
          <w:trHeight w:val="283"/>
        </w:trPr>
        <w:tc>
          <w:tcPr>
            <w:tcW w:w="3085" w:type="dxa"/>
            <w:tcBorders>
              <w:top w:val="nil"/>
              <w:left w:val="nil"/>
              <w:bottom w:val="nil"/>
              <w:right w:val="nil"/>
            </w:tcBorders>
            <w:shd w:val="clear" w:color="auto" w:fill="auto"/>
            <w:vAlign w:val="center"/>
            <w:hideMark/>
          </w:tcPr>
          <w:p w14:paraId="0F62D2BD" w14:textId="77777777" w:rsidR="000F6636" w:rsidRPr="00687546" w:rsidRDefault="000F6636" w:rsidP="00484DB0">
            <w:pPr>
              <w:rPr>
                <w:rFonts w:cs="Times New Roman"/>
                <w:color w:val="000000"/>
                <w:sz w:val="18"/>
                <w:szCs w:val="18"/>
              </w:rPr>
            </w:pPr>
            <w:r w:rsidRPr="00687546">
              <w:rPr>
                <w:color w:val="000000"/>
                <w:sz w:val="18"/>
                <w:szCs w:val="18"/>
              </w:rPr>
              <w:t>2. Nominálne HDP</w:t>
            </w:r>
            <w:r>
              <w:rPr>
                <w:color w:val="000000"/>
                <w:sz w:val="18"/>
                <w:szCs w:val="18"/>
              </w:rPr>
              <w:t>*</w:t>
            </w:r>
          </w:p>
        </w:tc>
        <w:tc>
          <w:tcPr>
            <w:tcW w:w="836" w:type="dxa"/>
            <w:tcBorders>
              <w:top w:val="nil"/>
              <w:left w:val="nil"/>
              <w:bottom w:val="nil"/>
              <w:right w:val="nil"/>
            </w:tcBorders>
            <w:shd w:val="clear" w:color="auto" w:fill="auto"/>
            <w:vAlign w:val="center"/>
            <w:hideMark/>
          </w:tcPr>
          <w:p w14:paraId="5D3B5036" w14:textId="77777777" w:rsidR="000F6636" w:rsidRPr="00687546" w:rsidRDefault="000F6636" w:rsidP="00484DB0">
            <w:pPr>
              <w:jc w:val="center"/>
              <w:rPr>
                <w:rFonts w:cs="Times New Roman"/>
                <w:color w:val="000000"/>
                <w:sz w:val="18"/>
                <w:szCs w:val="18"/>
              </w:rPr>
            </w:pPr>
            <w:r w:rsidRPr="00687546">
              <w:rPr>
                <w:color w:val="000000"/>
                <w:sz w:val="18"/>
                <w:szCs w:val="18"/>
              </w:rPr>
              <w:t>B1*g</w:t>
            </w:r>
          </w:p>
        </w:tc>
        <w:tc>
          <w:tcPr>
            <w:tcW w:w="885" w:type="dxa"/>
            <w:tcBorders>
              <w:top w:val="nil"/>
              <w:left w:val="nil"/>
              <w:bottom w:val="nil"/>
              <w:right w:val="nil"/>
            </w:tcBorders>
            <w:shd w:val="clear" w:color="000000" w:fill="FFFFFF"/>
            <w:vAlign w:val="center"/>
            <w:hideMark/>
          </w:tcPr>
          <w:p w14:paraId="47810042" w14:textId="77777777" w:rsidR="000F6636" w:rsidRPr="00687546" w:rsidRDefault="000F6636" w:rsidP="00484DB0">
            <w:pPr>
              <w:jc w:val="center"/>
              <w:rPr>
                <w:color w:val="000000"/>
                <w:sz w:val="18"/>
                <w:szCs w:val="18"/>
              </w:rPr>
            </w:pPr>
            <w:r w:rsidRPr="00687546">
              <w:rPr>
                <w:color w:val="000000"/>
                <w:sz w:val="18"/>
                <w:szCs w:val="18"/>
              </w:rPr>
              <w:t>122,8</w:t>
            </w:r>
          </w:p>
        </w:tc>
        <w:tc>
          <w:tcPr>
            <w:tcW w:w="836" w:type="dxa"/>
            <w:tcBorders>
              <w:top w:val="nil"/>
              <w:left w:val="nil"/>
              <w:bottom w:val="nil"/>
              <w:right w:val="nil"/>
            </w:tcBorders>
            <w:shd w:val="clear" w:color="000000" w:fill="FFFFFF"/>
            <w:vAlign w:val="center"/>
            <w:hideMark/>
          </w:tcPr>
          <w:p w14:paraId="3AF3B93F" w14:textId="77777777" w:rsidR="000F6636" w:rsidRPr="00687546" w:rsidRDefault="000F6636" w:rsidP="00484DB0">
            <w:pPr>
              <w:jc w:val="center"/>
              <w:rPr>
                <w:color w:val="000000"/>
                <w:sz w:val="18"/>
                <w:szCs w:val="18"/>
              </w:rPr>
            </w:pPr>
            <w:r w:rsidRPr="00687546">
              <w:rPr>
                <w:color w:val="000000"/>
                <w:sz w:val="18"/>
                <w:szCs w:val="18"/>
              </w:rPr>
              <w:t>11,9</w:t>
            </w:r>
          </w:p>
        </w:tc>
        <w:tc>
          <w:tcPr>
            <w:tcW w:w="836" w:type="dxa"/>
            <w:tcBorders>
              <w:top w:val="nil"/>
              <w:left w:val="nil"/>
              <w:bottom w:val="nil"/>
              <w:right w:val="nil"/>
            </w:tcBorders>
            <w:shd w:val="clear" w:color="auto" w:fill="auto"/>
            <w:vAlign w:val="center"/>
            <w:hideMark/>
          </w:tcPr>
          <w:p w14:paraId="3316747D" w14:textId="77777777" w:rsidR="000F6636" w:rsidRPr="00687546" w:rsidRDefault="000F6636" w:rsidP="00484DB0">
            <w:pPr>
              <w:jc w:val="center"/>
              <w:rPr>
                <w:color w:val="000000"/>
                <w:sz w:val="18"/>
                <w:szCs w:val="18"/>
              </w:rPr>
            </w:pPr>
            <w:r w:rsidRPr="00687546">
              <w:rPr>
                <w:color w:val="000000"/>
                <w:sz w:val="18"/>
                <w:szCs w:val="18"/>
              </w:rPr>
              <w:t>7,0</w:t>
            </w:r>
          </w:p>
        </w:tc>
        <w:tc>
          <w:tcPr>
            <w:tcW w:w="836" w:type="dxa"/>
            <w:tcBorders>
              <w:top w:val="nil"/>
              <w:left w:val="nil"/>
              <w:bottom w:val="nil"/>
              <w:right w:val="nil"/>
            </w:tcBorders>
            <w:shd w:val="clear" w:color="auto" w:fill="auto"/>
            <w:vAlign w:val="center"/>
            <w:hideMark/>
          </w:tcPr>
          <w:p w14:paraId="7F7FA7A3" w14:textId="77777777" w:rsidR="000F6636" w:rsidRPr="00687546" w:rsidRDefault="000F6636" w:rsidP="00484DB0">
            <w:pPr>
              <w:jc w:val="center"/>
              <w:rPr>
                <w:color w:val="000000"/>
                <w:sz w:val="18"/>
                <w:szCs w:val="18"/>
              </w:rPr>
            </w:pPr>
            <w:r w:rsidRPr="00687546">
              <w:rPr>
                <w:color w:val="000000"/>
                <w:sz w:val="18"/>
                <w:szCs w:val="18"/>
              </w:rPr>
              <w:t>6,8</w:t>
            </w:r>
          </w:p>
        </w:tc>
        <w:tc>
          <w:tcPr>
            <w:tcW w:w="836" w:type="dxa"/>
            <w:tcBorders>
              <w:top w:val="nil"/>
              <w:left w:val="nil"/>
              <w:bottom w:val="nil"/>
              <w:right w:val="nil"/>
            </w:tcBorders>
            <w:shd w:val="clear" w:color="auto" w:fill="auto"/>
            <w:vAlign w:val="center"/>
            <w:hideMark/>
          </w:tcPr>
          <w:p w14:paraId="5F4F1C50" w14:textId="77777777" w:rsidR="000F6636" w:rsidRPr="00687546" w:rsidRDefault="000F6636" w:rsidP="00484DB0">
            <w:pPr>
              <w:jc w:val="center"/>
              <w:rPr>
                <w:color w:val="000000"/>
                <w:sz w:val="18"/>
                <w:szCs w:val="18"/>
              </w:rPr>
            </w:pPr>
            <w:r w:rsidRPr="00687546">
              <w:rPr>
                <w:color w:val="000000"/>
                <w:sz w:val="18"/>
                <w:szCs w:val="18"/>
              </w:rPr>
              <w:t>4,7</w:t>
            </w:r>
          </w:p>
        </w:tc>
        <w:tc>
          <w:tcPr>
            <w:tcW w:w="836" w:type="dxa"/>
            <w:tcBorders>
              <w:top w:val="nil"/>
              <w:left w:val="nil"/>
              <w:bottom w:val="nil"/>
              <w:right w:val="nil"/>
            </w:tcBorders>
            <w:shd w:val="clear" w:color="auto" w:fill="auto"/>
            <w:vAlign w:val="center"/>
            <w:hideMark/>
          </w:tcPr>
          <w:p w14:paraId="78FE0BE4" w14:textId="77777777" w:rsidR="000F6636" w:rsidRPr="00687546" w:rsidRDefault="000F6636" w:rsidP="00484DB0">
            <w:pPr>
              <w:jc w:val="center"/>
              <w:rPr>
                <w:color w:val="000000"/>
                <w:sz w:val="18"/>
                <w:szCs w:val="18"/>
              </w:rPr>
            </w:pPr>
            <w:r w:rsidRPr="00687546">
              <w:rPr>
                <w:color w:val="000000"/>
                <w:sz w:val="18"/>
                <w:szCs w:val="18"/>
              </w:rPr>
              <w:t>3,9</w:t>
            </w:r>
          </w:p>
        </w:tc>
      </w:tr>
      <w:tr w:rsidR="000F6636" w:rsidRPr="00687546" w14:paraId="69981A2F" w14:textId="77777777" w:rsidTr="00484DB0">
        <w:trPr>
          <w:trHeight w:val="283"/>
        </w:trPr>
        <w:tc>
          <w:tcPr>
            <w:tcW w:w="8986" w:type="dxa"/>
            <w:gridSpan w:val="8"/>
            <w:tcBorders>
              <w:top w:val="nil"/>
              <w:left w:val="nil"/>
              <w:bottom w:val="nil"/>
              <w:right w:val="nil"/>
            </w:tcBorders>
            <w:shd w:val="clear" w:color="auto" w:fill="auto"/>
            <w:vAlign w:val="center"/>
            <w:hideMark/>
          </w:tcPr>
          <w:p w14:paraId="3BC40246" w14:textId="77777777" w:rsidR="000F6636" w:rsidRPr="00687546" w:rsidRDefault="000F6636" w:rsidP="00484DB0">
            <w:pPr>
              <w:jc w:val="center"/>
              <w:rPr>
                <w:rFonts w:cs="Times New Roman"/>
                <w:b/>
                <w:bCs/>
                <w:color w:val="000000"/>
                <w:sz w:val="18"/>
                <w:szCs w:val="18"/>
              </w:rPr>
            </w:pPr>
            <w:r w:rsidRPr="00687546">
              <w:rPr>
                <w:rFonts w:cs="Times New Roman"/>
                <w:b/>
                <w:bCs/>
                <w:color w:val="000000"/>
                <w:sz w:val="18"/>
                <w:szCs w:val="18"/>
              </w:rPr>
              <w:t>Zložky reálneho HDP</w:t>
            </w:r>
          </w:p>
        </w:tc>
      </w:tr>
      <w:tr w:rsidR="000F6636" w:rsidRPr="00687546" w14:paraId="7C9A132E" w14:textId="77777777" w:rsidTr="00484DB0">
        <w:trPr>
          <w:trHeight w:val="283"/>
        </w:trPr>
        <w:tc>
          <w:tcPr>
            <w:tcW w:w="3085" w:type="dxa"/>
            <w:tcBorders>
              <w:top w:val="nil"/>
              <w:left w:val="nil"/>
              <w:bottom w:val="nil"/>
              <w:right w:val="nil"/>
            </w:tcBorders>
            <w:shd w:val="clear" w:color="auto" w:fill="auto"/>
            <w:vAlign w:val="center"/>
            <w:hideMark/>
          </w:tcPr>
          <w:p w14:paraId="0B31665A" w14:textId="77777777" w:rsidR="000F6636" w:rsidRPr="00687546" w:rsidRDefault="000F6636" w:rsidP="00484DB0">
            <w:pPr>
              <w:rPr>
                <w:rFonts w:cs="Times New Roman"/>
                <w:color w:val="000000"/>
                <w:sz w:val="18"/>
                <w:szCs w:val="18"/>
              </w:rPr>
            </w:pPr>
            <w:r w:rsidRPr="00687546">
              <w:rPr>
                <w:color w:val="000000"/>
                <w:sz w:val="18"/>
                <w:szCs w:val="18"/>
              </w:rPr>
              <w:t>3. Konečná spotreba domácností a NISD</w:t>
            </w:r>
          </w:p>
        </w:tc>
        <w:tc>
          <w:tcPr>
            <w:tcW w:w="836" w:type="dxa"/>
            <w:tcBorders>
              <w:top w:val="nil"/>
              <w:left w:val="nil"/>
              <w:bottom w:val="nil"/>
              <w:right w:val="nil"/>
            </w:tcBorders>
            <w:shd w:val="clear" w:color="auto" w:fill="auto"/>
            <w:vAlign w:val="center"/>
            <w:hideMark/>
          </w:tcPr>
          <w:p w14:paraId="0130460B" w14:textId="77777777" w:rsidR="000F6636" w:rsidRPr="00687546" w:rsidRDefault="000F6636" w:rsidP="00484DB0">
            <w:pPr>
              <w:jc w:val="center"/>
              <w:rPr>
                <w:rFonts w:cs="Times New Roman"/>
                <w:color w:val="000000"/>
                <w:sz w:val="18"/>
                <w:szCs w:val="18"/>
              </w:rPr>
            </w:pPr>
            <w:r w:rsidRPr="00687546">
              <w:rPr>
                <w:color w:val="000000"/>
                <w:sz w:val="18"/>
                <w:szCs w:val="18"/>
              </w:rPr>
              <w:t>P.3</w:t>
            </w:r>
          </w:p>
        </w:tc>
        <w:tc>
          <w:tcPr>
            <w:tcW w:w="885" w:type="dxa"/>
            <w:tcBorders>
              <w:top w:val="nil"/>
              <w:left w:val="nil"/>
              <w:bottom w:val="nil"/>
              <w:right w:val="nil"/>
            </w:tcBorders>
            <w:shd w:val="clear" w:color="auto" w:fill="auto"/>
            <w:vAlign w:val="center"/>
            <w:hideMark/>
          </w:tcPr>
          <w:p w14:paraId="33FBC214" w14:textId="77777777" w:rsidR="000F6636" w:rsidRPr="00687546" w:rsidRDefault="000F6636" w:rsidP="00484DB0">
            <w:pPr>
              <w:jc w:val="center"/>
              <w:rPr>
                <w:rFonts w:cs="Times New Roman"/>
                <w:color w:val="000000"/>
                <w:sz w:val="18"/>
                <w:szCs w:val="18"/>
              </w:rPr>
            </w:pPr>
            <w:r w:rsidRPr="00687546">
              <w:rPr>
                <w:color w:val="000000"/>
                <w:sz w:val="18"/>
                <w:szCs w:val="18"/>
              </w:rPr>
              <w:t>52,2</w:t>
            </w:r>
          </w:p>
        </w:tc>
        <w:tc>
          <w:tcPr>
            <w:tcW w:w="836" w:type="dxa"/>
            <w:tcBorders>
              <w:top w:val="nil"/>
              <w:left w:val="nil"/>
              <w:bottom w:val="nil"/>
              <w:right w:val="nil"/>
            </w:tcBorders>
            <w:shd w:val="clear" w:color="auto" w:fill="auto"/>
            <w:vAlign w:val="center"/>
            <w:hideMark/>
          </w:tcPr>
          <w:p w14:paraId="5C5147F1" w14:textId="77777777" w:rsidR="000F6636" w:rsidRPr="00687546" w:rsidRDefault="000F6636" w:rsidP="00484DB0">
            <w:pPr>
              <w:jc w:val="center"/>
              <w:rPr>
                <w:color w:val="000000"/>
                <w:sz w:val="18"/>
                <w:szCs w:val="18"/>
              </w:rPr>
            </w:pPr>
            <w:r w:rsidRPr="00687546">
              <w:rPr>
                <w:color w:val="000000"/>
                <w:sz w:val="18"/>
                <w:szCs w:val="18"/>
              </w:rPr>
              <w:t>-3,2</w:t>
            </w:r>
          </w:p>
        </w:tc>
        <w:tc>
          <w:tcPr>
            <w:tcW w:w="836" w:type="dxa"/>
            <w:tcBorders>
              <w:top w:val="nil"/>
              <w:left w:val="nil"/>
              <w:bottom w:val="nil"/>
              <w:right w:val="nil"/>
            </w:tcBorders>
            <w:shd w:val="clear" w:color="auto" w:fill="auto"/>
            <w:vAlign w:val="center"/>
            <w:hideMark/>
          </w:tcPr>
          <w:p w14:paraId="3541C341" w14:textId="77777777" w:rsidR="000F6636" w:rsidRPr="00687546" w:rsidRDefault="000F6636" w:rsidP="00484DB0">
            <w:pPr>
              <w:jc w:val="center"/>
              <w:rPr>
                <w:color w:val="000000"/>
                <w:sz w:val="18"/>
                <w:szCs w:val="18"/>
              </w:rPr>
            </w:pPr>
            <w:r w:rsidRPr="00687546">
              <w:rPr>
                <w:color w:val="000000"/>
                <w:sz w:val="18"/>
                <w:szCs w:val="18"/>
              </w:rPr>
              <w:t>2,3</w:t>
            </w:r>
          </w:p>
        </w:tc>
        <w:tc>
          <w:tcPr>
            <w:tcW w:w="836" w:type="dxa"/>
            <w:tcBorders>
              <w:top w:val="nil"/>
              <w:left w:val="nil"/>
              <w:bottom w:val="nil"/>
              <w:right w:val="nil"/>
            </w:tcBorders>
            <w:shd w:val="clear" w:color="auto" w:fill="auto"/>
            <w:vAlign w:val="center"/>
            <w:hideMark/>
          </w:tcPr>
          <w:p w14:paraId="36EC568D" w14:textId="77777777" w:rsidR="000F6636" w:rsidRPr="00687546" w:rsidRDefault="000F6636" w:rsidP="00484DB0">
            <w:pPr>
              <w:jc w:val="center"/>
              <w:rPr>
                <w:color w:val="000000"/>
                <w:sz w:val="18"/>
                <w:szCs w:val="18"/>
              </w:rPr>
            </w:pPr>
            <w:r w:rsidRPr="00687546">
              <w:rPr>
                <w:color w:val="000000"/>
                <w:sz w:val="18"/>
                <w:szCs w:val="18"/>
              </w:rPr>
              <w:t>2,2</w:t>
            </w:r>
          </w:p>
        </w:tc>
        <w:tc>
          <w:tcPr>
            <w:tcW w:w="836" w:type="dxa"/>
            <w:tcBorders>
              <w:top w:val="nil"/>
              <w:left w:val="nil"/>
              <w:bottom w:val="nil"/>
              <w:right w:val="nil"/>
            </w:tcBorders>
            <w:shd w:val="clear" w:color="auto" w:fill="auto"/>
            <w:vAlign w:val="center"/>
            <w:hideMark/>
          </w:tcPr>
          <w:p w14:paraId="23C13312" w14:textId="77777777" w:rsidR="000F6636" w:rsidRPr="00687546" w:rsidRDefault="000F6636" w:rsidP="00484DB0">
            <w:pPr>
              <w:jc w:val="center"/>
              <w:rPr>
                <w:color w:val="000000"/>
                <w:sz w:val="18"/>
                <w:szCs w:val="18"/>
              </w:rPr>
            </w:pPr>
            <w:r w:rsidRPr="00687546">
              <w:rPr>
                <w:color w:val="000000"/>
                <w:sz w:val="18"/>
                <w:szCs w:val="18"/>
              </w:rPr>
              <w:t>1,9</w:t>
            </w:r>
          </w:p>
        </w:tc>
        <w:tc>
          <w:tcPr>
            <w:tcW w:w="836" w:type="dxa"/>
            <w:tcBorders>
              <w:top w:val="nil"/>
              <w:left w:val="nil"/>
              <w:bottom w:val="nil"/>
              <w:right w:val="nil"/>
            </w:tcBorders>
            <w:shd w:val="clear" w:color="auto" w:fill="auto"/>
            <w:vAlign w:val="center"/>
            <w:hideMark/>
          </w:tcPr>
          <w:p w14:paraId="45D0F6D5" w14:textId="77777777" w:rsidR="000F6636" w:rsidRPr="00687546" w:rsidRDefault="000F6636" w:rsidP="00484DB0">
            <w:pPr>
              <w:jc w:val="center"/>
              <w:rPr>
                <w:color w:val="000000"/>
                <w:sz w:val="18"/>
                <w:szCs w:val="18"/>
              </w:rPr>
            </w:pPr>
            <w:r w:rsidRPr="00687546">
              <w:rPr>
                <w:color w:val="000000"/>
                <w:sz w:val="18"/>
                <w:szCs w:val="18"/>
              </w:rPr>
              <w:t>1,7</w:t>
            </w:r>
          </w:p>
        </w:tc>
      </w:tr>
      <w:tr w:rsidR="000F6636" w:rsidRPr="00687546" w14:paraId="75F5D95B" w14:textId="77777777" w:rsidTr="00484DB0">
        <w:trPr>
          <w:trHeight w:val="283"/>
        </w:trPr>
        <w:tc>
          <w:tcPr>
            <w:tcW w:w="3085" w:type="dxa"/>
            <w:tcBorders>
              <w:top w:val="nil"/>
              <w:left w:val="nil"/>
              <w:bottom w:val="nil"/>
              <w:right w:val="nil"/>
            </w:tcBorders>
            <w:shd w:val="clear" w:color="auto" w:fill="auto"/>
            <w:vAlign w:val="center"/>
            <w:hideMark/>
          </w:tcPr>
          <w:p w14:paraId="3DDEC8B1" w14:textId="77777777" w:rsidR="000F6636" w:rsidRPr="00687546" w:rsidRDefault="000F6636" w:rsidP="00484DB0">
            <w:pPr>
              <w:rPr>
                <w:rFonts w:cs="Times New Roman"/>
                <w:color w:val="000000"/>
                <w:sz w:val="18"/>
                <w:szCs w:val="18"/>
              </w:rPr>
            </w:pPr>
            <w:r w:rsidRPr="00687546">
              <w:rPr>
                <w:color w:val="000000"/>
                <w:sz w:val="18"/>
                <w:szCs w:val="18"/>
              </w:rPr>
              <w:t xml:space="preserve">4. Konečná spotreba verejnej správy </w:t>
            </w:r>
          </w:p>
        </w:tc>
        <w:tc>
          <w:tcPr>
            <w:tcW w:w="836" w:type="dxa"/>
            <w:tcBorders>
              <w:top w:val="nil"/>
              <w:left w:val="nil"/>
              <w:bottom w:val="nil"/>
              <w:right w:val="nil"/>
            </w:tcBorders>
            <w:shd w:val="clear" w:color="auto" w:fill="auto"/>
            <w:vAlign w:val="center"/>
            <w:hideMark/>
          </w:tcPr>
          <w:p w14:paraId="26C6073E" w14:textId="77777777" w:rsidR="000F6636" w:rsidRPr="00687546" w:rsidRDefault="000F6636" w:rsidP="00484DB0">
            <w:pPr>
              <w:jc w:val="center"/>
              <w:rPr>
                <w:rFonts w:cs="Times New Roman"/>
                <w:color w:val="000000"/>
                <w:sz w:val="18"/>
                <w:szCs w:val="18"/>
              </w:rPr>
            </w:pPr>
            <w:r w:rsidRPr="00687546">
              <w:rPr>
                <w:color w:val="000000"/>
                <w:sz w:val="18"/>
                <w:szCs w:val="18"/>
              </w:rPr>
              <w:t>P.3</w:t>
            </w:r>
          </w:p>
        </w:tc>
        <w:tc>
          <w:tcPr>
            <w:tcW w:w="885" w:type="dxa"/>
            <w:tcBorders>
              <w:top w:val="nil"/>
              <w:left w:val="nil"/>
              <w:bottom w:val="nil"/>
              <w:right w:val="nil"/>
            </w:tcBorders>
            <w:shd w:val="clear" w:color="auto" w:fill="auto"/>
            <w:vAlign w:val="center"/>
            <w:hideMark/>
          </w:tcPr>
          <w:p w14:paraId="1610A04E" w14:textId="77777777" w:rsidR="000F6636" w:rsidRPr="00687546" w:rsidRDefault="000F6636" w:rsidP="00484DB0">
            <w:pPr>
              <w:jc w:val="center"/>
              <w:rPr>
                <w:color w:val="000000"/>
                <w:sz w:val="18"/>
                <w:szCs w:val="18"/>
              </w:rPr>
            </w:pPr>
            <w:r w:rsidRPr="00687546">
              <w:rPr>
                <w:color w:val="000000"/>
                <w:sz w:val="18"/>
                <w:szCs w:val="18"/>
              </w:rPr>
              <w:t>15,8</w:t>
            </w:r>
          </w:p>
        </w:tc>
        <w:tc>
          <w:tcPr>
            <w:tcW w:w="836" w:type="dxa"/>
            <w:tcBorders>
              <w:top w:val="nil"/>
              <w:left w:val="nil"/>
              <w:bottom w:val="nil"/>
              <w:right w:val="nil"/>
            </w:tcBorders>
            <w:shd w:val="clear" w:color="auto" w:fill="auto"/>
            <w:vAlign w:val="center"/>
            <w:hideMark/>
          </w:tcPr>
          <w:p w14:paraId="16E28E74" w14:textId="77777777" w:rsidR="000F6636" w:rsidRPr="00687546" w:rsidRDefault="000F6636" w:rsidP="00484DB0">
            <w:pPr>
              <w:jc w:val="center"/>
              <w:rPr>
                <w:color w:val="000000"/>
                <w:sz w:val="18"/>
                <w:szCs w:val="18"/>
              </w:rPr>
            </w:pPr>
            <w:r w:rsidRPr="00687546">
              <w:rPr>
                <w:color w:val="000000"/>
                <w:sz w:val="18"/>
                <w:szCs w:val="18"/>
              </w:rPr>
              <w:t>-0,6</w:t>
            </w:r>
          </w:p>
        </w:tc>
        <w:tc>
          <w:tcPr>
            <w:tcW w:w="836" w:type="dxa"/>
            <w:tcBorders>
              <w:top w:val="nil"/>
              <w:left w:val="nil"/>
              <w:bottom w:val="nil"/>
              <w:right w:val="nil"/>
            </w:tcBorders>
            <w:shd w:val="clear" w:color="auto" w:fill="auto"/>
            <w:vAlign w:val="center"/>
            <w:hideMark/>
          </w:tcPr>
          <w:p w14:paraId="0C7FC1E0" w14:textId="77777777" w:rsidR="000F6636" w:rsidRPr="00687546" w:rsidRDefault="000F6636" w:rsidP="00484DB0">
            <w:pPr>
              <w:jc w:val="center"/>
              <w:rPr>
                <w:color w:val="000000"/>
                <w:sz w:val="18"/>
                <w:szCs w:val="18"/>
              </w:rPr>
            </w:pPr>
            <w:r w:rsidRPr="00687546">
              <w:rPr>
                <w:color w:val="000000"/>
                <w:sz w:val="18"/>
                <w:szCs w:val="18"/>
              </w:rPr>
              <w:t>1,9</w:t>
            </w:r>
          </w:p>
        </w:tc>
        <w:tc>
          <w:tcPr>
            <w:tcW w:w="836" w:type="dxa"/>
            <w:tcBorders>
              <w:top w:val="nil"/>
              <w:left w:val="nil"/>
              <w:bottom w:val="nil"/>
              <w:right w:val="nil"/>
            </w:tcBorders>
            <w:shd w:val="clear" w:color="auto" w:fill="auto"/>
            <w:vAlign w:val="center"/>
            <w:hideMark/>
          </w:tcPr>
          <w:p w14:paraId="1C3D57AA" w14:textId="77777777" w:rsidR="000F6636" w:rsidRPr="00687546" w:rsidRDefault="000F6636" w:rsidP="00484DB0">
            <w:pPr>
              <w:jc w:val="center"/>
              <w:rPr>
                <w:color w:val="000000"/>
                <w:sz w:val="18"/>
                <w:szCs w:val="18"/>
              </w:rPr>
            </w:pPr>
            <w:r w:rsidRPr="00687546">
              <w:rPr>
                <w:color w:val="000000"/>
                <w:sz w:val="18"/>
                <w:szCs w:val="18"/>
              </w:rPr>
              <w:t>1,2</w:t>
            </w:r>
          </w:p>
        </w:tc>
        <w:tc>
          <w:tcPr>
            <w:tcW w:w="836" w:type="dxa"/>
            <w:tcBorders>
              <w:top w:val="nil"/>
              <w:left w:val="nil"/>
              <w:bottom w:val="nil"/>
              <w:right w:val="nil"/>
            </w:tcBorders>
            <w:shd w:val="clear" w:color="auto" w:fill="auto"/>
            <w:vAlign w:val="center"/>
            <w:hideMark/>
          </w:tcPr>
          <w:p w14:paraId="7858CB74" w14:textId="77777777" w:rsidR="000F6636" w:rsidRPr="00687546" w:rsidRDefault="000F6636" w:rsidP="00484DB0">
            <w:pPr>
              <w:jc w:val="center"/>
              <w:rPr>
                <w:color w:val="000000"/>
                <w:sz w:val="18"/>
                <w:szCs w:val="18"/>
              </w:rPr>
            </w:pPr>
            <w:r w:rsidRPr="00687546">
              <w:rPr>
                <w:color w:val="000000"/>
                <w:sz w:val="18"/>
                <w:szCs w:val="18"/>
              </w:rPr>
              <w:t>0,8</w:t>
            </w:r>
          </w:p>
        </w:tc>
        <w:tc>
          <w:tcPr>
            <w:tcW w:w="836" w:type="dxa"/>
            <w:tcBorders>
              <w:top w:val="nil"/>
              <w:left w:val="nil"/>
              <w:bottom w:val="nil"/>
              <w:right w:val="nil"/>
            </w:tcBorders>
            <w:shd w:val="clear" w:color="auto" w:fill="auto"/>
            <w:vAlign w:val="center"/>
            <w:hideMark/>
          </w:tcPr>
          <w:p w14:paraId="018211E9" w14:textId="77777777" w:rsidR="000F6636" w:rsidRPr="00687546" w:rsidRDefault="000F6636" w:rsidP="00484DB0">
            <w:pPr>
              <w:jc w:val="center"/>
              <w:rPr>
                <w:color w:val="000000"/>
                <w:sz w:val="18"/>
                <w:szCs w:val="18"/>
              </w:rPr>
            </w:pPr>
            <w:r w:rsidRPr="00687546">
              <w:rPr>
                <w:color w:val="000000"/>
                <w:sz w:val="18"/>
                <w:szCs w:val="18"/>
              </w:rPr>
              <w:t>-0,5</w:t>
            </w:r>
          </w:p>
        </w:tc>
      </w:tr>
      <w:tr w:rsidR="000F6636" w:rsidRPr="00687546" w14:paraId="73488365" w14:textId="77777777" w:rsidTr="00484DB0">
        <w:trPr>
          <w:trHeight w:val="283"/>
        </w:trPr>
        <w:tc>
          <w:tcPr>
            <w:tcW w:w="3085" w:type="dxa"/>
            <w:tcBorders>
              <w:top w:val="nil"/>
              <w:left w:val="nil"/>
              <w:bottom w:val="nil"/>
              <w:right w:val="nil"/>
            </w:tcBorders>
            <w:shd w:val="clear" w:color="auto" w:fill="auto"/>
            <w:vAlign w:val="center"/>
            <w:hideMark/>
          </w:tcPr>
          <w:p w14:paraId="73A05D5C" w14:textId="77777777" w:rsidR="000F6636" w:rsidRPr="00687546" w:rsidRDefault="000F6636" w:rsidP="00484DB0">
            <w:pPr>
              <w:rPr>
                <w:rFonts w:cs="Times New Roman"/>
                <w:color w:val="000000"/>
                <w:sz w:val="18"/>
                <w:szCs w:val="18"/>
              </w:rPr>
            </w:pPr>
            <w:r w:rsidRPr="00687546">
              <w:rPr>
                <w:color w:val="000000"/>
                <w:sz w:val="18"/>
                <w:szCs w:val="18"/>
              </w:rPr>
              <w:t>5. Tvorba hrubého fixného kapitálu</w:t>
            </w:r>
          </w:p>
        </w:tc>
        <w:tc>
          <w:tcPr>
            <w:tcW w:w="836" w:type="dxa"/>
            <w:tcBorders>
              <w:top w:val="nil"/>
              <w:left w:val="nil"/>
              <w:bottom w:val="nil"/>
              <w:right w:val="nil"/>
            </w:tcBorders>
            <w:shd w:val="clear" w:color="auto" w:fill="auto"/>
            <w:vAlign w:val="center"/>
            <w:hideMark/>
          </w:tcPr>
          <w:p w14:paraId="6A2A8DFA" w14:textId="77777777" w:rsidR="000F6636" w:rsidRPr="00687546" w:rsidRDefault="000F6636" w:rsidP="00484DB0">
            <w:pPr>
              <w:jc w:val="center"/>
              <w:rPr>
                <w:rFonts w:cs="Times New Roman"/>
                <w:color w:val="000000"/>
                <w:sz w:val="18"/>
                <w:szCs w:val="18"/>
              </w:rPr>
            </w:pPr>
            <w:r w:rsidRPr="00687546">
              <w:rPr>
                <w:color w:val="000000"/>
                <w:sz w:val="18"/>
                <w:szCs w:val="18"/>
              </w:rPr>
              <w:t>P.51g</w:t>
            </w:r>
          </w:p>
        </w:tc>
        <w:tc>
          <w:tcPr>
            <w:tcW w:w="885" w:type="dxa"/>
            <w:tcBorders>
              <w:top w:val="nil"/>
              <w:left w:val="nil"/>
              <w:bottom w:val="nil"/>
              <w:right w:val="nil"/>
            </w:tcBorders>
            <w:shd w:val="clear" w:color="auto" w:fill="auto"/>
            <w:vAlign w:val="center"/>
            <w:hideMark/>
          </w:tcPr>
          <w:p w14:paraId="7D959DE3" w14:textId="77777777" w:rsidR="000F6636" w:rsidRPr="00687546" w:rsidRDefault="000F6636" w:rsidP="00484DB0">
            <w:pPr>
              <w:jc w:val="center"/>
              <w:rPr>
                <w:color w:val="000000"/>
                <w:sz w:val="18"/>
                <w:szCs w:val="18"/>
              </w:rPr>
            </w:pPr>
            <w:r w:rsidRPr="00687546">
              <w:rPr>
                <w:color w:val="000000"/>
                <w:sz w:val="18"/>
                <w:szCs w:val="18"/>
              </w:rPr>
              <w:t>21,0</w:t>
            </w:r>
          </w:p>
        </w:tc>
        <w:tc>
          <w:tcPr>
            <w:tcW w:w="836" w:type="dxa"/>
            <w:tcBorders>
              <w:top w:val="nil"/>
              <w:left w:val="nil"/>
              <w:bottom w:val="nil"/>
              <w:right w:val="nil"/>
            </w:tcBorders>
            <w:shd w:val="clear" w:color="auto" w:fill="auto"/>
            <w:vAlign w:val="center"/>
            <w:hideMark/>
          </w:tcPr>
          <w:p w14:paraId="6FD70725" w14:textId="77777777" w:rsidR="000F6636" w:rsidRPr="00687546" w:rsidRDefault="000F6636" w:rsidP="00484DB0">
            <w:pPr>
              <w:jc w:val="center"/>
              <w:rPr>
                <w:color w:val="000000"/>
                <w:sz w:val="18"/>
                <w:szCs w:val="18"/>
              </w:rPr>
            </w:pPr>
            <w:r w:rsidRPr="00687546">
              <w:rPr>
                <w:color w:val="000000"/>
                <w:sz w:val="18"/>
                <w:szCs w:val="18"/>
              </w:rPr>
              <w:t>10,6</w:t>
            </w:r>
          </w:p>
        </w:tc>
        <w:tc>
          <w:tcPr>
            <w:tcW w:w="836" w:type="dxa"/>
            <w:tcBorders>
              <w:top w:val="nil"/>
              <w:left w:val="nil"/>
              <w:bottom w:val="nil"/>
              <w:right w:val="nil"/>
            </w:tcBorders>
            <w:shd w:val="clear" w:color="auto" w:fill="auto"/>
            <w:vAlign w:val="center"/>
            <w:hideMark/>
          </w:tcPr>
          <w:p w14:paraId="273A160C" w14:textId="77777777" w:rsidR="000F6636" w:rsidRPr="00687546" w:rsidRDefault="000F6636" w:rsidP="00484DB0">
            <w:pPr>
              <w:jc w:val="center"/>
              <w:rPr>
                <w:color w:val="000000"/>
                <w:sz w:val="18"/>
                <w:szCs w:val="18"/>
              </w:rPr>
            </w:pPr>
            <w:r w:rsidRPr="00687546">
              <w:rPr>
                <w:color w:val="000000"/>
                <w:sz w:val="18"/>
                <w:szCs w:val="18"/>
              </w:rPr>
              <w:t>-1,6</w:t>
            </w:r>
          </w:p>
        </w:tc>
        <w:tc>
          <w:tcPr>
            <w:tcW w:w="836" w:type="dxa"/>
            <w:tcBorders>
              <w:top w:val="nil"/>
              <w:left w:val="nil"/>
              <w:bottom w:val="nil"/>
              <w:right w:val="nil"/>
            </w:tcBorders>
            <w:shd w:val="clear" w:color="auto" w:fill="auto"/>
            <w:vAlign w:val="center"/>
            <w:hideMark/>
          </w:tcPr>
          <w:p w14:paraId="7A6C8AB8" w14:textId="77777777" w:rsidR="000F6636" w:rsidRPr="00687546" w:rsidRDefault="000F6636" w:rsidP="00484DB0">
            <w:pPr>
              <w:jc w:val="center"/>
              <w:rPr>
                <w:color w:val="000000"/>
                <w:sz w:val="18"/>
                <w:szCs w:val="18"/>
              </w:rPr>
            </w:pPr>
            <w:r w:rsidRPr="00687546">
              <w:rPr>
                <w:color w:val="000000"/>
                <w:sz w:val="18"/>
                <w:szCs w:val="18"/>
              </w:rPr>
              <w:t>10,8</w:t>
            </w:r>
          </w:p>
        </w:tc>
        <w:tc>
          <w:tcPr>
            <w:tcW w:w="836" w:type="dxa"/>
            <w:tcBorders>
              <w:top w:val="nil"/>
              <w:left w:val="nil"/>
              <w:bottom w:val="nil"/>
              <w:right w:val="nil"/>
            </w:tcBorders>
            <w:shd w:val="clear" w:color="auto" w:fill="auto"/>
            <w:vAlign w:val="center"/>
            <w:hideMark/>
          </w:tcPr>
          <w:p w14:paraId="3112B62C" w14:textId="77777777" w:rsidR="000F6636" w:rsidRPr="00687546" w:rsidRDefault="000F6636" w:rsidP="00484DB0">
            <w:pPr>
              <w:jc w:val="center"/>
              <w:rPr>
                <w:color w:val="000000"/>
                <w:sz w:val="18"/>
                <w:szCs w:val="18"/>
              </w:rPr>
            </w:pPr>
            <w:r w:rsidRPr="00687546">
              <w:rPr>
                <w:color w:val="000000"/>
                <w:sz w:val="18"/>
                <w:szCs w:val="18"/>
              </w:rPr>
              <w:t>-1,4</w:t>
            </w:r>
          </w:p>
        </w:tc>
        <w:tc>
          <w:tcPr>
            <w:tcW w:w="836" w:type="dxa"/>
            <w:tcBorders>
              <w:top w:val="nil"/>
              <w:left w:val="nil"/>
              <w:bottom w:val="nil"/>
              <w:right w:val="nil"/>
            </w:tcBorders>
            <w:shd w:val="clear" w:color="auto" w:fill="auto"/>
            <w:vAlign w:val="center"/>
            <w:hideMark/>
          </w:tcPr>
          <w:p w14:paraId="35E37D3E" w14:textId="77777777" w:rsidR="000F6636" w:rsidRPr="00687546" w:rsidRDefault="000F6636" w:rsidP="00484DB0">
            <w:pPr>
              <w:jc w:val="center"/>
              <w:rPr>
                <w:color w:val="000000"/>
                <w:sz w:val="18"/>
                <w:szCs w:val="18"/>
              </w:rPr>
            </w:pPr>
            <w:r w:rsidRPr="00687546">
              <w:rPr>
                <w:color w:val="000000"/>
                <w:sz w:val="18"/>
                <w:szCs w:val="18"/>
              </w:rPr>
              <w:t>-3,8</w:t>
            </w:r>
          </w:p>
        </w:tc>
      </w:tr>
      <w:tr w:rsidR="000F6636" w:rsidRPr="00687546" w14:paraId="7C4BAD51" w14:textId="77777777" w:rsidTr="00484DB0">
        <w:trPr>
          <w:trHeight w:val="283"/>
        </w:trPr>
        <w:tc>
          <w:tcPr>
            <w:tcW w:w="3085" w:type="dxa"/>
            <w:tcBorders>
              <w:top w:val="nil"/>
              <w:left w:val="nil"/>
              <w:bottom w:val="nil"/>
              <w:right w:val="nil"/>
            </w:tcBorders>
            <w:shd w:val="clear" w:color="auto" w:fill="auto"/>
            <w:vAlign w:val="center"/>
            <w:hideMark/>
          </w:tcPr>
          <w:p w14:paraId="3FE5ABA8" w14:textId="77777777" w:rsidR="000F6636" w:rsidRPr="00687546" w:rsidRDefault="000F6636" w:rsidP="00484DB0">
            <w:pPr>
              <w:rPr>
                <w:rFonts w:cs="Times New Roman"/>
                <w:color w:val="000000"/>
                <w:sz w:val="18"/>
                <w:szCs w:val="18"/>
              </w:rPr>
            </w:pPr>
            <w:r w:rsidRPr="00687546">
              <w:rPr>
                <w:color w:val="000000"/>
                <w:sz w:val="18"/>
                <w:szCs w:val="18"/>
              </w:rPr>
              <w:t>6. Zmena stavu zásob a čisté nadobudnutie cenností (% HDP)</w:t>
            </w:r>
          </w:p>
        </w:tc>
        <w:tc>
          <w:tcPr>
            <w:tcW w:w="836" w:type="dxa"/>
            <w:tcBorders>
              <w:top w:val="nil"/>
              <w:left w:val="nil"/>
              <w:bottom w:val="nil"/>
              <w:right w:val="nil"/>
            </w:tcBorders>
            <w:shd w:val="clear" w:color="auto" w:fill="auto"/>
            <w:vAlign w:val="center"/>
            <w:hideMark/>
          </w:tcPr>
          <w:p w14:paraId="68F73082" w14:textId="77777777" w:rsidR="000F6636" w:rsidRPr="00687546" w:rsidRDefault="000F6636" w:rsidP="00484DB0">
            <w:pPr>
              <w:jc w:val="center"/>
              <w:rPr>
                <w:rFonts w:cs="Times New Roman"/>
                <w:color w:val="000000"/>
                <w:sz w:val="18"/>
                <w:szCs w:val="18"/>
              </w:rPr>
            </w:pPr>
            <w:r w:rsidRPr="00687546">
              <w:rPr>
                <w:color w:val="000000"/>
                <w:sz w:val="18"/>
                <w:szCs w:val="18"/>
              </w:rPr>
              <w:t>P.52 + P.53</w:t>
            </w:r>
          </w:p>
        </w:tc>
        <w:tc>
          <w:tcPr>
            <w:tcW w:w="885" w:type="dxa"/>
            <w:tcBorders>
              <w:top w:val="nil"/>
              <w:left w:val="nil"/>
              <w:bottom w:val="nil"/>
              <w:right w:val="nil"/>
            </w:tcBorders>
            <w:shd w:val="clear" w:color="auto" w:fill="auto"/>
            <w:vAlign w:val="center"/>
            <w:hideMark/>
          </w:tcPr>
          <w:p w14:paraId="6E0CDB51" w14:textId="77777777" w:rsidR="000F6636" w:rsidRPr="00687546" w:rsidRDefault="000F6636" w:rsidP="00484DB0">
            <w:pPr>
              <w:jc w:val="center"/>
              <w:rPr>
                <w:rFonts w:cs="Times New Roman"/>
                <w:color w:val="000000"/>
                <w:sz w:val="18"/>
                <w:szCs w:val="18"/>
              </w:rPr>
            </w:pPr>
            <w:r w:rsidRPr="00687546">
              <w:rPr>
                <w:sz w:val="18"/>
                <w:szCs w:val="18"/>
              </w:rPr>
              <w:t>-2,3</w:t>
            </w:r>
          </w:p>
        </w:tc>
        <w:tc>
          <w:tcPr>
            <w:tcW w:w="836" w:type="dxa"/>
            <w:tcBorders>
              <w:top w:val="nil"/>
              <w:left w:val="nil"/>
              <w:bottom w:val="nil"/>
              <w:right w:val="nil"/>
            </w:tcBorders>
            <w:shd w:val="clear" w:color="auto" w:fill="auto"/>
            <w:vAlign w:val="center"/>
            <w:hideMark/>
          </w:tcPr>
          <w:p w14:paraId="7E46A86F" w14:textId="77777777" w:rsidR="000F6636" w:rsidRPr="00687546" w:rsidRDefault="000F6636" w:rsidP="00484DB0">
            <w:pPr>
              <w:jc w:val="center"/>
              <w:rPr>
                <w:rFonts w:cs="Times New Roman"/>
                <w:color w:val="000000"/>
                <w:sz w:val="18"/>
                <w:szCs w:val="18"/>
              </w:rPr>
            </w:pPr>
            <w:r w:rsidRPr="00687546">
              <w:rPr>
                <w:sz w:val="18"/>
                <w:szCs w:val="18"/>
              </w:rPr>
              <w:t>-2,5</w:t>
            </w:r>
          </w:p>
        </w:tc>
        <w:tc>
          <w:tcPr>
            <w:tcW w:w="836" w:type="dxa"/>
            <w:tcBorders>
              <w:top w:val="nil"/>
              <w:left w:val="nil"/>
              <w:bottom w:val="nil"/>
              <w:right w:val="nil"/>
            </w:tcBorders>
            <w:shd w:val="clear" w:color="auto" w:fill="auto"/>
            <w:vAlign w:val="center"/>
            <w:hideMark/>
          </w:tcPr>
          <w:p w14:paraId="77B8ADD2" w14:textId="77777777" w:rsidR="000F6636" w:rsidRPr="00687546" w:rsidRDefault="000F6636" w:rsidP="00484DB0">
            <w:pPr>
              <w:jc w:val="center"/>
              <w:rPr>
                <w:rFonts w:cs="Times New Roman"/>
                <w:color w:val="000000"/>
                <w:sz w:val="18"/>
                <w:szCs w:val="18"/>
              </w:rPr>
            </w:pPr>
            <w:r w:rsidRPr="00687546">
              <w:rPr>
                <w:sz w:val="18"/>
                <w:szCs w:val="18"/>
              </w:rPr>
              <w:t>1,4</w:t>
            </w:r>
          </w:p>
        </w:tc>
        <w:tc>
          <w:tcPr>
            <w:tcW w:w="836" w:type="dxa"/>
            <w:tcBorders>
              <w:top w:val="nil"/>
              <w:left w:val="nil"/>
              <w:bottom w:val="nil"/>
              <w:right w:val="nil"/>
            </w:tcBorders>
            <w:shd w:val="clear" w:color="auto" w:fill="auto"/>
            <w:vAlign w:val="center"/>
            <w:hideMark/>
          </w:tcPr>
          <w:p w14:paraId="02F1491A" w14:textId="77777777" w:rsidR="000F6636" w:rsidRPr="00687546" w:rsidRDefault="000F6636" w:rsidP="00484DB0">
            <w:pPr>
              <w:jc w:val="center"/>
              <w:rPr>
                <w:rFonts w:cs="Times New Roman"/>
                <w:color w:val="000000"/>
                <w:sz w:val="18"/>
                <w:szCs w:val="18"/>
              </w:rPr>
            </w:pPr>
            <w:r w:rsidRPr="00687546">
              <w:rPr>
                <w:sz w:val="18"/>
                <w:szCs w:val="18"/>
              </w:rPr>
              <w:t>2,0</w:t>
            </w:r>
          </w:p>
        </w:tc>
        <w:tc>
          <w:tcPr>
            <w:tcW w:w="836" w:type="dxa"/>
            <w:tcBorders>
              <w:top w:val="nil"/>
              <w:left w:val="nil"/>
              <w:bottom w:val="nil"/>
              <w:right w:val="nil"/>
            </w:tcBorders>
            <w:shd w:val="clear" w:color="auto" w:fill="auto"/>
            <w:vAlign w:val="center"/>
            <w:hideMark/>
          </w:tcPr>
          <w:p w14:paraId="7D8E2F00" w14:textId="77777777" w:rsidR="000F6636" w:rsidRPr="00687546" w:rsidRDefault="000F6636" w:rsidP="00484DB0">
            <w:pPr>
              <w:jc w:val="center"/>
              <w:rPr>
                <w:rFonts w:cs="Times New Roman"/>
                <w:color w:val="000000"/>
                <w:sz w:val="18"/>
                <w:szCs w:val="18"/>
              </w:rPr>
            </w:pPr>
            <w:r w:rsidRPr="00687546">
              <w:rPr>
                <w:sz w:val="18"/>
                <w:szCs w:val="18"/>
              </w:rPr>
              <w:t>1,9</w:t>
            </w:r>
          </w:p>
        </w:tc>
        <w:tc>
          <w:tcPr>
            <w:tcW w:w="836" w:type="dxa"/>
            <w:tcBorders>
              <w:top w:val="nil"/>
              <w:left w:val="nil"/>
              <w:bottom w:val="nil"/>
              <w:right w:val="nil"/>
            </w:tcBorders>
            <w:shd w:val="clear" w:color="auto" w:fill="auto"/>
            <w:vAlign w:val="center"/>
            <w:hideMark/>
          </w:tcPr>
          <w:p w14:paraId="52AE1AEC" w14:textId="77777777" w:rsidR="000F6636" w:rsidRPr="00687546" w:rsidRDefault="000F6636" w:rsidP="00484DB0">
            <w:pPr>
              <w:jc w:val="center"/>
              <w:rPr>
                <w:rFonts w:cs="Times New Roman"/>
                <w:color w:val="000000"/>
                <w:sz w:val="18"/>
                <w:szCs w:val="18"/>
              </w:rPr>
            </w:pPr>
            <w:r w:rsidRPr="00687546">
              <w:rPr>
                <w:sz w:val="18"/>
                <w:szCs w:val="18"/>
              </w:rPr>
              <w:t>1,9</w:t>
            </w:r>
          </w:p>
        </w:tc>
      </w:tr>
      <w:tr w:rsidR="000F6636" w:rsidRPr="00687546" w14:paraId="7A531960" w14:textId="77777777" w:rsidTr="00484DB0">
        <w:trPr>
          <w:trHeight w:val="283"/>
        </w:trPr>
        <w:tc>
          <w:tcPr>
            <w:tcW w:w="3085" w:type="dxa"/>
            <w:tcBorders>
              <w:top w:val="nil"/>
              <w:left w:val="nil"/>
              <w:bottom w:val="nil"/>
              <w:right w:val="nil"/>
            </w:tcBorders>
            <w:shd w:val="clear" w:color="auto" w:fill="auto"/>
            <w:vAlign w:val="center"/>
            <w:hideMark/>
          </w:tcPr>
          <w:p w14:paraId="7E44F79B" w14:textId="77777777" w:rsidR="000F6636" w:rsidRPr="00687546" w:rsidRDefault="000F6636" w:rsidP="00484DB0">
            <w:pPr>
              <w:rPr>
                <w:rFonts w:cs="Times New Roman"/>
                <w:color w:val="000000"/>
                <w:sz w:val="18"/>
                <w:szCs w:val="18"/>
              </w:rPr>
            </w:pPr>
            <w:r w:rsidRPr="00687546">
              <w:rPr>
                <w:color w:val="000000"/>
                <w:sz w:val="18"/>
                <w:szCs w:val="18"/>
              </w:rPr>
              <w:t>7. Vývoz výrobkov a služieb</w:t>
            </w:r>
          </w:p>
        </w:tc>
        <w:tc>
          <w:tcPr>
            <w:tcW w:w="836" w:type="dxa"/>
            <w:tcBorders>
              <w:top w:val="nil"/>
              <w:left w:val="nil"/>
              <w:bottom w:val="nil"/>
              <w:right w:val="nil"/>
            </w:tcBorders>
            <w:shd w:val="clear" w:color="auto" w:fill="auto"/>
            <w:vAlign w:val="center"/>
            <w:hideMark/>
          </w:tcPr>
          <w:p w14:paraId="36DBE6D3" w14:textId="77777777" w:rsidR="000F6636" w:rsidRPr="00687546" w:rsidRDefault="000F6636" w:rsidP="00484DB0">
            <w:pPr>
              <w:jc w:val="center"/>
              <w:rPr>
                <w:rFonts w:cs="Times New Roman"/>
                <w:color w:val="000000"/>
                <w:sz w:val="18"/>
                <w:szCs w:val="18"/>
              </w:rPr>
            </w:pPr>
            <w:r w:rsidRPr="00687546">
              <w:rPr>
                <w:color w:val="000000"/>
                <w:sz w:val="18"/>
                <w:szCs w:val="18"/>
              </w:rPr>
              <w:t>P.6</w:t>
            </w:r>
          </w:p>
        </w:tc>
        <w:tc>
          <w:tcPr>
            <w:tcW w:w="885" w:type="dxa"/>
            <w:tcBorders>
              <w:top w:val="nil"/>
              <w:left w:val="nil"/>
              <w:bottom w:val="nil"/>
              <w:right w:val="nil"/>
            </w:tcBorders>
            <w:shd w:val="clear" w:color="auto" w:fill="auto"/>
            <w:vAlign w:val="center"/>
            <w:hideMark/>
          </w:tcPr>
          <w:p w14:paraId="2D330DB0" w14:textId="77777777" w:rsidR="000F6636" w:rsidRPr="00687546" w:rsidRDefault="000F6636" w:rsidP="00484DB0">
            <w:pPr>
              <w:jc w:val="center"/>
              <w:rPr>
                <w:rFonts w:cs="Times New Roman"/>
                <w:color w:val="000000"/>
                <w:sz w:val="18"/>
                <w:szCs w:val="18"/>
              </w:rPr>
            </w:pPr>
            <w:r w:rsidRPr="00687546">
              <w:rPr>
                <w:color w:val="000000"/>
                <w:sz w:val="18"/>
                <w:szCs w:val="18"/>
              </w:rPr>
              <w:t>89,0</w:t>
            </w:r>
          </w:p>
        </w:tc>
        <w:tc>
          <w:tcPr>
            <w:tcW w:w="836" w:type="dxa"/>
            <w:tcBorders>
              <w:top w:val="nil"/>
              <w:left w:val="nil"/>
              <w:bottom w:val="nil"/>
              <w:right w:val="nil"/>
            </w:tcBorders>
            <w:shd w:val="clear" w:color="auto" w:fill="auto"/>
            <w:vAlign w:val="center"/>
            <w:hideMark/>
          </w:tcPr>
          <w:p w14:paraId="1AA0D508" w14:textId="77777777" w:rsidR="000F6636" w:rsidRPr="00687546" w:rsidRDefault="000F6636" w:rsidP="00484DB0">
            <w:pPr>
              <w:jc w:val="center"/>
              <w:rPr>
                <w:color w:val="000000"/>
                <w:sz w:val="18"/>
                <w:szCs w:val="18"/>
              </w:rPr>
            </w:pPr>
            <w:r w:rsidRPr="00687546">
              <w:rPr>
                <w:color w:val="000000"/>
                <w:sz w:val="18"/>
                <w:szCs w:val="18"/>
              </w:rPr>
              <w:t>-1,4</w:t>
            </w:r>
          </w:p>
        </w:tc>
        <w:tc>
          <w:tcPr>
            <w:tcW w:w="836" w:type="dxa"/>
            <w:tcBorders>
              <w:top w:val="nil"/>
              <w:left w:val="nil"/>
              <w:bottom w:val="nil"/>
              <w:right w:val="nil"/>
            </w:tcBorders>
            <w:shd w:val="clear" w:color="auto" w:fill="auto"/>
            <w:vAlign w:val="center"/>
            <w:hideMark/>
          </w:tcPr>
          <w:p w14:paraId="2719614F" w14:textId="77777777" w:rsidR="000F6636" w:rsidRPr="00687546" w:rsidRDefault="000F6636" w:rsidP="00484DB0">
            <w:pPr>
              <w:jc w:val="center"/>
              <w:rPr>
                <w:color w:val="000000"/>
                <w:sz w:val="18"/>
                <w:szCs w:val="18"/>
              </w:rPr>
            </w:pPr>
            <w:r w:rsidRPr="00687546">
              <w:rPr>
                <w:color w:val="000000"/>
                <w:sz w:val="18"/>
                <w:szCs w:val="18"/>
              </w:rPr>
              <w:t>2,8</w:t>
            </w:r>
          </w:p>
        </w:tc>
        <w:tc>
          <w:tcPr>
            <w:tcW w:w="836" w:type="dxa"/>
            <w:tcBorders>
              <w:top w:val="nil"/>
              <w:left w:val="nil"/>
              <w:bottom w:val="nil"/>
              <w:right w:val="nil"/>
            </w:tcBorders>
            <w:shd w:val="clear" w:color="auto" w:fill="auto"/>
            <w:vAlign w:val="center"/>
            <w:hideMark/>
          </w:tcPr>
          <w:p w14:paraId="13B6DF88" w14:textId="77777777" w:rsidR="000F6636" w:rsidRPr="00687546" w:rsidRDefault="000F6636" w:rsidP="00484DB0">
            <w:pPr>
              <w:jc w:val="center"/>
              <w:rPr>
                <w:color w:val="000000"/>
                <w:sz w:val="18"/>
                <w:szCs w:val="18"/>
              </w:rPr>
            </w:pPr>
            <w:r w:rsidRPr="00687546">
              <w:rPr>
                <w:color w:val="000000"/>
                <w:sz w:val="18"/>
                <w:szCs w:val="18"/>
              </w:rPr>
              <w:t>3,1</w:t>
            </w:r>
          </w:p>
        </w:tc>
        <w:tc>
          <w:tcPr>
            <w:tcW w:w="836" w:type="dxa"/>
            <w:tcBorders>
              <w:top w:val="nil"/>
              <w:left w:val="nil"/>
              <w:bottom w:val="nil"/>
              <w:right w:val="nil"/>
            </w:tcBorders>
            <w:shd w:val="clear" w:color="auto" w:fill="auto"/>
            <w:vAlign w:val="center"/>
            <w:hideMark/>
          </w:tcPr>
          <w:p w14:paraId="69AA10FD" w14:textId="77777777" w:rsidR="000F6636" w:rsidRPr="00687546" w:rsidRDefault="000F6636" w:rsidP="00484DB0">
            <w:pPr>
              <w:jc w:val="center"/>
              <w:rPr>
                <w:color w:val="000000"/>
                <w:sz w:val="18"/>
                <w:szCs w:val="18"/>
              </w:rPr>
            </w:pPr>
            <w:r w:rsidRPr="00687546">
              <w:rPr>
                <w:color w:val="000000"/>
                <w:sz w:val="18"/>
                <w:szCs w:val="18"/>
              </w:rPr>
              <w:t>4,5</w:t>
            </w:r>
          </w:p>
        </w:tc>
        <w:tc>
          <w:tcPr>
            <w:tcW w:w="836" w:type="dxa"/>
            <w:tcBorders>
              <w:top w:val="nil"/>
              <w:left w:val="nil"/>
              <w:bottom w:val="nil"/>
              <w:right w:val="nil"/>
            </w:tcBorders>
            <w:shd w:val="clear" w:color="auto" w:fill="auto"/>
            <w:vAlign w:val="center"/>
            <w:hideMark/>
          </w:tcPr>
          <w:p w14:paraId="3C5A96AC" w14:textId="77777777" w:rsidR="000F6636" w:rsidRPr="00687546" w:rsidRDefault="000F6636" w:rsidP="00484DB0">
            <w:pPr>
              <w:jc w:val="center"/>
              <w:rPr>
                <w:color w:val="000000"/>
                <w:sz w:val="18"/>
                <w:szCs w:val="18"/>
              </w:rPr>
            </w:pPr>
            <w:r w:rsidRPr="00687546">
              <w:rPr>
                <w:color w:val="000000"/>
                <w:sz w:val="18"/>
                <w:szCs w:val="18"/>
              </w:rPr>
              <w:t>4,5</w:t>
            </w:r>
          </w:p>
        </w:tc>
      </w:tr>
      <w:tr w:rsidR="000F6636" w:rsidRPr="00687546" w14:paraId="0ADBB3D4" w14:textId="77777777" w:rsidTr="00484DB0">
        <w:trPr>
          <w:trHeight w:val="283"/>
        </w:trPr>
        <w:tc>
          <w:tcPr>
            <w:tcW w:w="3085" w:type="dxa"/>
            <w:tcBorders>
              <w:top w:val="nil"/>
              <w:left w:val="nil"/>
              <w:bottom w:val="nil"/>
              <w:right w:val="nil"/>
            </w:tcBorders>
            <w:shd w:val="clear" w:color="auto" w:fill="auto"/>
            <w:vAlign w:val="center"/>
            <w:hideMark/>
          </w:tcPr>
          <w:p w14:paraId="6101705C" w14:textId="77777777" w:rsidR="000F6636" w:rsidRPr="00687546" w:rsidRDefault="000F6636" w:rsidP="00484DB0">
            <w:pPr>
              <w:rPr>
                <w:rFonts w:cs="Times New Roman"/>
                <w:color w:val="000000"/>
                <w:sz w:val="18"/>
                <w:szCs w:val="18"/>
              </w:rPr>
            </w:pPr>
            <w:r w:rsidRPr="00687546">
              <w:rPr>
                <w:color w:val="000000"/>
                <w:sz w:val="18"/>
                <w:szCs w:val="18"/>
              </w:rPr>
              <w:t xml:space="preserve">8. Dovoz výrobkov a služieb       </w:t>
            </w:r>
          </w:p>
        </w:tc>
        <w:tc>
          <w:tcPr>
            <w:tcW w:w="836" w:type="dxa"/>
            <w:tcBorders>
              <w:top w:val="nil"/>
              <w:left w:val="nil"/>
              <w:bottom w:val="nil"/>
              <w:right w:val="nil"/>
            </w:tcBorders>
            <w:shd w:val="clear" w:color="auto" w:fill="auto"/>
            <w:vAlign w:val="center"/>
            <w:hideMark/>
          </w:tcPr>
          <w:p w14:paraId="0F405643" w14:textId="77777777" w:rsidR="000F6636" w:rsidRPr="00687546" w:rsidRDefault="000F6636" w:rsidP="00484DB0">
            <w:pPr>
              <w:jc w:val="center"/>
              <w:rPr>
                <w:rFonts w:cs="Times New Roman"/>
                <w:color w:val="000000"/>
                <w:sz w:val="18"/>
                <w:szCs w:val="18"/>
              </w:rPr>
            </w:pPr>
            <w:r w:rsidRPr="00687546">
              <w:rPr>
                <w:color w:val="000000"/>
                <w:sz w:val="18"/>
                <w:szCs w:val="18"/>
              </w:rPr>
              <w:t>P.7</w:t>
            </w:r>
          </w:p>
        </w:tc>
        <w:tc>
          <w:tcPr>
            <w:tcW w:w="885" w:type="dxa"/>
            <w:tcBorders>
              <w:top w:val="nil"/>
              <w:left w:val="nil"/>
              <w:bottom w:val="nil"/>
              <w:right w:val="nil"/>
            </w:tcBorders>
            <w:shd w:val="clear" w:color="auto" w:fill="auto"/>
            <w:vAlign w:val="center"/>
            <w:hideMark/>
          </w:tcPr>
          <w:p w14:paraId="3239FDD7" w14:textId="77777777" w:rsidR="000F6636" w:rsidRPr="00687546" w:rsidRDefault="000F6636" w:rsidP="00484DB0">
            <w:pPr>
              <w:jc w:val="center"/>
              <w:rPr>
                <w:color w:val="000000"/>
                <w:sz w:val="18"/>
                <w:szCs w:val="18"/>
              </w:rPr>
            </w:pPr>
            <w:r w:rsidRPr="00687546">
              <w:rPr>
                <w:color w:val="000000"/>
                <w:sz w:val="18"/>
                <w:szCs w:val="18"/>
              </w:rPr>
              <w:t>82,0</w:t>
            </w:r>
          </w:p>
        </w:tc>
        <w:tc>
          <w:tcPr>
            <w:tcW w:w="836" w:type="dxa"/>
            <w:tcBorders>
              <w:top w:val="nil"/>
              <w:left w:val="nil"/>
              <w:bottom w:val="nil"/>
              <w:right w:val="nil"/>
            </w:tcBorders>
            <w:shd w:val="clear" w:color="auto" w:fill="auto"/>
            <w:vAlign w:val="center"/>
            <w:hideMark/>
          </w:tcPr>
          <w:p w14:paraId="75CBEF1A" w14:textId="77777777" w:rsidR="000F6636" w:rsidRPr="00687546" w:rsidRDefault="000F6636" w:rsidP="00484DB0">
            <w:pPr>
              <w:jc w:val="center"/>
              <w:rPr>
                <w:color w:val="000000"/>
                <w:sz w:val="18"/>
                <w:szCs w:val="18"/>
              </w:rPr>
            </w:pPr>
            <w:r w:rsidRPr="00687546">
              <w:rPr>
                <w:color w:val="000000"/>
                <w:sz w:val="18"/>
                <w:szCs w:val="18"/>
              </w:rPr>
              <w:t>-7,6</w:t>
            </w:r>
          </w:p>
        </w:tc>
        <w:tc>
          <w:tcPr>
            <w:tcW w:w="836" w:type="dxa"/>
            <w:tcBorders>
              <w:top w:val="nil"/>
              <w:left w:val="nil"/>
              <w:bottom w:val="nil"/>
              <w:right w:val="nil"/>
            </w:tcBorders>
            <w:shd w:val="clear" w:color="auto" w:fill="auto"/>
            <w:vAlign w:val="center"/>
            <w:hideMark/>
          </w:tcPr>
          <w:p w14:paraId="2BA0BC05" w14:textId="77777777" w:rsidR="000F6636" w:rsidRPr="00687546" w:rsidRDefault="000F6636" w:rsidP="00484DB0">
            <w:pPr>
              <w:jc w:val="center"/>
              <w:rPr>
                <w:color w:val="000000"/>
                <w:sz w:val="18"/>
                <w:szCs w:val="18"/>
              </w:rPr>
            </w:pPr>
            <w:r w:rsidRPr="00687546">
              <w:rPr>
                <w:color w:val="000000"/>
                <w:sz w:val="18"/>
                <w:szCs w:val="18"/>
              </w:rPr>
              <w:t>6,3</w:t>
            </w:r>
          </w:p>
        </w:tc>
        <w:tc>
          <w:tcPr>
            <w:tcW w:w="836" w:type="dxa"/>
            <w:tcBorders>
              <w:top w:val="nil"/>
              <w:left w:val="nil"/>
              <w:bottom w:val="nil"/>
              <w:right w:val="nil"/>
            </w:tcBorders>
            <w:shd w:val="clear" w:color="auto" w:fill="auto"/>
            <w:vAlign w:val="center"/>
            <w:hideMark/>
          </w:tcPr>
          <w:p w14:paraId="5059E428" w14:textId="77777777" w:rsidR="000F6636" w:rsidRPr="00687546" w:rsidRDefault="000F6636" w:rsidP="00484DB0">
            <w:pPr>
              <w:jc w:val="center"/>
              <w:rPr>
                <w:color w:val="000000"/>
                <w:sz w:val="18"/>
                <w:szCs w:val="18"/>
              </w:rPr>
            </w:pPr>
            <w:r w:rsidRPr="00687546">
              <w:rPr>
                <w:color w:val="000000"/>
                <w:sz w:val="18"/>
                <w:szCs w:val="18"/>
              </w:rPr>
              <w:t>4,7</w:t>
            </w:r>
          </w:p>
        </w:tc>
        <w:tc>
          <w:tcPr>
            <w:tcW w:w="836" w:type="dxa"/>
            <w:tcBorders>
              <w:top w:val="nil"/>
              <w:left w:val="nil"/>
              <w:bottom w:val="nil"/>
              <w:right w:val="nil"/>
            </w:tcBorders>
            <w:shd w:val="clear" w:color="auto" w:fill="auto"/>
            <w:vAlign w:val="center"/>
            <w:hideMark/>
          </w:tcPr>
          <w:p w14:paraId="2392B24B" w14:textId="77777777" w:rsidR="000F6636" w:rsidRPr="00687546" w:rsidRDefault="000F6636" w:rsidP="00484DB0">
            <w:pPr>
              <w:jc w:val="center"/>
              <w:rPr>
                <w:color w:val="000000"/>
                <w:sz w:val="18"/>
                <w:szCs w:val="18"/>
              </w:rPr>
            </w:pPr>
            <w:r w:rsidRPr="00687546">
              <w:rPr>
                <w:color w:val="000000"/>
                <w:sz w:val="18"/>
                <w:szCs w:val="18"/>
              </w:rPr>
              <w:t>3,1</w:t>
            </w:r>
          </w:p>
        </w:tc>
        <w:tc>
          <w:tcPr>
            <w:tcW w:w="836" w:type="dxa"/>
            <w:tcBorders>
              <w:top w:val="nil"/>
              <w:left w:val="nil"/>
              <w:bottom w:val="nil"/>
              <w:right w:val="nil"/>
            </w:tcBorders>
            <w:shd w:val="clear" w:color="auto" w:fill="auto"/>
            <w:vAlign w:val="center"/>
            <w:hideMark/>
          </w:tcPr>
          <w:p w14:paraId="4DCE9FF7" w14:textId="77777777" w:rsidR="000F6636" w:rsidRPr="00687546" w:rsidRDefault="000F6636" w:rsidP="00484DB0">
            <w:pPr>
              <w:jc w:val="center"/>
              <w:rPr>
                <w:color w:val="000000"/>
                <w:sz w:val="18"/>
                <w:szCs w:val="18"/>
              </w:rPr>
            </w:pPr>
            <w:r w:rsidRPr="00687546">
              <w:rPr>
                <w:color w:val="000000"/>
                <w:sz w:val="18"/>
                <w:szCs w:val="18"/>
              </w:rPr>
              <w:t>2,9</w:t>
            </w:r>
          </w:p>
        </w:tc>
      </w:tr>
      <w:tr w:rsidR="000F6636" w:rsidRPr="00687546" w14:paraId="5D6FB768" w14:textId="77777777" w:rsidTr="00484DB0">
        <w:trPr>
          <w:trHeight w:val="283"/>
        </w:trPr>
        <w:tc>
          <w:tcPr>
            <w:tcW w:w="8986" w:type="dxa"/>
            <w:gridSpan w:val="8"/>
            <w:tcBorders>
              <w:top w:val="nil"/>
              <w:left w:val="nil"/>
              <w:bottom w:val="nil"/>
              <w:right w:val="nil"/>
            </w:tcBorders>
            <w:shd w:val="clear" w:color="auto" w:fill="auto"/>
            <w:vAlign w:val="center"/>
            <w:hideMark/>
          </w:tcPr>
          <w:p w14:paraId="298E917A" w14:textId="77777777" w:rsidR="000F6636" w:rsidRPr="00687546" w:rsidRDefault="000F6636" w:rsidP="00484DB0">
            <w:pPr>
              <w:jc w:val="center"/>
              <w:rPr>
                <w:rFonts w:cs="Times New Roman"/>
                <w:b/>
                <w:bCs/>
                <w:color w:val="000000"/>
                <w:sz w:val="18"/>
                <w:szCs w:val="18"/>
              </w:rPr>
            </w:pPr>
            <w:r w:rsidRPr="00687546">
              <w:rPr>
                <w:rFonts w:cs="Times New Roman"/>
                <w:b/>
                <w:bCs/>
                <w:color w:val="000000"/>
                <w:sz w:val="18"/>
                <w:szCs w:val="18"/>
              </w:rPr>
              <w:t>Príspevky k reálnemu rastu HDP</w:t>
            </w:r>
          </w:p>
        </w:tc>
      </w:tr>
      <w:tr w:rsidR="000F6636" w:rsidRPr="00687546" w14:paraId="4F461F2B" w14:textId="77777777" w:rsidTr="00484DB0">
        <w:trPr>
          <w:trHeight w:val="283"/>
        </w:trPr>
        <w:tc>
          <w:tcPr>
            <w:tcW w:w="3085" w:type="dxa"/>
            <w:tcBorders>
              <w:top w:val="nil"/>
              <w:left w:val="nil"/>
              <w:bottom w:val="nil"/>
              <w:right w:val="nil"/>
            </w:tcBorders>
            <w:shd w:val="clear" w:color="auto" w:fill="auto"/>
            <w:noWrap/>
            <w:vAlign w:val="center"/>
            <w:hideMark/>
          </w:tcPr>
          <w:p w14:paraId="21DBF291" w14:textId="77777777" w:rsidR="000F6636" w:rsidRPr="00687546" w:rsidRDefault="000F6636" w:rsidP="00484DB0">
            <w:pPr>
              <w:rPr>
                <w:rFonts w:cs="Times New Roman"/>
                <w:color w:val="000000"/>
                <w:sz w:val="18"/>
                <w:szCs w:val="18"/>
              </w:rPr>
            </w:pPr>
            <w:r w:rsidRPr="00687546">
              <w:rPr>
                <w:color w:val="000000"/>
                <w:sz w:val="18"/>
                <w:szCs w:val="18"/>
              </w:rPr>
              <w:t>9. Domáci dopyt spolu</w:t>
            </w:r>
          </w:p>
        </w:tc>
        <w:tc>
          <w:tcPr>
            <w:tcW w:w="836" w:type="dxa"/>
            <w:tcBorders>
              <w:top w:val="nil"/>
              <w:left w:val="nil"/>
              <w:bottom w:val="nil"/>
              <w:right w:val="nil"/>
            </w:tcBorders>
            <w:shd w:val="clear" w:color="auto" w:fill="auto"/>
            <w:noWrap/>
            <w:vAlign w:val="center"/>
            <w:hideMark/>
          </w:tcPr>
          <w:p w14:paraId="0DF559BA" w14:textId="77777777" w:rsidR="000F6636" w:rsidRPr="00687546" w:rsidRDefault="000F6636" w:rsidP="00484DB0">
            <w:pPr>
              <w:jc w:val="center"/>
              <w:rPr>
                <w:rFonts w:cs="Times New Roman"/>
                <w:color w:val="000000"/>
                <w:sz w:val="18"/>
                <w:szCs w:val="18"/>
              </w:rPr>
            </w:pPr>
          </w:p>
        </w:tc>
        <w:tc>
          <w:tcPr>
            <w:tcW w:w="885" w:type="dxa"/>
            <w:tcBorders>
              <w:top w:val="nil"/>
              <w:left w:val="nil"/>
              <w:bottom w:val="nil"/>
              <w:right w:val="nil"/>
            </w:tcBorders>
            <w:shd w:val="clear" w:color="auto" w:fill="auto"/>
            <w:noWrap/>
            <w:vAlign w:val="center"/>
            <w:hideMark/>
          </w:tcPr>
          <w:p w14:paraId="187FFF20" w14:textId="77777777" w:rsidR="000F6636" w:rsidRPr="00687546" w:rsidRDefault="000F6636" w:rsidP="00484DB0">
            <w:pPr>
              <w:jc w:val="center"/>
              <w:rPr>
                <w:rFonts w:cs="Times New Roman"/>
                <w:color w:val="000000"/>
                <w:sz w:val="18"/>
                <w:szCs w:val="18"/>
              </w:rPr>
            </w:pPr>
            <w:r w:rsidRPr="00687546">
              <w:rPr>
                <w:sz w:val="18"/>
                <w:szCs w:val="18"/>
              </w:rPr>
              <w:t>86,7</w:t>
            </w:r>
          </w:p>
        </w:tc>
        <w:tc>
          <w:tcPr>
            <w:tcW w:w="836" w:type="dxa"/>
            <w:tcBorders>
              <w:top w:val="nil"/>
              <w:left w:val="nil"/>
              <w:bottom w:val="nil"/>
              <w:right w:val="nil"/>
            </w:tcBorders>
            <w:shd w:val="clear" w:color="auto" w:fill="auto"/>
            <w:noWrap/>
            <w:vAlign w:val="center"/>
            <w:hideMark/>
          </w:tcPr>
          <w:p w14:paraId="016B3E34" w14:textId="77777777" w:rsidR="000F6636" w:rsidRPr="00687546" w:rsidRDefault="000F6636" w:rsidP="00484DB0">
            <w:pPr>
              <w:jc w:val="center"/>
              <w:rPr>
                <w:rFonts w:cs="Times New Roman"/>
                <w:color w:val="000000"/>
                <w:sz w:val="18"/>
                <w:szCs w:val="18"/>
              </w:rPr>
            </w:pPr>
            <w:r w:rsidRPr="00687546">
              <w:rPr>
                <w:sz w:val="18"/>
                <w:szCs w:val="18"/>
              </w:rPr>
              <w:t>-0,6</w:t>
            </w:r>
          </w:p>
        </w:tc>
        <w:tc>
          <w:tcPr>
            <w:tcW w:w="836" w:type="dxa"/>
            <w:tcBorders>
              <w:top w:val="nil"/>
              <w:left w:val="nil"/>
              <w:bottom w:val="nil"/>
              <w:right w:val="nil"/>
            </w:tcBorders>
            <w:shd w:val="clear" w:color="auto" w:fill="auto"/>
            <w:noWrap/>
            <w:vAlign w:val="center"/>
            <w:hideMark/>
          </w:tcPr>
          <w:p w14:paraId="0A3E00A0" w14:textId="77777777" w:rsidR="000F6636" w:rsidRPr="00687546" w:rsidRDefault="000F6636" w:rsidP="00484DB0">
            <w:pPr>
              <w:jc w:val="center"/>
              <w:rPr>
                <w:color w:val="000000"/>
                <w:sz w:val="18"/>
                <w:szCs w:val="18"/>
              </w:rPr>
            </w:pPr>
            <w:r w:rsidRPr="00687546">
              <w:rPr>
                <w:sz w:val="18"/>
                <w:szCs w:val="18"/>
              </w:rPr>
              <w:t>1,2</w:t>
            </w:r>
          </w:p>
        </w:tc>
        <w:tc>
          <w:tcPr>
            <w:tcW w:w="836" w:type="dxa"/>
            <w:tcBorders>
              <w:top w:val="nil"/>
              <w:left w:val="nil"/>
              <w:bottom w:val="nil"/>
              <w:right w:val="nil"/>
            </w:tcBorders>
            <w:shd w:val="clear" w:color="auto" w:fill="auto"/>
            <w:noWrap/>
            <w:vAlign w:val="center"/>
            <w:hideMark/>
          </w:tcPr>
          <w:p w14:paraId="07AAA24B" w14:textId="77777777" w:rsidR="000F6636" w:rsidRPr="00687546" w:rsidRDefault="000F6636" w:rsidP="00484DB0">
            <w:pPr>
              <w:jc w:val="center"/>
              <w:rPr>
                <w:color w:val="000000"/>
                <w:sz w:val="18"/>
                <w:szCs w:val="18"/>
              </w:rPr>
            </w:pPr>
            <w:r w:rsidRPr="00687546">
              <w:rPr>
                <w:sz w:val="18"/>
                <w:szCs w:val="18"/>
              </w:rPr>
              <w:t>3,7</w:t>
            </w:r>
          </w:p>
        </w:tc>
        <w:tc>
          <w:tcPr>
            <w:tcW w:w="836" w:type="dxa"/>
            <w:tcBorders>
              <w:top w:val="nil"/>
              <w:left w:val="nil"/>
              <w:bottom w:val="nil"/>
              <w:right w:val="nil"/>
            </w:tcBorders>
            <w:shd w:val="clear" w:color="auto" w:fill="auto"/>
            <w:noWrap/>
            <w:vAlign w:val="center"/>
            <w:hideMark/>
          </w:tcPr>
          <w:p w14:paraId="3820BDA6" w14:textId="77777777" w:rsidR="000F6636" w:rsidRPr="00687546" w:rsidRDefault="000F6636" w:rsidP="00484DB0">
            <w:pPr>
              <w:jc w:val="center"/>
              <w:rPr>
                <w:color w:val="000000"/>
                <w:sz w:val="18"/>
                <w:szCs w:val="18"/>
              </w:rPr>
            </w:pPr>
            <w:r w:rsidRPr="00687546">
              <w:rPr>
                <w:sz w:val="18"/>
                <w:szCs w:val="18"/>
              </w:rPr>
              <w:t>0,9</w:t>
            </w:r>
          </w:p>
        </w:tc>
        <w:tc>
          <w:tcPr>
            <w:tcW w:w="836" w:type="dxa"/>
            <w:tcBorders>
              <w:top w:val="nil"/>
              <w:left w:val="nil"/>
              <w:bottom w:val="nil"/>
              <w:right w:val="nil"/>
            </w:tcBorders>
            <w:shd w:val="clear" w:color="auto" w:fill="auto"/>
            <w:noWrap/>
            <w:vAlign w:val="center"/>
            <w:hideMark/>
          </w:tcPr>
          <w:p w14:paraId="5B185372" w14:textId="77777777" w:rsidR="000F6636" w:rsidRPr="00687546" w:rsidRDefault="000F6636" w:rsidP="00484DB0">
            <w:pPr>
              <w:jc w:val="center"/>
              <w:rPr>
                <w:color w:val="000000"/>
                <w:sz w:val="18"/>
                <w:szCs w:val="18"/>
              </w:rPr>
            </w:pPr>
            <w:r w:rsidRPr="00687546">
              <w:rPr>
                <w:sz w:val="18"/>
                <w:szCs w:val="18"/>
              </w:rPr>
              <w:t>0,0</w:t>
            </w:r>
          </w:p>
        </w:tc>
      </w:tr>
      <w:tr w:rsidR="000F6636" w:rsidRPr="00687546" w14:paraId="161D9258" w14:textId="77777777" w:rsidTr="00484DB0">
        <w:trPr>
          <w:trHeight w:val="283"/>
        </w:trPr>
        <w:tc>
          <w:tcPr>
            <w:tcW w:w="3085" w:type="dxa"/>
            <w:tcBorders>
              <w:top w:val="nil"/>
              <w:left w:val="nil"/>
              <w:bottom w:val="nil"/>
              <w:right w:val="nil"/>
            </w:tcBorders>
            <w:shd w:val="clear" w:color="auto" w:fill="auto"/>
            <w:vAlign w:val="center"/>
            <w:hideMark/>
          </w:tcPr>
          <w:p w14:paraId="50269DE5" w14:textId="77777777" w:rsidR="000F6636" w:rsidRPr="00687546" w:rsidRDefault="000F6636" w:rsidP="00484DB0">
            <w:pPr>
              <w:rPr>
                <w:rFonts w:cs="Times New Roman"/>
                <w:color w:val="000000"/>
                <w:sz w:val="18"/>
                <w:szCs w:val="18"/>
              </w:rPr>
            </w:pPr>
            <w:r w:rsidRPr="00687546">
              <w:rPr>
                <w:color w:val="000000"/>
                <w:sz w:val="18"/>
                <w:szCs w:val="18"/>
              </w:rPr>
              <w:t>10. Zmena stavu zásob a čisté nadobudnutie cenností</w:t>
            </w:r>
          </w:p>
        </w:tc>
        <w:tc>
          <w:tcPr>
            <w:tcW w:w="836" w:type="dxa"/>
            <w:tcBorders>
              <w:top w:val="nil"/>
              <w:left w:val="nil"/>
              <w:bottom w:val="nil"/>
              <w:right w:val="nil"/>
            </w:tcBorders>
            <w:shd w:val="clear" w:color="auto" w:fill="auto"/>
            <w:vAlign w:val="center"/>
            <w:hideMark/>
          </w:tcPr>
          <w:p w14:paraId="74843BE5" w14:textId="77777777" w:rsidR="000F6636" w:rsidRPr="00687546" w:rsidRDefault="000F6636" w:rsidP="00484DB0">
            <w:pPr>
              <w:jc w:val="center"/>
              <w:rPr>
                <w:rFonts w:cs="Times New Roman"/>
                <w:color w:val="000000"/>
                <w:sz w:val="18"/>
                <w:szCs w:val="18"/>
              </w:rPr>
            </w:pPr>
            <w:r w:rsidRPr="00687546">
              <w:rPr>
                <w:color w:val="000000"/>
                <w:sz w:val="18"/>
                <w:szCs w:val="18"/>
              </w:rPr>
              <w:t>P.52 + P.53</w:t>
            </w:r>
          </w:p>
        </w:tc>
        <w:tc>
          <w:tcPr>
            <w:tcW w:w="885" w:type="dxa"/>
            <w:tcBorders>
              <w:top w:val="nil"/>
              <w:left w:val="nil"/>
              <w:bottom w:val="nil"/>
              <w:right w:val="nil"/>
            </w:tcBorders>
            <w:shd w:val="clear" w:color="auto" w:fill="auto"/>
            <w:noWrap/>
            <w:vAlign w:val="center"/>
            <w:hideMark/>
          </w:tcPr>
          <w:p w14:paraId="0FFABB01" w14:textId="77777777" w:rsidR="000F6636" w:rsidRPr="00687546" w:rsidRDefault="000F6636" w:rsidP="00484DB0">
            <w:pPr>
              <w:jc w:val="center"/>
              <w:rPr>
                <w:rFonts w:cs="Times New Roman"/>
                <w:color w:val="000000"/>
                <w:sz w:val="18"/>
                <w:szCs w:val="18"/>
              </w:rPr>
            </w:pPr>
            <w:r w:rsidRPr="00687546">
              <w:rPr>
                <w:sz w:val="18"/>
                <w:szCs w:val="18"/>
              </w:rPr>
              <w:t>-2,3</w:t>
            </w:r>
          </w:p>
        </w:tc>
        <w:tc>
          <w:tcPr>
            <w:tcW w:w="836" w:type="dxa"/>
            <w:tcBorders>
              <w:top w:val="nil"/>
              <w:left w:val="nil"/>
              <w:bottom w:val="nil"/>
              <w:right w:val="nil"/>
            </w:tcBorders>
            <w:shd w:val="clear" w:color="auto" w:fill="auto"/>
            <w:vAlign w:val="center"/>
            <w:hideMark/>
          </w:tcPr>
          <w:p w14:paraId="20E4BDC0" w14:textId="77777777" w:rsidR="000F6636" w:rsidRPr="00687546" w:rsidRDefault="000F6636" w:rsidP="00484DB0">
            <w:pPr>
              <w:jc w:val="center"/>
              <w:rPr>
                <w:color w:val="000000"/>
                <w:sz w:val="18"/>
                <w:szCs w:val="18"/>
              </w:rPr>
            </w:pPr>
            <w:r w:rsidRPr="00687546">
              <w:rPr>
                <w:sz w:val="18"/>
                <w:szCs w:val="18"/>
              </w:rPr>
              <w:t>-5,0</w:t>
            </w:r>
          </w:p>
        </w:tc>
        <w:tc>
          <w:tcPr>
            <w:tcW w:w="836" w:type="dxa"/>
            <w:tcBorders>
              <w:top w:val="nil"/>
              <w:left w:val="nil"/>
              <w:bottom w:val="nil"/>
              <w:right w:val="nil"/>
            </w:tcBorders>
            <w:shd w:val="clear" w:color="auto" w:fill="auto"/>
            <w:vAlign w:val="center"/>
            <w:hideMark/>
          </w:tcPr>
          <w:p w14:paraId="025044EC" w14:textId="77777777" w:rsidR="000F6636" w:rsidRPr="00687546" w:rsidRDefault="000F6636" w:rsidP="00484DB0">
            <w:pPr>
              <w:jc w:val="center"/>
              <w:rPr>
                <w:color w:val="000000"/>
                <w:sz w:val="18"/>
                <w:szCs w:val="18"/>
              </w:rPr>
            </w:pPr>
            <w:r w:rsidRPr="00687546">
              <w:rPr>
                <w:sz w:val="18"/>
                <w:szCs w:val="18"/>
              </w:rPr>
              <w:t>3,9</w:t>
            </w:r>
          </w:p>
        </w:tc>
        <w:tc>
          <w:tcPr>
            <w:tcW w:w="836" w:type="dxa"/>
            <w:tcBorders>
              <w:top w:val="nil"/>
              <w:left w:val="nil"/>
              <w:bottom w:val="nil"/>
              <w:right w:val="nil"/>
            </w:tcBorders>
            <w:shd w:val="clear" w:color="auto" w:fill="auto"/>
            <w:vAlign w:val="center"/>
            <w:hideMark/>
          </w:tcPr>
          <w:p w14:paraId="5C70C0DD" w14:textId="77777777" w:rsidR="000F6636" w:rsidRPr="00687546" w:rsidRDefault="000F6636" w:rsidP="00484DB0">
            <w:pPr>
              <w:jc w:val="center"/>
              <w:rPr>
                <w:color w:val="000000"/>
                <w:sz w:val="18"/>
                <w:szCs w:val="18"/>
              </w:rPr>
            </w:pPr>
            <w:r w:rsidRPr="00687546">
              <w:rPr>
                <w:sz w:val="18"/>
                <w:szCs w:val="18"/>
              </w:rPr>
              <w:t>0,8</w:t>
            </w:r>
          </w:p>
        </w:tc>
        <w:tc>
          <w:tcPr>
            <w:tcW w:w="836" w:type="dxa"/>
            <w:tcBorders>
              <w:top w:val="nil"/>
              <w:left w:val="nil"/>
              <w:bottom w:val="nil"/>
              <w:right w:val="nil"/>
            </w:tcBorders>
            <w:shd w:val="clear" w:color="auto" w:fill="auto"/>
            <w:vAlign w:val="center"/>
            <w:hideMark/>
          </w:tcPr>
          <w:p w14:paraId="6CA3C1CA" w14:textId="77777777" w:rsidR="000F6636" w:rsidRPr="00687546" w:rsidRDefault="000F6636" w:rsidP="00484DB0">
            <w:pPr>
              <w:jc w:val="center"/>
              <w:rPr>
                <w:color w:val="000000"/>
                <w:sz w:val="18"/>
                <w:szCs w:val="18"/>
              </w:rPr>
            </w:pPr>
            <w:r w:rsidRPr="00687546">
              <w:rPr>
                <w:sz w:val="18"/>
                <w:szCs w:val="18"/>
              </w:rPr>
              <w:t>0,0</w:t>
            </w:r>
          </w:p>
        </w:tc>
        <w:tc>
          <w:tcPr>
            <w:tcW w:w="836" w:type="dxa"/>
            <w:tcBorders>
              <w:top w:val="nil"/>
              <w:left w:val="nil"/>
              <w:bottom w:val="nil"/>
              <w:right w:val="nil"/>
            </w:tcBorders>
            <w:shd w:val="clear" w:color="auto" w:fill="auto"/>
            <w:vAlign w:val="center"/>
            <w:hideMark/>
          </w:tcPr>
          <w:p w14:paraId="614E5B9D" w14:textId="77777777" w:rsidR="000F6636" w:rsidRPr="00687546" w:rsidRDefault="000F6636" w:rsidP="00484DB0">
            <w:pPr>
              <w:jc w:val="center"/>
              <w:rPr>
                <w:color w:val="000000"/>
                <w:sz w:val="18"/>
                <w:szCs w:val="18"/>
              </w:rPr>
            </w:pPr>
            <w:r w:rsidRPr="00687546">
              <w:rPr>
                <w:sz w:val="18"/>
                <w:szCs w:val="18"/>
              </w:rPr>
              <w:t>0,0</w:t>
            </w:r>
          </w:p>
        </w:tc>
      </w:tr>
      <w:tr w:rsidR="000F6636" w:rsidRPr="00687546" w14:paraId="68C4C9A1" w14:textId="77777777" w:rsidTr="00484DB0">
        <w:trPr>
          <w:trHeight w:val="283"/>
        </w:trPr>
        <w:tc>
          <w:tcPr>
            <w:tcW w:w="3085" w:type="dxa"/>
            <w:tcBorders>
              <w:top w:val="nil"/>
              <w:left w:val="nil"/>
              <w:bottom w:val="single" w:sz="8" w:space="0" w:color="auto"/>
              <w:right w:val="nil"/>
            </w:tcBorders>
            <w:shd w:val="clear" w:color="auto" w:fill="auto"/>
            <w:noWrap/>
            <w:vAlign w:val="center"/>
            <w:hideMark/>
          </w:tcPr>
          <w:p w14:paraId="0783FA90" w14:textId="77777777" w:rsidR="000F6636" w:rsidRPr="00687546" w:rsidRDefault="000F6636" w:rsidP="00484DB0">
            <w:pPr>
              <w:rPr>
                <w:rFonts w:cs="Times New Roman"/>
                <w:color w:val="000000"/>
                <w:sz w:val="18"/>
                <w:szCs w:val="18"/>
              </w:rPr>
            </w:pPr>
            <w:r w:rsidRPr="00687546">
              <w:rPr>
                <w:color w:val="000000"/>
                <w:sz w:val="18"/>
                <w:szCs w:val="18"/>
              </w:rPr>
              <w:t>11. Saldo zahr. obchodu s výrobkami a službami</w:t>
            </w:r>
          </w:p>
        </w:tc>
        <w:tc>
          <w:tcPr>
            <w:tcW w:w="836" w:type="dxa"/>
            <w:tcBorders>
              <w:top w:val="nil"/>
              <w:left w:val="nil"/>
              <w:bottom w:val="single" w:sz="8" w:space="0" w:color="auto"/>
              <w:right w:val="nil"/>
            </w:tcBorders>
            <w:shd w:val="clear" w:color="auto" w:fill="auto"/>
            <w:noWrap/>
            <w:vAlign w:val="center"/>
            <w:hideMark/>
          </w:tcPr>
          <w:p w14:paraId="6D300974" w14:textId="77777777" w:rsidR="000F6636" w:rsidRPr="00687546" w:rsidRDefault="000F6636" w:rsidP="00484DB0">
            <w:pPr>
              <w:jc w:val="center"/>
              <w:rPr>
                <w:rFonts w:cs="Times New Roman"/>
                <w:color w:val="000000"/>
                <w:sz w:val="18"/>
                <w:szCs w:val="18"/>
              </w:rPr>
            </w:pPr>
            <w:r w:rsidRPr="00687546">
              <w:rPr>
                <w:color w:val="000000"/>
                <w:sz w:val="18"/>
                <w:szCs w:val="18"/>
              </w:rPr>
              <w:t>B.11</w:t>
            </w:r>
          </w:p>
        </w:tc>
        <w:tc>
          <w:tcPr>
            <w:tcW w:w="885" w:type="dxa"/>
            <w:tcBorders>
              <w:top w:val="nil"/>
              <w:left w:val="nil"/>
              <w:bottom w:val="single" w:sz="8" w:space="0" w:color="auto"/>
              <w:right w:val="nil"/>
            </w:tcBorders>
            <w:shd w:val="clear" w:color="auto" w:fill="auto"/>
            <w:noWrap/>
            <w:vAlign w:val="center"/>
            <w:hideMark/>
          </w:tcPr>
          <w:p w14:paraId="66E7883F" w14:textId="77777777" w:rsidR="000F6636" w:rsidRPr="00687546" w:rsidRDefault="000F6636" w:rsidP="00484DB0">
            <w:pPr>
              <w:jc w:val="center"/>
              <w:rPr>
                <w:rFonts w:cs="Times New Roman"/>
                <w:color w:val="000000"/>
                <w:sz w:val="18"/>
                <w:szCs w:val="18"/>
              </w:rPr>
            </w:pPr>
            <w:r w:rsidRPr="00687546">
              <w:rPr>
                <w:sz w:val="18"/>
                <w:szCs w:val="18"/>
              </w:rPr>
              <w:t>7,0</w:t>
            </w:r>
          </w:p>
        </w:tc>
        <w:tc>
          <w:tcPr>
            <w:tcW w:w="836" w:type="dxa"/>
            <w:tcBorders>
              <w:top w:val="nil"/>
              <w:left w:val="nil"/>
              <w:bottom w:val="single" w:sz="8" w:space="0" w:color="auto"/>
              <w:right w:val="nil"/>
            </w:tcBorders>
            <w:shd w:val="clear" w:color="auto" w:fill="auto"/>
            <w:noWrap/>
            <w:vAlign w:val="center"/>
            <w:hideMark/>
          </w:tcPr>
          <w:p w14:paraId="5B62C24F" w14:textId="77777777" w:rsidR="000F6636" w:rsidRPr="00687546" w:rsidRDefault="000F6636" w:rsidP="00484DB0">
            <w:pPr>
              <w:jc w:val="center"/>
              <w:rPr>
                <w:color w:val="000000"/>
                <w:sz w:val="18"/>
                <w:szCs w:val="18"/>
              </w:rPr>
            </w:pPr>
            <w:r w:rsidRPr="00687546">
              <w:rPr>
                <w:sz w:val="18"/>
                <w:szCs w:val="18"/>
              </w:rPr>
              <w:t>5,9</w:t>
            </w:r>
          </w:p>
        </w:tc>
        <w:tc>
          <w:tcPr>
            <w:tcW w:w="836" w:type="dxa"/>
            <w:tcBorders>
              <w:top w:val="nil"/>
              <w:left w:val="nil"/>
              <w:bottom w:val="single" w:sz="8" w:space="0" w:color="auto"/>
              <w:right w:val="nil"/>
            </w:tcBorders>
            <w:shd w:val="clear" w:color="auto" w:fill="auto"/>
            <w:noWrap/>
            <w:vAlign w:val="center"/>
            <w:hideMark/>
          </w:tcPr>
          <w:p w14:paraId="76C54057" w14:textId="77777777" w:rsidR="000F6636" w:rsidRPr="00687546" w:rsidRDefault="000F6636" w:rsidP="00484DB0">
            <w:pPr>
              <w:jc w:val="center"/>
              <w:rPr>
                <w:color w:val="000000"/>
                <w:sz w:val="18"/>
                <w:szCs w:val="18"/>
              </w:rPr>
            </w:pPr>
            <w:r w:rsidRPr="00687546">
              <w:rPr>
                <w:sz w:val="18"/>
                <w:szCs w:val="18"/>
              </w:rPr>
              <w:t>-2,9</w:t>
            </w:r>
          </w:p>
        </w:tc>
        <w:tc>
          <w:tcPr>
            <w:tcW w:w="836" w:type="dxa"/>
            <w:tcBorders>
              <w:top w:val="nil"/>
              <w:left w:val="nil"/>
              <w:bottom w:val="single" w:sz="8" w:space="0" w:color="auto"/>
              <w:right w:val="nil"/>
            </w:tcBorders>
            <w:shd w:val="clear" w:color="auto" w:fill="auto"/>
            <w:noWrap/>
            <w:vAlign w:val="center"/>
            <w:hideMark/>
          </w:tcPr>
          <w:p w14:paraId="08423C2D" w14:textId="77777777" w:rsidR="000F6636" w:rsidRPr="00687546" w:rsidRDefault="000F6636" w:rsidP="00484DB0">
            <w:pPr>
              <w:jc w:val="center"/>
              <w:rPr>
                <w:color w:val="000000"/>
                <w:sz w:val="18"/>
                <w:szCs w:val="18"/>
              </w:rPr>
            </w:pPr>
            <w:r w:rsidRPr="00687546">
              <w:rPr>
                <w:sz w:val="18"/>
                <w:szCs w:val="18"/>
              </w:rPr>
              <w:t>-1,4</w:t>
            </w:r>
          </w:p>
        </w:tc>
        <w:tc>
          <w:tcPr>
            <w:tcW w:w="836" w:type="dxa"/>
            <w:tcBorders>
              <w:top w:val="nil"/>
              <w:left w:val="nil"/>
              <w:bottom w:val="single" w:sz="8" w:space="0" w:color="auto"/>
              <w:right w:val="nil"/>
            </w:tcBorders>
            <w:shd w:val="clear" w:color="auto" w:fill="auto"/>
            <w:noWrap/>
            <w:vAlign w:val="center"/>
            <w:hideMark/>
          </w:tcPr>
          <w:p w14:paraId="700B337B" w14:textId="77777777" w:rsidR="000F6636" w:rsidRPr="00687546" w:rsidRDefault="000F6636" w:rsidP="00484DB0">
            <w:pPr>
              <w:jc w:val="center"/>
              <w:rPr>
                <w:color w:val="000000"/>
                <w:sz w:val="18"/>
                <w:szCs w:val="18"/>
              </w:rPr>
            </w:pPr>
            <w:r w:rsidRPr="00687546">
              <w:rPr>
                <w:sz w:val="18"/>
                <w:szCs w:val="18"/>
              </w:rPr>
              <w:t>1,4</w:t>
            </w:r>
          </w:p>
        </w:tc>
        <w:tc>
          <w:tcPr>
            <w:tcW w:w="836" w:type="dxa"/>
            <w:tcBorders>
              <w:top w:val="nil"/>
              <w:left w:val="nil"/>
              <w:bottom w:val="single" w:sz="8" w:space="0" w:color="auto"/>
              <w:right w:val="nil"/>
            </w:tcBorders>
            <w:shd w:val="clear" w:color="auto" w:fill="auto"/>
            <w:noWrap/>
            <w:vAlign w:val="center"/>
            <w:hideMark/>
          </w:tcPr>
          <w:p w14:paraId="78C2EB2B" w14:textId="77777777" w:rsidR="000F6636" w:rsidRPr="00687546" w:rsidRDefault="000F6636" w:rsidP="00484DB0">
            <w:pPr>
              <w:jc w:val="center"/>
              <w:rPr>
                <w:color w:val="000000"/>
                <w:sz w:val="18"/>
                <w:szCs w:val="18"/>
              </w:rPr>
            </w:pPr>
            <w:r w:rsidRPr="00687546">
              <w:rPr>
                <w:sz w:val="18"/>
                <w:szCs w:val="18"/>
              </w:rPr>
              <w:t>1,7</w:t>
            </w:r>
          </w:p>
        </w:tc>
      </w:tr>
      <w:tr w:rsidR="000F6636" w:rsidRPr="00B340F1" w14:paraId="373978D3" w14:textId="77777777" w:rsidTr="00484DB0">
        <w:trPr>
          <w:trHeight w:val="283"/>
        </w:trPr>
        <w:tc>
          <w:tcPr>
            <w:tcW w:w="3085" w:type="dxa"/>
            <w:tcBorders>
              <w:top w:val="single" w:sz="8" w:space="0" w:color="auto"/>
              <w:left w:val="nil"/>
              <w:bottom w:val="nil"/>
              <w:right w:val="nil"/>
            </w:tcBorders>
            <w:shd w:val="clear" w:color="auto" w:fill="auto"/>
            <w:noWrap/>
            <w:vAlign w:val="bottom"/>
          </w:tcPr>
          <w:p w14:paraId="60780CD0" w14:textId="77777777" w:rsidR="000F6636" w:rsidRPr="00687546" w:rsidRDefault="000F6636" w:rsidP="00484DB0">
            <w:pPr>
              <w:rPr>
                <w:rFonts w:cs="Times New Roman"/>
                <w:color w:val="000000"/>
                <w:sz w:val="18"/>
                <w:szCs w:val="18"/>
              </w:rPr>
            </w:pPr>
            <w:r w:rsidRPr="002456CC">
              <w:rPr>
                <w:rFonts w:cs="Times New Roman"/>
                <w:i/>
                <w:iCs/>
                <w:color w:val="000000"/>
                <w:sz w:val="16"/>
                <w:szCs w:val="18"/>
              </w:rPr>
              <w:t>*Podľa revízie ŠÚ SR z 19. 04. 2024</w:t>
            </w:r>
          </w:p>
        </w:tc>
        <w:tc>
          <w:tcPr>
            <w:tcW w:w="836" w:type="dxa"/>
            <w:tcBorders>
              <w:top w:val="single" w:sz="8" w:space="0" w:color="auto"/>
              <w:left w:val="nil"/>
              <w:bottom w:val="nil"/>
              <w:right w:val="nil"/>
            </w:tcBorders>
            <w:shd w:val="clear" w:color="auto" w:fill="auto"/>
            <w:noWrap/>
            <w:vAlign w:val="bottom"/>
          </w:tcPr>
          <w:p w14:paraId="789073E8" w14:textId="77777777" w:rsidR="000F6636" w:rsidRPr="00687546" w:rsidRDefault="000F6636" w:rsidP="00484DB0">
            <w:pPr>
              <w:jc w:val="center"/>
              <w:rPr>
                <w:rFonts w:cs="Times New Roman"/>
                <w:color w:val="000000"/>
                <w:sz w:val="18"/>
                <w:szCs w:val="18"/>
              </w:rPr>
            </w:pPr>
          </w:p>
        </w:tc>
        <w:tc>
          <w:tcPr>
            <w:tcW w:w="885" w:type="dxa"/>
            <w:tcBorders>
              <w:top w:val="single" w:sz="8" w:space="0" w:color="auto"/>
              <w:left w:val="nil"/>
              <w:bottom w:val="nil"/>
              <w:right w:val="nil"/>
            </w:tcBorders>
            <w:shd w:val="clear" w:color="auto" w:fill="auto"/>
            <w:noWrap/>
            <w:vAlign w:val="bottom"/>
          </w:tcPr>
          <w:p w14:paraId="58BB7E25" w14:textId="77777777" w:rsidR="000F6636" w:rsidRPr="00687546" w:rsidRDefault="000F6636" w:rsidP="00484DB0">
            <w:pPr>
              <w:jc w:val="center"/>
              <w:rPr>
                <w:rFonts w:cs="Times New Roman"/>
                <w:color w:val="000000"/>
                <w:sz w:val="18"/>
                <w:szCs w:val="18"/>
              </w:rPr>
            </w:pPr>
          </w:p>
        </w:tc>
        <w:tc>
          <w:tcPr>
            <w:tcW w:w="836" w:type="dxa"/>
            <w:tcBorders>
              <w:top w:val="single" w:sz="8" w:space="0" w:color="auto"/>
              <w:left w:val="nil"/>
              <w:bottom w:val="nil"/>
              <w:right w:val="nil"/>
            </w:tcBorders>
            <w:shd w:val="clear" w:color="auto" w:fill="auto"/>
            <w:noWrap/>
            <w:vAlign w:val="center"/>
          </w:tcPr>
          <w:p w14:paraId="2BE33CD1" w14:textId="77777777" w:rsidR="000F6636" w:rsidRPr="00687546" w:rsidRDefault="000F6636" w:rsidP="00484DB0">
            <w:pPr>
              <w:jc w:val="center"/>
              <w:rPr>
                <w:rFonts w:cs="Times New Roman"/>
                <w:color w:val="000000"/>
                <w:sz w:val="18"/>
                <w:szCs w:val="18"/>
              </w:rPr>
            </w:pPr>
          </w:p>
        </w:tc>
        <w:tc>
          <w:tcPr>
            <w:tcW w:w="836" w:type="dxa"/>
            <w:tcBorders>
              <w:top w:val="single" w:sz="8" w:space="0" w:color="auto"/>
              <w:left w:val="nil"/>
              <w:bottom w:val="nil"/>
              <w:right w:val="nil"/>
            </w:tcBorders>
            <w:shd w:val="clear" w:color="auto" w:fill="auto"/>
            <w:noWrap/>
            <w:vAlign w:val="center"/>
          </w:tcPr>
          <w:p w14:paraId="47A0DC91" w14:textId="77777777" w:rsidR="000F6636" w:rsidRPr="00687546" w:rsidRDefault="000F6636" w:rsidP="00484DB0">
            <w:pPr>
              <w:jc w:val="center"/>
              <w:rPr>
                <w:rFonts w:cs="Times New Roman"/>
                <w:color w:val="000000"/>
                <w:sz w:val="18"/>
                <w:szCs w:val="18"/>
              </w:rPr>
            </w:pPr>
          </w:p>
        </w:tc>
        <w:tc>
          <w:tcPr>
            <w:tcW w:w="836" w:type="dxa"/>
            <w:tcBorders>
              <w:top w:val="single" w:sz="8" w:space="0" w:color="auto"/>
              <w:left w:val="nil"/>
              <w:bottom w:val="nil"/>
              <w:right w:val="nil"/>
            </w:tcBorders>
            <w:shd w:val="clear" w:color="auto" w:fill="auto"/>
            <w:noWrap/>
            <w:vAlign w:val="center"/>
          </w:tcPr>
          <w:p w14:paraId="013A7AD3" w14:textId="77777777" w:rsidR="000F6636" w:rsidRPr="00687546" w:rsidRDefault="000F6636" w:rsidP="00484DB0">
            <w:pPr>
              <w:jc w:val="center"/>
              <w:rPr>
                <w:rFonts w:cs="Times New Roman"/>
                <w:color w:val="000000"/>
                <w:sz w:val="18"/>
                <w:szCs w:val="18"/>
              </w:rPr>
            </w:pPr>
          </w:p>
        </w:tc>
        <w:tc>
          <w:tcPr>
            <w:tcW w:w="1672" w:type="dxa"/>
            <w:gridSpan w:val="2"/>
            <w:tcBorders>
              <w:top w:val="single" w:sz="8" w:space="0" w:color="auto"/>
              <w:left w:val="nil"/>
              <w:bottom w:val="nil"/>
              <w:right w:val="nil"/>
            </w:tcBorders>
            <w:shd w:val="clear" w:color="auto" w:fill="auto"/>
            <w:noWrap/>
            <w:vAlign w:val="center"/>
          </w:tcPr>
          <w:p w14:paraId="3B86A374" w14:textId="77777777" w:rsidR="000F6636" w:rsidRPr="00687546" w:rsidRDefault="000F6636" w:rsidP="00484DB0">
            <w:pPr>
              <w:jc w:val="right"/>
              <w:rPr>
                <w:rFonts w:cs="Times New Roman"/>
                <w:color w:val="000000"/>
                <w:sz w:val="18"/>
                <w:szCs w:val="18"/>
              </w:rPr>
            </w:pPr>
            <w:r w:rsidRPr="00687546">
              <w:rPr>
                <w:rFonts w:cs="Times New Roman"/>
                <w:i/>
                <w:iCs/>
                <w:color w:val="000000"/>
                <w:sz w:val="16"/>
                <w:szCs w:val="18"/>
              </w:rPr>
              <w:t>Zdroj: MF SR</w:t>
            </w:r>
          </w:p>
        </w:tc>
      </w:tr>
    </w:tbl>
    <w:p w14:paraId="32DD1A3C" w14:textId="77777777" w:rsidR="000F6636" w:rsidRPr="0088520B" w:rsidRDefault="000F6636" w:rsidP="000F6636">
      <w:pPr>
        <w:rPr>
          <w:highlight w:val="yellow"/>
        </w:rPr>
      </w:pPr>
    </w:p>
    <w:tbl>
      <w:tblPr>
        <w:tblW w:w="9529" w:type="dxa"/>
        <w:tblLayout w:type="fixed"/>
        <w:tblCellMar>
          <w:left w:w="70" w:type="dxa"/>
          <w:right w:w="70" w:type="dxa"/>
        </w:tblCellMar>
        <w:tblLook w:val="04A0" w:firstRow="1" w:lastRow="0" w:firstColumn="1" w:lastColumn="0" w:noHBand="0" w:noVBand="1"/>
      </w:tblPr>
      <w:tblGrid>
        <w:gridCol w:w="2650"/>
        <w:gridCol w:w="462"/>
        <w:gridCol w:w="428"/>
        <w:gridCol w:w="549"/>
        <w:gridCol w:w="384"/>
        <w:gridCol w:w="601"/>
        <w:gridCol w:w="244"/>
        <w:gridCol w:w="616"/>
        <w:gridCol w:w="124"/>
        <w:gridCol w:w="55"/>
        <w:gridCol w:w="616"/>
        <w:gridCol w:w="256"/>
        <w:gridCol w:w="53"/>
        <w:gridCol w:w="563"/>
        <w:gridCol w:w="112"/>
        <w:gridCol w:w="305"/>
        <w:gridCol w:w="346"/>
        <w:gridCol w:w="641"/>
        <w:gridCol w:w="27"/>
        <w:gridCol w:w="165"/>
        <w:gridCol w:w="332"/>
      </w:tblGrid>
      <w:tr w:rsidR="000F6636" w:rsidRPr="0088520B" w14:paraId="3E574B97" w14:textId="77777777" w:rsidTr="00484DB0">
        <w:trPr>
          <w:trHeight w:val="279"/>
        </w:trPr>
        <w:tc>
          <w:tcPr>
            <w:tcW w:w="9529" w:type="dxa"/>
            <w:gridSpan w:val="21"/>
            <w:tcBorders>
              <w:top w:val="nil"/>
              <w:left w:val="nil"/>
              <w:bottom w:val="single" w:sz="4" w:space="0" w:color="FFFFFF"/>
              <w:right w:val="nil"/>
            </w:tcBorders>
            <w:shd w:val="clear" w:color="auto" w:fill="auto"/>
            <w:noWrap/>
            <w:vAlign w:val="center"/>
            <w:hideMark/>
          </w:tcPr>
          <w:p w14:paraId="674432A1" w14:textId="77777777" w:rsidR="000F6636" w:rsidRPr="000B1548" w:rsidRDefault="000F6636" w:rsidP="00484DB0">
            <w:pPr>
              <w:rPr>
                <w:rFonts w:eastAsia="Calibri"/>
                <w:b/>
                <w:color w:val="2C9ADC"/>
                <w:sz w:val="20"/>
                <w:szCs w:val="20"/>
              </w:rPr>
            </w:pPr>
            <w:bookmarkStart w:id="247" w:name="_Toc480905411"/>
            <w:bookmarkStart w:id="248" w:name="_Toc40186689"/>
            <w:bookmarkStart w:id="249" w:name="_Toc71622458"/>
            <w:r w:rsidRPr="000B1548">
              <w:rPr>
                <w:rFonts w:eastAsia="Calibri"/>
                <w:b/>
                <w:color w:val="2C9ADC"/>
                <w:sz w:val="20"/>
                <w:szCs w:val="20"/>
              </w:rPr>
              <w:t>Tabuľka 1b – Cenový vývoj (ESA 2010)</w:t>
            </w:r>
            <w:bookmarkEnd w:id="247"/>
            <w:bookmarkEnd w:id="248"/>
            <w:bookmarkEnd w:id="249"/>
            <w:r w:rsidRPr="000B1548">
              <w:rPr>
                <w:rFonts w:eastAsia="Calibri"/>
                <w:b/>
                <w:color w:val="2C9ADC"/>
                <w:sz w:val="20"/>
                <w:szCs w:val="20"/>
              </w:rPr>
              <w:t xml:space="preserve"> </w:t>
            </w:r>
          </w:p>
        </w:tc>
      </w:tr>
      <w:tr w:rsidR="000F6636" w:rsidRPr="000B1548" w14:paraId="44BF7ACE" w14:textId="77777777" w:rsidTr="00484DB0">
        <w:trPr>
          <w:gridAfter w:val="3"/>
          <w:wAfter w:w="524" w:type="dxa"/>
          <w:trHeight w:val="279"/>
        </w:trPr>
        <w:tc>
          <w:tcPr>
            <w:tcW w:w="2650" w:type="dxa"/>
            <w:vMerge w:val="restart"/>
            <w:tcBorders>
              <w:top w:val="single" w:sz="4" w:space="0" w:color="auto"/>
              <w:left w:val="nil"/>
              <w:bottom w:val="single" w:sz="6" w:space="0" w:color="auto"/>
              <w:right w:val="nil"/>
            </w:tcBorders>
            <w:shd w:val="clear" w:color="auto" w:fill="auto"/>
            <w:vAlign w:val="bottom"/>
            <w:hideMark/>
          </w:tcPr>
          <w:p w14:paraId="35FBB86C" w14:textId="77777777" w:rsidR="000F6636" w:rsidRPr="000B1548" w:rsidRDefault="000F6636" w:rsidP="00484DB0">
            <w:pPr>
              <w:rPr>
                <w:rFonts w:cs="Times New Roman"/>
                <w:color w:val="000000"/>
                <w:sz w:val="18"/>
                <w:szCs w:val="18"/>
              </w:rPr>
            </w:pPr>
            <w:r w:rsidRPr="000B1548">
              <w:rPr>
                <w:rFonts w:cs="Times New Roman"/>
                <w:color w:val="000000"/>
                <w:sz w:val="18"/>
                <w:szCs w:val="18"/>
              </w:rPr>
              <w:t> </w:t>
            </w:r>
          </w:p>
        </w:tc>
        <w:tc>
          <w:tcPr>
            <w:tcW w:w="462" w:type="dxa"/>
            <w:vMerge w:val="restart"/>
            <w:tcBorders>
              <w:top w:val="single" w:sz="4" w:space="0" w:color="auto"/>
              <w:left w:val="nil"/>
              <w:bottom w:val="single" w:sz="6" w:space="0" w:color="auto"/>
              <w:right w:val="nil"/>
            </w:tcBorders>
            <w:shd w:val="clear" w:color="auto" w:fill="auto"/>
            <w:vAlign w:val="center"/>
            <w:hideMark/>
          </w:tcPr>
          <w:p w14:paraId="14DED58A" w14:textId="77777777" w:rsidR="000F6636" w:rsidRPr="000B1548" w:rsidRDefault="000F6636" w:rsidP="00484DB0">
            <w:pPr>
              <w:jc w:val="center"/>
              <w:rPr>
                <w:rFonts w:cs="Times New Roman"/>
                <w:color w:val="000000"/>
                <w:sz w:val="18"/>
                <w:szCs w:val="18"/>
              </w:rPr>
            </w:pPr>
            <w:r w:rsidRPr="000B1548">
              <w:rPr>
                <w:rFonts w:cs="Times New Roman"/>
                <w:color w:val="000000"/>
                <w:sz w:val="18"/>
                <w:szCs w:val="18"/>
              </w:rPr>
              <w:t>ESA kód</w:t>
            </w:r>
          </w:p>
        </w:tc>
        <w:tc>
          <w:tcPr>
            <w:tcW w:w="977" w:type="dxa"/>
            <w:gridSpan w:val="2"/>
            <w:tcBorders>
              <w:top w:val="single" w:sz="4" w:space="0" w:color="auto"/>
              <w:left w:val="nil"/>
              <w:bottom w:val="nil"/>
              <w:right w:val="nil"/>
            </w:tcBorders>
            <w:shd w:val="clear" w:color="auto" w:fill="auto"/>
            <w:vAlign w:val="center"/>
            <w:hideMark/>
          </w:tcPr>
          <w:p w14:paraId="43B2BB7E" w14:textId="77777777" w:rsidR="000F6636" w:rsidRPr="000B1548" w:rsidRDefault="000F6636" w:rsidP="00484DB0">
            <w:pPr>
              <w:jc w:val="center"/>
              <w:rPr>
                <w:rFonts w:cs="Times New Roman"/>
                <w:b/>
                <w:bCs/>
                <w:color w:val="000000"/>
                <w:sz w:val="18"/>
                <w:szCs w:val="18"/>
              </w:rPr>
            </w:pPr>
            <w:r w:rsidRPr="000B1548">
              <w:rPr>
                <w:b/>
                <w:bCs/>
                <w:color w:val="000000"/>
                <w:sz w:val="18"/>
                <w:szCs w:val="18"/>
              </w:rPr>
              <w:t>2023</w:t>
            </w:r>
          </w:p>
        </w:tc>
        <w:tc>
          <w:tcPr>
            <w:tcW w:w="985" w:type="dxa"/>
            <w:gridSpan w:val="2"/>
            <w:tcBorders>
              <w:top w:val="single" w:sz="4" w:space="0" w:color="auto"/>
              <w:left w:val="nil"/>
              <w:bottom w:val="nil"/>
              <w:right w:val="nil"/>
            </w:tcBorders>
            <w:shd w:val="clear" w:color="auto" w:fill="auto"/>
            <w:vAlign w:val="center"/>
            <w:hideMark/>
          </w:tcPr>
          <w:p w14:paraId="3ACF98A1" w14:textId="77777777" w:rsidR="000F6636" w:rsidRPr="000B1548" w:rsidRDefault="000F6636" w:rsidP="00484DB0">
            <w:pPr>
              <w:jc w:val="center"/>
              <w:rPr>
                <w:b/>
                <w:bCs/>
                <w:color w:val="000000"/>
                <w:sz w:val="18"/>
                <w:szCs w:val="18"/>
              </w:rPr>
            </w:pPr>
            <w:r w:rsidRPr="000B1548">
              <w:rPr>
                <w:b/>
                <w:bCs/>
                <w:color w:val="000000"/>
                <w:sz w:val="18"/>
                <w:szCs w:val="18"/>
              </w:rPr>
              <w:t>2023</w:t>
            </w:r>
          </w:p>
        </w:tc>
        <w:tc>
          <w:tcPr>
            <w:tcW w:w="984" w:type="dxa"/>
            <w:gridSpan w:val="3"/>
            <w:tcBorders>
              <w:top w:val="single" w:sz="4" w:space="0" w:color="auto"/>
              <w:left w:val="nil"/>
              <w:bottom w:val="nil"/>
              <w:right w:val="nil"/>
            </w:tcBorders>
            <w:shd w:val="clear" w:color="auto" w:fill="auto"/>
            <w:vAlign w:val="center"/>
            <w:hideMark/>
          </w:tcPr>
          <w:p w14:paraId="491F39BF" w14:textId="77777777" w:rsidR="000F6636" w:rsidRPr="000B1548" w:rsidRDefault="000F6636" w:rsidP="00484DB0">
            <w:pPr>
              <w:jc w:val="center"/>
              <w:rPr>
                <w:b/>
                <w:bCs/>
                <w:color w:val="000000"/>
                <w:sz w:val="18"/>
                <w:szCs w:val="18"/>
              </w:rPr>
            </w:pPr>
            <w:r w:rsidRPr="000B1548">
              <w:rPr>
                <w:b/>
                <w:bCs/>
                <w:color w:val="000000"/>
                <w:sz w:val="18"/>
                <w:szCs w:val="18"/>
              </w:rPr>
              <w:t>2024</w:t>
            </w:r>
          </w:p>
        </w:tc>
        <w:tc>
          <w:tcPr>
            <w:tcW w:w="980" w:type="dxa"/>
            <w:gridSpan w:val="4"/>
            <w:tcBorders>
              <w:top w:val="single" w:sz="4" w:space="0" w:color="auto"/>
              <w:left w:val="nil"/>
              <w:bottom w:val="nil"/>
              <w:right w:val="nil"/>
            </w:tcBorders>
            <w:shd w:val="clear" w:color="auto" w:fill="auto"/>
            <w:vAlign w:val="center"/>
            <w:hideMark/>
          </w:tcPr>
          <w:p w14:paraId="4DF72562" w14:textId="77777777" w:rsidR="000F6636" w:rsidRPr="000B1548" w:rsidRDefault="000F6636" w:rsidP="00484DB0">
            <w:pPr>
              <w:jc w:val="center"/>
              <w:rPr>
                <w:b/>
                <w:bCs/>
                <w:color w:val="000000"/>
                <w:sz w:val="18"/>
                <w:szCs w:val="18"/>
              </w:rPr>
            </w:pPr>
            <w:r w:rsidRPr="000B1548">
              <w:rPr>
                <w:b/>
                <w:bCs/>
                <w:color w:val="000000"/>
                <w:sz w:val="18"/>
                <w:szCs w:val="18"/>
              </w:rPr>
              <w:t>2025</w:t>
            </w:r>
          </w:p>
        </w:tc>
        <w:tc>
          <w:tcPr>
            <w:tcW w:w="980" w:type="dxa"/>
            <w:gridSpan w:val="3"/>
            <w:tcBorders>
              <w:top w:val="single" w:sz="4" w:space="0" w:color="auto"/>
              <w:left w:val="nil"/>
              <w:bottom w:val="nil"/>
              <w:right w:val="nil"/>
            </w:tcBorders>
            <w:shd w:val="clear" w:color="auto" w:fill="auto"/>
            <w:vAlign w:val="center"/>
            <w:hideMark/>
          </w:tcPr>
          <w:p w14:paraId="1D620801" w14:textId="77777777" w:rsidR="000F6636" w:rsidRPr="000B1548" w:rsidRDefault="000F6636" w:rsidP="00484DB0">
            <w:pPr>
              <w:jc w:val="center"/>
              <w:rPr>
                <w:b/>
                <w:bCs/>
                <w:color w:val="000000"/>
                <w:sz w:val="18"/>
                <w:szCs w:val="18"/>
              </w:rPr>
            </w:pPr>
            <w:r w:rsidRPr="000B1548">
              <w:rPr>
                <w:b/>
                <w:bCs/>
                <w:color w:val="000000"/>
                <w:sz w:val="18"/>
                <w:szCs w:val="18"/>
              </w:rPr>
              <w:t>2026</w:t>
            </w:r>
          </w:p>
        </w:tc>
        <w:tc>
          <w:tcPr>
            <w:tcW w:w="987" w:type="dxa"/>
            <w:gridSpan w:val="2"/>
            <w:tcBorders>
              <w:top w:val="single" w:sz="4" w:space="0" w:color="auto"/>
              <w:left w:val="nil"/>
              <w:bottom w:val="nil"/>
              <w:right w:val="nil"/>
            </w:tcBorders>
            <w:shd w:val="clear" w:color="auto" w:fill="auto"/>
            <w:vAlign w:val="center"/>
            <w:hideMark/>
          </w:tcPr>
          <w:p w14:paraId="54D9DB50" w14:textId="77777777" w:rsidR="000F6636" w:rsidRPr="000B1548" w:rsidRDefault="000F6636" w:rsidP="00484DB0">
            <w:pPr>
              <w:jc w:val="center"/>
              <w:rPr>
                <w:b/>
                <w:bCs/>
                <w:color w:val="000000"/>
                <w:sz w:val="18"/>
                <w:szCs w:val="18"/>
              </w:rPr>
            </w:pPr>
            <w:r w:rsidRPr="000B1548">
              <w:rPr>
                <w:b/>
                <w:bCs/>
                <w:color w:val="000000"/>
                <w:sz w:val="18"/>
                <w:szCs w:val="18"/>
              </w:rPr>
              <w:t>2027</w:t>
            </w:r>
          </w:p>
        </w:tc>
      </w:tr>
      <w:tr w:rsidR="000F6636" w:rsidRPr="000B1548" w14:paraId="7AEB13CA" w14:textId="77777777" w:rsidTr="00484DB0">
        <w:trPr>
          <w:gridAfter w:val="3"/>
          <w:wAfter w:w="524" w:type="dxa"/>
          <w:trHeight w:val="279"/>
        </w:trPr>
        <w:tc>
          <w:tcPr>
            <w:tcW w:w="2650" w:type="dxa"/>
            <w:vMerge/>
            <w:tcBorders>
              <w:top w:val="single" w:sz="8" w:space="0" w:color="000000"/>
              <w:left w:val="nil"/>
              <w:bottom w:val="single" w:sz="6" w:space="0" w:color="auto"/>
              <w:right w:val="nil"/>
            </w:tcBorders>
            <w:vAlign w:val="center"/>
            <w:hideMark/>
          </w:tcPr>
          <w:p w14:paraId="00D71C83" w14:textId="77777777" w:rsidR="000F6636" w:rsidRPr="000B1548" w:rsidRDefault="000F6636" w:rsidP="00484DB0">
            <w:pPr>
              <w:rPr>
                <w:rFonts w:cs="Times New Roman"/>
                <w:color w:val="000000"/>
                <w:sz w:val="18"/>
                <w:szCs w:val="18"/>
              </w:rPr>
            </w:pPr>
          </w:p>
        </w:tc>
        <w:tc>
          <w:tcPr>
            <w:tcW w:w="462" w:type="dxa"/>
            <w:vMerge/>
            <w:tcBorders>
              <w:top w:val="single" w:sz="8" w:space="0" w:color="000000"/>
              <w:left w:val="nil"/>
              <w:bottom w:val="single" w:sz="6" w:space="0" w:color="auto"/>
              <w:right w:val="nil"/>
            </w:tcBorders>
            <w:vAlign w:val="center"/>
            <w:hideMark/>
          </w:tcPr>
          <w:p w14:paraId="576D81BD"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single" w:sz="6" w:space="0" w:color="auto"/>
              <w:right w:val="nil"/>
            </w:tcBorders>
            <w:shd w:val="clear" w:color="auto" w:fill="auto"/>
            <w:noWrap/>
            <w:vAlign w:val="bottom"/>
            <w:hideMark/>
          </w:tcPr>
          <w:p w14:paraId="1F1719B0" w14:textId="77777777" w:rsidR="000F6636" w:rsidRPr="000B1548" w:rsidRDefault="000F6636" w:rsidP="00484DB0">
            <w:pPr>
              <w:jc w:val="center"/>
              <w:rPr>
                <w:color w:val="000000"/>
                <w:sz w:val="18"/>
                <w:szCs w:val="18"/>
              </w:rPr>
            </w:pPr>
            <w:r w:rsidRPr="000B1548">
              <w:rPr>
                <w:color w:val="000000"/>
                <w:sz w:val="18"/>
                <w:szCs w:val="18"/>
              </w:rPr>
              <w:t>Skutočnosť</w:t>
            </w:r>
          </w:p>
        </w:tc>
        <w:tc>
          <w:tcPr>
            <w:tcW w:w="985" w:type="dxa"/>
            <w:gridSpan w:val="2"/>
            <w:tcBorders>
              <w:top w:val="nil"/>
              <w:left w:val="nil"/>
              <w:bottom w:val="single" w:sz="6" w:space="0" w:color="auto"/>
              <w:right w:val="nil"/>
            </w:tcBorders>
            <w:shd w:val="clear" w:color="auto" w:fill="auto"/>
            <w:vAlign w:val="bottom"/>
            <w:hideMark/>
          </w:tcPr>
          <w:p w14:paraId="544134B3" w14:textId="77777777" w:rsidR="000F6636" w:rsidRPr="000B1548" w:rsidRDefault="000F6636" w:rsidP="00484DB0">
            <w:pPr>
              <w:jc w:val="center"/>
              <w:rPr>
                <w:color w:val="000000"/>
                <w:sz w:val="18"/>
                <w:szCs w:val="18"/>
              </w:rPr>
            </w:pPr>
            <w:r w:rsidRPr="000B1548">
              <w:rPr>
                <w:color w:val="000000"/>
                <w:sz w:val="18"/>
                <w:szCs w:val="18"/>
              </w:rPr>
              <w:t>miera rastu</w:t>
            </w:r>
          </w:p>
        </w:tc>
        <w:tc>
          <w:tcPr>
            <w:tcW w:w="984" w:type="dxa"/>
            <w:gridSpan w:val="3"/>
            <w:tcBorders>
              <w:top w:val="nil"/>
              <w:left w:val="nil"/>
              <w:bottom w:val="single" w:sz="6" w:space="0" w:color="auto"/>
              <w:right w:val="nil"/>
            </w:tcBorders>
            <w:shd w:val="clear" w:color="auto" w:fill="auto"/>
            <w:vAlign w:val="bottom"/>
            <w:hideMark/>
          </w:tcPr>
          <w:p w14:paraId="648FA6F8" w14:textId="77777777" w:rsidR="000F6636" w:rsidRPr="000B1548" w:rsidRDefault="000F6636" w:rsidP="00484DB0">
            <w:pPr>
              <w:jc w:val="center"/>
              <w:rPr>
                <w:color w:val="000000"/>
                <w:sz w:val="18"/>
                <w:szCs w:val="18"/>
              </w:rPr>
            </w:pPr>
            <w:r w:rsidRPr="000B1548">
              <w:rPr>
                <w:color w:val="000000"/>
                <w:sz w:val="18"/>
                <w:szCs w:val="18"/>
              </w:rPr>
              <w:t>miera rastu</w:t>
            </w:r>
          </w:p>
        </w:tc>
        <w:tc>
          <w:tcPr>
            <w:tcW w:w="980" w:type="dxa"/>
            <w:gridSpan w:val="4"/>
            <w:tcBorders>
              <w:top w:val="nil"/>
              <w:left w:val="nil"/>
              <w:bottom w:val="single" w:sz="6" w:space="0" w:color="auto"/>
              <w:right w:val="nil"/>
            </w:tcBorders>
            <w:shd w:val="clear" w:color="auto" w:fill="auto"/>
            <w:vAlign w:val="bottom"/>
            <w:hideMark/>
          </w:tcPr>
          <w:p w14:paraId="7605602B" w14:textId="77777777" w:rsidR="000F6636" w:rsidRPr="000B1548" w:rsidRDefault="000F6636" w:rsidP="00484DB0">
            <w:pPr>
              <w:jc w:val="center"/>
              <w:rPr>
                <w:color w:val="000000"/>
                <w:sz w:val="18"/>
                <w:szCs w:val="18"/>
              </w:rPr>
            </w:pPr>
            <w:r w:rsidRPr="000B1548">
              <w:rPr>
                <w:color w:val="000000"/>
                <w:sz w:val="18"/>
                <w:szCs w:val="18"/>
              </w:rPr>
              <w:t>miera rastu</w:t>
            </w:r>
          </w:p>
        </w:tc>
        <w:tc>
          <w:tcPr>
            <w:tcW w:w="980" w:type="dxa"/>
            <w:gridSpan w:val="3"/>
            <w:tcBorders>
              <w:top w:val="nil"/>
              <w:left w:val="nil"/>
              <w:bottom w:val="single" w:sz="6" w:space="0" w:color="auto"/>
              <w:right w:val="nil"/>
            </w:tcBorders>
            <w:shd w:val="clear" w:color="auto" w:fill="auto"/>
            <w:vAlign w:val="bottom"/>
            <w:hideMark/>
          </w:tcPr>
          <w:p w14:paraId="474736ED" w14:textId="77777777" w:rsidR="000F6636" w:rsidRPr="000B1548" w:rsidRDefault="000F6636" w:rsidP="00484DB0">
            <w:pPr>
              <w:jc w:val="center"/>
              <w:rPr>
                <w:color w:val="000000"/>
                <w:sz w:val="18"/>
                <w:szCs w:val="18"/>
              </w:rPr>
            </w:pPr>
            <w:r w:rsidRPr="000B1548">
              <w:rPr>
                <w:color w:val="000000"/>
                <w:sz w:val="18"/>
                <w:szCs w:val="18"/>
              </w:rPr>
              <w:t>miera rastu</w:t>
            </w:r>
          </w:p>
        </w:tc>
        <w:tc>
          <w:tcPr>
            <w:tcW w:w="987" w:type="dxa"/>
            <w:gridSpan w:val="2"/>
            <w:tcBorders>
              <w:top w:val="nil"/>
              <w:left w:val="nil"/>
              <w:bottom w:val="single" w:sz="6" w:space="0" w:color="auto"/>
              <w:right w:val="nil"/>
            </w:tcBorders>
            <w:shd w:val="clear" w:color="auto" w:fill="auto"/>
            <w:vAlign w:val="bottom"/>
            <w:hideMark/>
          </w:tcPr>
          <w:p w14:paraId="1212EBC1" w14:textId="77777777" w:rsidR="000F6636" w:rsidRPr="000B1548" w:rsidRDefault="000F6636" w:rsidP="00484DB0">
            <w:pPr>
              <w:jc w:val="center"/>
              <w:rPr>
                <w:color w:val="000000"/>
                <w:sz w:val="18"/>
                <w:szCs w:val="18"/>
              </w:rPr>
            </w:pPr>
            <w:r w:rsidRPr="000B1548">
              <w:rPr>
                <w:color w:val="000000"/>
                <w:sz w:val="18"/>
                <w:szCs w:val="18"/>
              </w:rPr>
              <w:t>miera rastu</w:t>
            </w:r>
          </w:p>
        </w:tc>
      </w:tr>
      <w:tr w:rsidR="000F6636" w:rsidRPr="000B1548" w14:paraId="29CE03DF" w14:textId="77777777" w:rsidTr="00484DB0">
        <w:trPr>
          <w:gridAfter w:val="3"/>
          <w:wAfter w:w="524" w:type="dxa"/>
          <w:trHeight w:val="279"/>
        </w:trPr>
        <w:tc>
          <w:tcPr>
            <w:tcW w:w="2650" w:type="dxa"/>
            <w:tcBorders>
              <w:top w:val="single" w:sz="6" w:space="0" w:color="auto"/>
              <w:left w:val="nil"/>
              <w:bottom w:val="nil"/>
              <w:right w:val="nil"/>
            </w:tcBorders>
            <w:shd w:val="clear" w:color="auto" w:fill="auto"/>
            <w:vAlign w:val="center"/>
            <w:hideMark/>
          </w:tcPr>
          <w:p w14:paraId="276333EE" w14:textId="77777777" w:rsidR="000F6636" w:rsidRPr="000B1548" w:rsidRDefault="000F6636" w:rsidP="00484DB0">
            <w:pPr>
              <w:rPr>
                <w:rFonts w:cs="Times New Roman"/>
                <w:color w:val="000000"/>
                <w:sz w:val="18"/>
                <w:szCs w:val="18"/>
              </w:rPr>
            </w:pPr>
            <w:r w:rsidRPr="000B1548">
              <w:rPr>
                <w:rFonts w:cs="Times New Roman"/>
                <w:color w:val="000000"/>
                <w:sz w:val="18"/>
                <w:szCs w:val="18"/>
              </w:rPr>
              <w:t>1. Deflátor HDP</w:t>
            </w:r>
          </w:p>
        </w:tc>
        <w:tc>
          <w:tcPr>
            <w:tcW w:w="462" w:type="dxa"/>
            <w:tcBorders>
              <w:top w:val="single" w:sz="6" w:space="0" w:color="auto"/>
              <w:left w:val="nil"/>
              <w:bottom w:val="nil"/>
              <w:right w:val="nil"/>
            </w:tcBorders>
            <w:shd w:val="clear" w:color="auto" w:fill="auto"/>
            <w:vAlign w:val="bottom"/>
            <w:hideMark/>
          </w:tcPr>
          <w:p w14:paraId="23CBFB91"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nil"/>
              <w:right w:val="nil"/>
            </w:tcBorders>
            <w:shd w:val="clear" w:color="auto" w:fill="auto"/>
            <w:vAlign w:val="center"/>
            <w:hideMark/>
          </w:tcPr>
          <w:p w14:paraId="637EB5CD" w14:textId="77777777" w:rsidR="000F6636" w:rsidRPr="000B1548" w:rsidRDefault="000F6636" w:rsidP="00484DB0">
            <w:pPr>
              <w:jc w:val="center"/>
              <w:rPr>
                <w:color w:val="000000"/>
                <w:sz w:val="18"/>
                <w:szCs w:val="18"/>
              </w:rPr>
            </w:pPr>
            <w:r w:rsidRPr="000B1548">
              <w:rPr>
                <w:color w:val="000000"/>
                <w:sz w:val="18"/>
                <w:szCs w:val="18"/>
              </w:rPr>
              <w:t>1,3</w:t>
            </w:r>
          </w:p>
        </w:tc>
        <w:tc>
          <w:tcPr>
            <w:tcW w:w="985" w:type="dxa"/>
            <w:gridSpan w:val="2"/>
            <w:tcBorders>
              <w:top w:val="nil"/>
              <w:left w:val="nil"/>
              <w:bottom w:val="nil"/>
              <w:right w:val="nil"/>
            </w:tcBorders>
            <w:shd w:val="clear" w:color="auto" w:fill="auto"/>
            <w:noWrap/>
            <w:vAlign w:val="center"/>
            <w:hideMark/>
          </w:tcPr>
          <w:p w14:paraId="0F11684B" w14:textId="77777777" w:rsidR="000F6636" w:rsidRPr="000B1548" w:rsidRDefault="000F6636" w:rsidP="00484DB0">
            <w:pPr>
              <w:jc w:val="center"/>
              <w:rPr>
                <w:color w:val="000000"/>
                <w:sz w:val="18"/>
                <w:szCs w:val="18"/>
              </w:rPr>
            </w:pPr>
            <w:r w:rsidRPr="000B1548">
              <w:rPr>
                <w:color w:val="000000"/>
                <w:sz w:val="18"/>
                <w:szCs w:val="18"/>
              </w:rPr>
              <w:t>10,1</w:t>
            </w:r>
          </w:p>
        </w:tc>
        <w:tc>
          <w:tcPr>
            <w:tcW w:w="984" w:type="dxa"/>
            <w:gridSpan w:val="3"/>
            <w:tcBorders>
              <w:top w:val="nil"/>
              <w:left w:val="nil"/>
              <w:bottom w:val="nil"/>
              <w:right w:val="nil"/>
            </w:tcBorders>
            <w:shd w:val="clear" w:color="auto" w:fill="auto"/>
            <w:noWrap/>
            <w:vAlign w:val="center"/>
            <w:hideMark/>
          </w:tcPr>
          <w:p w14:paraId="29DAD186" w14:textId="77777777" w:rsidR="000F6636" w:rsidRPr="000B1548" w:rsidRDefault="000F6636" w:rsidP="00484DB0">
            <w:pPr>
              <w:jc w:val="center"/>
              <w:rPr>
                <w:color w:val="000000"/>
                <w:sz w:val="18"/>
                <w:szCs w:val="18"/>
              </w:rPr>
            </w:pPr>
            <w:r w:rsidRPr="000B1548">
              <w:rPr>
                <w:color w:val="000000"/>
                <w:sz w:val="18"/>
                <w:szCs w:val="18"/>
              </w:rPr>
              <w:t>5,0</w:t>
            </w:r>
          </w:p>
        </w:tc>
        <w:tc>
          <w:tcPr>
            <w:tcW w:w="980" w:type="dxa"/>
            <w:gridSpan w:val="4"/>
            <w:tcBorders>
              <w:top w:val="nil"/>
              <w:left w:val="nil"/>
              <w:bottom w:val="nil"/>
              <w:right w:val="nil"/>
            </w:tcBorders>
            <w:shd w:val="clear" w:color="auto" w:fill="auto"/>
            <w:noWrap/>
            <w:vAlign w:val="center"/>
            <w:hideMark/>
          </w:tcPr>
          <w:p w14:paraId="4AA4D812" w14:textId="77777777" w:rsidR="000F6636" w:rsidRPr="000B1548" w:rsidRDefault="000F6636" w:rsidP="00484DB0">
            <w:pPr>
              <w:jc w:val="center"/>
              <w:rPr>
                <w:color w:val="000000"/>
                <w:sz w:val="18"/>
                <w:szCs w:val="18"/>
              </w:rPr>
            </w:pPr>
            <w:r w:rsidRPr="000B1548">
              <w:rPr>
                <w:color w:val="000000"/>
                <w:sz w:val="18"/>
                <w:szCs w:val="18"/>
              </w:rPr>
              <w:t>3,6</w:t>
            </w:r>
          </w:p>
        </w:tc>
        <w:tc>
          <w:tcPr>
            <w:tcW w:w="980" w:type="dxa"/>
            <w:gridSpan w:val="3"/>
            <w:tcBorders>
              <w:top w:val="nil"/>
              <w:left w:val="nil"/>
              <w:bottom w:val="nil"/>
              <w:right w:val="nil"/>
            </w:tcBorders>
            <w:shd w:val="clear" w:color="auto" w:fill="auto"/>
            <w:noWrap/>
            <w:vAlign w:val="center"/>
            <w:hideMark/>
          </w:tcPr>
          <w:p w14:paraId="310214F0" w14:textId="77777777" w:rsidR="000F6636" w:rsidRPr="000B1548" w:rsidRDefault="000F6636" w:rsidP="00484DB0">
            <w:pPr>
              <w:jc w:val="center"/>
              <w:rPr>
                <w:color w:val="000000"/>
                <w:sz w:val="18"/>
                <w:szCs w:val="18"/>
              </w:rPr>
            </w:pPr>
            <w:r w:rsidRPr="000B1548">
              <w:rPr>
                <w:color w:val="000000"/>
                <w:sz w:val="18"/>
                <w:szCs w:val="18"/>
              </w:rPr>
              <w:t>2,4</w:t>
            </w:r>
          </w:p>
        </w:tc>
        <w:tc>
          <w:tcPr>
            <w:tcW w:w="987" w:type="dxa"/>
            <w:gridSpan w:val="2"/>
            <w:tcBorders>
              <w:top w:val="nil"/>
              <w:left w:val="nil"/>
              <w:bottom w:val="nil"/>
              <w:right w:val="nil"/>
            </w:tcBorders>
            <w:shd w:val="clear" w:color="auto" w:fill="auto"/>
            <w:noWrap/>
            <w:vAlign w:val="center"/>
            <w:hideMark/>
          </w:tcPr>
          <w:p w14:paraId="37EA1254" w14:textId="77777777" w:rsidR="000F6636" w:rsidRPr="000B1548" w:rsidRDefault="000F6636" w:rsidP="00484DB0">
            <w:pPr>
              <w:jc w:val="center"/>
              <w:rPr>
                <w:color w:val="000000"/>
                <w:sz w:val="18"/>
                <w:szCs w:val="18"/>
              </w:rPr>
            </w:pPr>
            <w:r w:rsidRPr="000B1548">
              <w:rPr>
                <w:color w:val="000000"/>
                <w:sz w:val="18"/>
                <w:szCs w:val="18"/>
              </w:rPr>
              <w:t>2,2</w:t>
            </w:r>
          </w:p>
        </w:tc>
      </w:tr>
      <w:tr w:rsidR="000F6636" w:rsidRPr="000B1548" w14:paraId="7378E289" w14:textId="77777777" w:rsidTr="00484DB0">
        <w:trPr>
          <w:gridAfter w:val="3"/>
          <w:wAfter w:w="524" w:type="dxa"/>
          <w:trHeight w:val="279"/>
        </w:trPr>
        <w:tc>
          <w:tcPr>
            <w:tcW w:w="2650" w:type="dxa"/>
            <w:tcBorders>
              <w:top w:val="nil"/>
              <w:left w:val="nil"/>
              <w:bottom w:val="nil"/>
              <w:right w:val="nil"/>
            </w:tcBorders>
            <w:shd w:val="clear" w:color="auto" w:fill="auto"/>
            <w:vAlign w:val="center"/>
            <w:hideMark/>
          </w:tcPr>
          <w:p w14:paraId="5F77564E" w14:textId="77777777" w:rsidR="000F6636" w:rsidRPr="000B1548" w:rsidRDefault="000F6636" w:rsidP="00484DB0">
            <w:pPr>
              <w:rPr>
                <w:rFonts w:cs="Times New Roman"/>
                <w:color w:val="000000"/>
                <w:sz w:val="18"/>
                <w:szCs w:val="18"/>
              </w:rPr>
            </w:pPr>
            <w:r w:rsidRPr="000B1548">
              <w:rPr>
                <w:rFonts w:cs="Times New Roman"/>
                <w:color w:val="000000"/>
                <w:sz w:val="18"/>
                <w:szCs w:val="18"/>
              </w:rPr>
              <w:t>2. Deflátor súkromnej spotreby</w:t>
            </w:r>
          </w:p>
        </w:tc>
        <w:tc>
          <w:tcPr>
            <w:tcW w:w="462" w:type="dxa"/>
            <w:tcBorders>
              <w:top w:val="nil"/>
              <w:left w:val="nil"/>
              <w:bottom w:val="nil"/>
              <w:right w:val="nil"/>
            </w:tcBorders>
            <w:shd w:val="clear" w:color="auto" w:fill="auto"/>
            <w:vAlign w:val="bottom"/>
            <w:hideMark/>
          </w:tcPr>
          <w:p w14:paraId="0036D571"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nil"/>
              <w:right w:val="nil"/>
            </w:tcBorders>
            <w:shd w:val="clear" w:color="auto" w:fill="auto"/>
            <w:vAlign w:val="center"/>
            <w:hideMark/>
          </w:tcPr>
          <w:p w14:paraId="52A70121" w14:textId="77777777" w:rsidR="000F6636" w:rsidRPr="000B1548" w:rsidRDefault="000F6636" w:rsidP="00484DB0">
            <w:pPr>
              <w:jc w:val="center"/>
              <w:rPr>
                <w:color w:val="000000"/>
                <w:sz w:val="18"/>
                <w:szCs w:val="18"/>
              </w:rPr>
            </w:pPr>
            <w:r w:rsidRPr="000B1548">
              <w:rPr>
                <w:color w:val="000000"/>
                <w:sz w:val="18"/>
                <w:szCs w:val="18"/>
              </w:rPr>
              <w:t>1,4</w:t>
            </w:r>
          </w:p>
        </w:tc>
        <w:tc>
          <w:tcPr>
            <w:tcW w:w="985" w:type="dxa"/>
            <w:gridSpan w:val="2"/>
            <w:tcBorders>
              <w:top w:val="nil"/>
              <w:left w:val="nil"/>
              <w:bottom w:val="nil"/>
              <w:right w:val="nil"/>
            </w:tcBorders>
            <w:shd w:val="clear" w:color="auto" w:fill="auto"/>
            <w:noWrap/>
            <w:vAlign w:val="center"/>
            <w:hideMark/>
          </w:tcPr>
          <w:p w14:paraId="6BE327DA" w14:textId="77777777" w:rsidR="000F6636" w:rsidRPr="000B1548" w:rsidRDefault="000F6636" w:rsidP="00484DB0">
            <w:pPr>
              <w:jc w:val="center"/>
              <w:rPr>
                <w:color w:val="000000"/>
                <w:sz w:val="18"/>
                <w:szCs w:val="18"/>
              </w:rPr>
            </w:pPr>
            <w:r w:rsidRPr="000B1548">
              <w:rPr>
                <w:color w:val="000000"/>
                <w:sz w:val="18"/>
                <w:szCs w:val="18"/>
              </w:rPr>
              <w:t>10,3</w:t>
            </w:r>
          </w:p>
        </w:tc>
        <w:tc>
          <w:tcPr>
            <w:tcW w:w="984" w:type="dxa"/>
            <w:gridSpan w:val="3"/>
            <w:tcBorders>
              <w:top w:val="nil"/>
              <w:left w:val="nil"/>
              <w:bottom w:val="nil"/>
              <w:right w:val="nil"/>
            </w:tcBorders>
            <w:shd w:val="clear" w:color="auto" w:fill="auto"/>
            <w:noWrap/>
            <w:vAlign w:val="center"/>
            <w:hideMark/>
          </w:tcPr>
          <w:p w14:paraId="047CCEC2" w14:textId="77777777" w:rsidR="000F6636" w:rsidRPr="000B1548" w:rsidRDefault="000F6636" w:rsidP="00484DB0">
            <w:pPr>
              <w:jc w:val="center"/>
              <w:rPr>
                <w:color w:val="000000"/>
                <w:sz w:val="18"/>
                <w:szCs w:val="18"/>
              </w:rPr>
            </w:pPr>
            <w:r w:rsidRPr="000B1548">
              <w:rPr>
                <w:color w:val="000000"/>
                <w:sz w:val="18"/>
                <w:szCs w:val="18"/>
              </w:rPr>
              <w:t>3,7</w:t>
            </w:r>
          </w:p>
        </w:tc>
        <w:tc>
          <w:tcPr>
            <w:tcW w:w="980" w:type="dxa"/>
            <w:gridSpan w:val="4"/>
            <w:tcBorders>
              <w:top w:val="nil"/>
              <w:left w:val="nil"/>
              <w:bottom w:val="nil"/>
              <w:right w:val="nil"/>
            </w:tcBorders>
            <w:shd w:val="clear" w:color="auto" w:fill="auto"/>
            <w:noWrap/>
            <w:vAlign w:val="center"/>
            <w:hideMark/>
          </w:tcPr>
          <w:p w14:paraId="4314A5FE" w14:textId="77777777" w:rsidR="000F6636" w:rsidRPr="000B1548" w:rsidRDefault="000F6636" w:rsidP="00484DB0">
            <w:pPr>
              <w:jc w:val="center"/>
              <w:rPr>
                <w:color w:val="000000"/>
                <w:sz w:val="18"/>
                <w:szCs w:val="18"/>
              </w:rPr>
            </w:pPr>
            <w:r w:rsidRPr="000B1548">
              <w:rPr>
                <w:color w:val="000000"/>
                <w:sz w:val="18"/>
                <w:szCs w:val="18"/>
              </w:rPr>
              <w:t>3,9</w:t>
            </w:r>
          </w:p>
        </w:tc>
        <w:tc>
          <w:tcPr>
            <w:tcW w:w="980" w:type="dxa"/>
            <w:gridSpan w:val="3"/>
            <w:tcBorders>
              <w:top w:val="nil"/>
              <w:left w:val="nil"/>
              <w:bottom w:val="nil"/>
              <w:right w:val="nil"/>
            </w:tcBorders>
            <w:shd w:val="clear" w:color="auto" w:fill="auto"/>
            <w:noWrap/>
            <w:vAlign w:val="center"/>
            <w:hideMark/>
          </w:tcPr>
          <w:p w14:paraId="0A30DFFD" w14:textId="77777777" w:rsidR="000F6636" w:rsidRPr="000B1548" w:rsidRDefault="000F6636" w:rsidP="00484DB0">
            <w:pPr>
              <w:jc w:val="center"/>
              <w:rPr>
                <w:color w:val="000000"/>
                <w:sz w:val="18"/>
                <w:szCs w:val="18"/>
              </w:rPr>
            </w:pPr>
            <w:r w:rsidRPr="000B1548">
              <w:rPr>
                <w:color w:val="000000"/>
                <w:sz w:val="18"/>
                <w:szCs w:val="18"/>
              </w:rPr>
              <w:t>2,2</w:t>
            </w:r>
          </w:p>
        </w:tc>
        <w:tc>
          <w:tcPr>
            <w:tcW w:w="987" w:type="dxa"/>
            <w:gridSpan w:val="2"/>
            <w:tcBorders>
              <w:top w:val="nil"/>
              <w:left w:val="nil"/>
              <w:bottom w:val="nil"/>
              <w:right w:val="nil"/>
            </w:tcBorders>
            <w:shd w:val="clear" w:color="auto" w:fill="auto"/>
            <w:noWrap/>
            <w:vAlign w:val="center"/>
            <w:hideMark/>
          </w:tcPr>
          <w:p w14:paraId="100D90CE" w14:textId="77777777" w:rsidR="000F6636" w:rsidRPr="000B1548" w:rsidRDefault="000F6636" w:rsidP="00484DB0">
            <w:pPr>
              <w:jc w:val="center"/>
              <w:rPr>
                <w:color w:val="000000"/>
                <w:sz w:val="18"/>
                <w:szCs w:val="18"/>
              </w:rPr>
            </w:pPr>
            <w:r w:rsidRPr="000B1548">
              <w:rPr>
                <w:color w:val="000000"/>
                <w:sz w:val="18"/>
                <w:szCs w:val="18"/>
              </w:rPr>
              <w:t>2,2</w:t>
            </w:r>
          </w:p>
        </w:tc>
      </w:tr>
      <w:tr w:rsidR="000F6636" w:rsidRPr="000B1548" w14:paraId="0458D50B" w14:textId="77777777" w:rsidTr="00484DB0">
        <w:trPr>
          <w:gridAfter w:val="3"/>
          <w:wAfter w:w="524" w:type="dxa"/>
          <w:trHeight w:val="279"/>
        </w:trPr>
        <w:tc>
          <w:tcPr>
            <w:tcW w:w="2650" w:type="dxa"/>
            <w:tcBorders>
              <w:top w:val="nil"/>
              <w:left w:val="nil"/>
              <w:bottom w:val="nil"/>
              <w:right w:val="nil"/>
            </w:tcBorders>
            <w:shd w:val="clear" w:color="auto" w:fill="auto"/>
            <w:noWrap/>
            <w:vAlign w:val="center"/>
            <w:hideMark/>
          </w:tcPr>
          <w:p w14:paraId="7F978858" w14:textId="77777777" w:rsidR="000F6636" w:rsidRPr="000B1548" w:rsidRDefault="000F6636" w:rsidP="00484DB0">
            <w:pPr>
              <w:rPr>
                <w:rFonts w:cs="Times New Roman"/>
                <w:color w:val="000000"/>
                <w:sz w:val="18"/>
                <w:szCs w:val="18"/>
              </w:rPr>
            </w:pPr>
            <w:r w:rsidRPr="000B1548">
              <w:rPr>
                <w:rFonts w:cs="Times New Roman"/>
                <w:color w:val="000000"/>
                <w:sz w:val="18"/>
                <w:szCs w:val="18"/>
              </w:rPr>
              <w:t xml:space="preserve">3. HICP  </w:t>
            </w:r>
          </w:p>
        </w:tc>
        <w:tc>
          <w:tcPr>
            <w:tcW w:w="462" w:type="dxa"/>
            <w:tcBorders>
              <w:top w:val="nil"/>
              <w:left w:val="nil"/>
              <w:bottom w:val="nil"/>
              <w:right w:val="nil"/>
            </w:tcBorders>
            <w:shd w:val="clear" w:color="auto" w:fill="auto"/>
            <w:vAlign w:val="bottom"/>
            <w:hideMark/>
          </w:tcPr>
          <w:p w14:paraId="73568B6E"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nil"/>
              <w:right w:val="nil"/>
            </w:tcBorders>
            <w:shd w:val="clear" w:color="auto" w:fill="auto"/>
            <w:vAlign w:val="center"/>
            <w:hideMark/>
          </w:tcPr>
          <w:p w14:paraId="5A2FF7B7" w14:textId="77777777" w:rsidR="000F6636" w:rsidRPr="000B1548" w:rsidRDefault="000F6636" w:rsidP="00484DB0">
            <w:pPr>
              <w:jc w:val="center"/>
              <w:rPr>
                <w:color w:val="000000"/>
                <w:sz w:val="18"/>
                <w:szCs w:val="18"/>
              </w:rPr>
            </w:pPr>
            <w:r w:rsidRPr="000B1548">
              <w:rPr>
                <w:color w:val="000000"/>
                <w:sz w:val="18"/>
                <w:szCs w:val="18"/>
              </w:rPr>
              <w:t>1,4</w:t>
            </w:r>
          </w:p>
        </w:tc>
        <w:tc>
          <w:tcPr>
            <w:tcW w:w="985" w:type="dxa"/>
            <w:gridSpan w:val="2"/>
            <w:tcBorders>
              <w:top w:val="nil"/>
              <w:left w:val="nil"/>
              <w:bottom w:val="nil"/>
              <w:right w:val="nil"/>
            </w:tcBorders>
            <w:shd w:val="clear" w:color="auto" w:fill="auto"/>
            <w:vAlign w:val="center"/>
            <w:hideMark/>
          </w:tcPr>
          <w:p w14:paraId="7D3F11F3" w14:textId="77777777" w:rsidR="000F6636" w:rsidRPr="000B1548" w:rsidRDefault="000F6636" w:rsidP="00484DB0">
            <w:pPr>
              <w:jc w:val="center"/>
              <w:rPr>
                <w:color w:val="000000"/>
                <w:sz w:val="18"/>
                <w:szCs w:val="18"/>
              </w:rPr>
            </w:pPr>
            <w:r w:rsidRPr="000B1548">
              <w:rPr>
                <w:color w:val="000000"/>
                <w:sz w:val="18"/>
                <w:szCs w:val="18"/>
              </w:rPr>
              <w:t>11,0</w:t>
            </w:r>
          </w:p>
        </w:tc>
        <w:tc>
          <w:tcPr>
            <w:tcW w:w="984" w:type="dxa"/>
            <w:gridSpan w:val="3"/>
            <w:tcBorders>
              <w:top w:val="nil"/>
              <w:left w:val="nil"/>
              <w:bottom w:val="nil"/>
              <w:right w:val="nil"/>
            </w:tcBorders>
            <w:shd w:val="clear" w:color="auto" w:fill="auto"/>
            <w:vAlign w:val="center"/>
            <w:hideMark/>
          </w:tcPr>
          <w:p w14:paraId="77A09BBF" w14:textId="77777777" w:rsidR="000F6636" w:rsidRPr="000B1548" w:rsidRDefault="000F6636" w:rsidP="00484DB0">
            <w:pPr>
              <w:jc w:val="center"/>
              <w:rPr>
                <w:color w:val="000000"/>
                <w:sz w:val="18"/>
                <w:szCs w:val="18"/>
              </w:rPr>
            </w:pPr>
            <w:r w:rsidRPr="000B1548">
              <w:rPr>
                <w:color w:val="000000"/>
                <w:sz w:val="18"/>
                <w:szCs w:val="18"/>
              </w:rPr>
              <w:t>3,2</w:t>
            </w:r>
          </w:p>
        </w:tc>
        <w:tc>
          <w:tcPr>
            <w:tcW w:w="980" w:type="dxa"/>
            <w:gridSpan w:val="4"/>
            <w:tcBorders>
              <w:top w:val="nil"/>
              <w:left w:val="nil"/>
              <w:bottom w:val="nil"/>
              <w:right w:val="nil"/>
            </w:tcBorders>
            <w:shd w:val="clear" w:color="auto" w:fill="auto"/>
            <w:vAlign w:val="center"/>
            <w:hideMark/>
          </w:tcPr>
          <w:p w14:paraId="6783F3FB" w14:textId="77777777" w:rsidR="000F6636" w:rsidRPr="000B1548" w:rsidRDefault="000F6636" w:rsidP="00484DB0">
            <w:pPr>
              <w:jc w:val="center"/>
              <w:rPr>
                <w:color w:val="000000"/>
                <w:sz w:val="18"/>
                <w:szCs w:val="18"/>
              </w:rPr>
            </w:pPr>
            <w:r w:rsidRPr="000B1548">
              <w:rPr>
                <w:color w:val="000000"/>
                <w:sz w:val="18"/>
                <w:szCs w:val="18"/>
              </w:rPr>
              <w:t>4,4</w:t>
            </w:r>
          </w:p>
        </w:tc>
        <w:tc>
          <w:tcPr>
            <w:tcW w:w="980" w:type="dxa"/>
            <w:gridSpan w:val="3"/>
            <w:tcBorders>
              <w:top w:val="nil"/>
              <w:left w:val="nil"/>
              <w:bottom w:val="nil"/>
              <w:right w:val="nil"/>
            </w:tcBorders>
            <w:shd w:val="clear" w:color="auto" w:fill="auto"/>
            <w:vAlign w:val="center"/>
            <w:hideMark/>
          </w:tcPr>
          <w:p w14:paraId="4C33DF4A" w14:textId="77777777" w:rsidR="000F6636" w:rsidRPr="000B1548" w:rsidRDefault="000F6636" w:rsidP="00484DB0">
            <w:pPr>
              <w:jc w:val="center"/>
              <w:rPr>
                <w:color w:val="000000"/>
                <w:sz w:val="18"/>
                <w:szCs w:val="18"/>
              </w:rPr>
            </w:pPr>
            <w:r w:rsidRPr="000B1548">
              <w:rPr>
                <w:color w:val="000000"/>
                <w:sz w:val="18"/>
                <w:szCs w:val="18"/>
              </w:rPr>
              <w:t>2,4</w:t>
            </w:r>
          </w:p>
        </w:tc>
        <w:tc>
          <w:tcPr>
            <w:tcW w:w="987" w:type="dxa"/>
            <w:gridSpan w:val="2"/>
            <w:tcBorders>
              <w:top w:val="nil"/>
              <w:left w:val="nil"/>
              <w:bottom w:val="nil"/>
              <w:right w:val="nil"/>
            </w:tcBorders>
            <w:shd w:val="clear" w:color="auto" w:fill="auto"/>
            <w:vAlign w:val="center"/>
            <w:hideMark/>
          </w:tcPr>
          <w:p w14:paraId="7D0A046D" w14:textId="77777777" w:rsidR="000F6636" w:rsidRPr="000B1548" w:rsidRDefault="000F6636" w:rsidP="00484DB0">
            <w:pPr>
              <w:jc w:val="center"/>
              <w:rPr>
                <w:color w:val="000000"/>
                <w:sz w:val="18"/>
                <w:szCs w:val="18"/>
              </w:rPr>
            </w:pPr>
            <w:r w:rsidRPr="000B1548">
              <w:rPr>
                <w:color w:val="000000"/>
                <w:sz w:val="18"/>
                <w:szCs w:val="18"/>
              </w:rPr>
              <w:t>2,4</w:t>
            </w:r>
          </w:p>
        </w:tc>
      </w:tr>
      <w:tr w:rsidR="000F6636" w:rsidRPr="000B1548" w14:paraId="13668DCB" w14:textId="77777777" w:rsidTr="00484DB0">
        <w:trPr>
          <w:gridAfter w:val="3"/>
          <w:wAfter w:w="524" w:type="dxa"/>
          <w:trHeight w:val="279"/>
        </w:trPr>
        <w:tc>
          <w:tcPr>
            <w:tcW w:w="2650" w:type="dxa"/>
            <w:tcBorders>
              <w:top w:val="nil"/>
              <w:left w:val="nil"/>
              <w:bottom w:val="nil"/>
              <w:right w:val="nil"/>
            </w:tcBorders>
            <w:shd w:val="clear" w:color="auto" w:fill="auto"/>
            <w:vAlign w:val="center"/>
            <w:hideMark/>
          </w:tcPr>
          <w:p w14:paraId="5EF1BBD2" w14:textId="77777777" w:rsidR="000F6636" w:rsidRPr="000B1548" w:rsidRDefault="000F6636" w:rsidP="00484DB0">
            <w:pPr>
              <w:rPr>
                <w:rFonts w:cs="Times New Roman"/>
                <w:color w:val="000000"/>
                <w:sz w:val="18"/>
                <w:szCs w:val="18"/>
              </w:rPr>
            </w:pPr>
            <w:r w:rsidRPr="000B1548">
              <w:rPr>
                <w:rFonts w:cs="Times New Roman"/>
                <w:color w:val="000000"/>
                <w:sz w:val="18"/>
                <w:szCs w:val="18"/>
              </w:rPr>
              <w:t>4. Deflátor verejnej spotreby</w:t>
            </w:r>
          </w:p>
        </w:tc>
        <w:tc>
          <w:tcPr>
            <w:tcW w:w="462" w:type="dxa"/>
            <w:tcBorders>
              <w:top w:val="nil"/>
              <w:left w:val="nil"/>
              <w:bottom w:val="nil"/>
              <w:right w:val="nil"/>
            </w:tcBorders>
            <w:shd w:val="clear" w:color="auto" w:fill="auto"/>
            <w:vAlign w:val="bottom"/>
            <w:hideMark/>
          </w:tcPr>
          <w:p w14:paraId="7ABF434C"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nil"/>
              <w:right w:val="nil"/>
            </w:tcBorders>
            <w:shd w:val="clear" w:color="auto" w:fill="auto"/>
            <w:vAlign w:val="center"/>
            <w:hideMark/>
          </w:tcPr>
          <w:p w14:paraId="1685BCEA" w14:textId="77777777" w:rsidR="000F6636" w:rsidRPr="000B1548" w:rsidRDefault="000F6636" w:rsidP="00484DB0">
            <w:pPr>
              <w:jc w:val="center"/>
              <w:rPr>
                <w:color w:val="000000"/>
                <w:sz w:val="18"/>
                <w:szCs w:val="18"/>
              </w:rPr>
            </w:pPr>
            <w:r w:rsidRPr="000B1548">
              <w:rPr>
                <w:color w:val="000000"/>
                <w:sz w:val="18"/>
                <w:szCs w:val="18"/>
              </w:rPr>
              <w:t>1,6</w:t>
            </w:r>
          </w:p>
        </w:tc>
        <w:tc>
          <w:tcPr>
            <w:tcW w:w="985" w:type="dxa"/>
            <w:gridSpan w:val="2"/>
            <w:tcBorders>
              <w:top w:val="nil"/>
              <w:left w:val="nil"/>
              <w:bottom w:val="nil"/>
              <w:right w:val="nil"/>
            </w:tcBorders>
            <w:shd w:val="clear" w:color="auto" w:fill="auto"/>
            <w:noWrap/>
            <w:vAlign w:val="center"/>
            <w:hideMark/>
          </w:tcPr>
          <w:p w14:paraId="23AD0BB1" w14:textId="77777777" w:rsidR="000F6636" w:rsidRPr="000B1548" w:rsidRDefault="000F6636" w:rsidP="00484DB0">
            <w:pPr>
              <w:jc w:val="center"/>
              <w:rPr>
                <w:color w:val="000000"/>
                <w:sz w:val="18"/>
                <w:szCs w:val="18"/>
              </w:rPr>
            </w:pPr>
            <w:r w:rsidRPr="000B1548">
              <w:rPr>
                <w:color w:val="000000"/>
                <w:sz w:val="18"/>
                <w:szCs w:val="18"/>
              </w:rPr>
              <w:t>10,2</w:t>
            </w:r>
          </w:p>
        </w:tc>
        <w:tc>
          <w:tcPr>
            <w:tcW w:w="984" w:type="dxa"/>
            <w:gridSpan w:val="3"/>
            <w:tcBorders>
              <w:top w:val="nil"/>
              <w:left w:val="nil"/>
              <w:bottom w:val="nil"/>
              <w:right w:val="nil"/>
            </w:tcBorders>
            <w:shd w:val="clear" w:color="auto" w:fill="auto"/>
            <w:noWrap/>
            <w:vAlign w:val="center"/>
            <w:hideMark/>
          </w:tcPr>
          <w:p w14:paraId="40A63EFF" w14:textId="77777777" w:rsidR="000F6636" w:rsidRPr="000B1548" w:rsidRDefault="000F6636" w:rsidP="00484DB0">
            <w:pPr>
              <w:jc w:val="center"/>
              <w:rPr>
                <w:color w:val="000000"/>
                <w:sz w:val="18"/>
                <w:szCs w:val="18"/>
              </w:rPr>
            </w:pPr>
            <w:r w:rsidRPr="000B1548">
              <w:rPr>
                <w:color w:val="000000"/>
                <w:sz w:val="18"/>
                <w:szCs w:val="18"/>
              </w:rPr>
              <w:t>5,7</w:t>
            </w:r>
          </w:p>
        </w:tc>
        <w:tc>
          <w:tcPr>
            <w:tcW w:w="980" w:type="dxa"/>
            <w:gridSpan w:val="4"/>
            <w:tcBorders>
              <w:top w:val="nil"/>
              <w:left w:val="nil"/>
              <w:bottom w:val="nil"/>
              <w:right w:val="nil"/>
            </w:tcBorders>
            <w:shd w:val="clear" w:color="auto" w:fill="auto"/>
            <w:noWrap/>
            <w:vAlign w:val="center"/>
            <w:hideMark/>
          </w:tcPr>
          <w:p w14:paraId="44CB913B" w14:textId="77777777" w:rsidR="000F6636" w:rsidRPr="000B1548" w:rsidRDefault="000F6636" w:rsidP="00484DB0">
            <w:pPr>
              <w:jc w:val="center"/>
              <w:rPr>
                <w:color w:val="000000"/>
                <w:sz w:val="18"/>
                <w:szCs w:val="18"/>
              </w:rPr>
            </w:pPr>
            <w:r w:rsidRPr="000B1548">
              <w:rPr>
                <w:color w:val="000000"/>
                <w:sz w:val="18"/>
                <w:szCs w:val="18"/>
              </w:rPr>
              <w:t>3,5</w:t>
            </w:r>
          </w:p>
        </w:tc>
        <w:tc>
          <w:tcPr>
            <w:tcW w:w="980" w:type="dxa"/>
            <w:gridSpan w:val="3"/>
            <w:tcBorders>
              <w:top w:val="nil"/>
              <w:left w:val="nil"/>
              <w:bottom w:val="nil"/>
              <w:right w:val="nil"/>
            </w:tcBorders>
            <w:shd w:val="clear" w:color="auto" w:fill="auto"/>
            <w:noWrap/>
            <w:vAlign w:val="center"/>
            <w:hideMark/>
          </w:tcPr>
          <w:p w14:paraId="508F610B" w14:textId="77777777" w:rsidR="000F6636" w:rsidRPr="000B1548" w:rsidRDefault="000F6636" w:rsidP="00484DB0">
            <w:pPr>
              <w:jc w:val="center"/>
              <w:rPr>
                <w:color w:val="000000"/>
                <w:sz w:val="18"/>
                <w:szCs w:val="18"/>
              </w:rPr>
            </w:pPr>
            <w:r w:rsidRPr="000B1548">
              <w:rPr>
                <w:color w:val="000000"/>
                <w:sz w:val="18"/>
                <w:szCs w:val="18"/>
              </w:rPr>
              <w:t>2,8</w:t>
            </w:r>
          </w:p>
        </w:tc>
        <w:tc>
          <w:tcPr>
            <w:tcW w:w="987" w:type="dxa"/>
            <w:gridSpan w:val="2"/>
            <w:tcBorders>
              <w:top w:val="nil"/>
              <w:left w:val="nil"/>
              <w:bottom w:val="nil"/>
              <w:right w:val="nil"/>
            </w:tcBorders>
            <w:shd w:val="clear" w:color="auto" w:fill="auto"/>
            <w:noWrap/>
            <w:vAlign w:val="center"/>
            <w:hideMark/>
          </w:tcPr>
          <w:p w14:paraId="278AD051" w14:textId="77777777" w:rsidR="000F6636" w:rsidRPr="000B1548" w:rsidRDefault="000F6636" w:rsidP="00484DB0">
            <w:pPr>
              <w:jc w:val="center"/>
              <w:rPr>
                <w:color w:val="000000"/>
                <w:sz w:val="18"/>
                <w:szCs w:val="18"/>
              </w:rPr>
            </w:pPr>
            <w:r w:rsidRPr="000B1548">
              <w:rPr>
                <w:color w:val="000000"/>
                <w:sz w:val="18"/>
                <w:szCs w:val="18"/>
              </w:rPr>
              <w:t>2,9</w:t>
            </w:r>
          </w:p>
        </w:tc>
      </w:tr>
      <w:tr w:rsidR="000F6636" w:rsidRPr="000B1548" w14:paraId="2F004635" w14:textId="77777777" w:rsidTr="00484DB0">
        <w:trPr>
          <w:gridAfter w:val="3"/>
          <w:wAfter w:w="524" w:type="dxa"/>
          <w:trHeight w:val="279"/>
        </w:trPr>
        <w:tc>
          <w:tcPr>
            <w:tcW w:w="2650" w:type="dxa"/>
            <w:tcBorders>
              <w:top w:val="nil"/>
              <w:left w:val="nil"/>
              <w:bottom w:val="nil"/>
              <w:right w:val="nil"/>
            </w:tcBorders>
            <w:shd w:val="clear" w:color="auto" w:fill="auto"/>
            <w:vAlign w:val="center"/>
            <w:hideMark/>
          </w:tcPr>
          <w:p w14:paraId="605A5A78" w14:textId="77777777" w:rsidR="000F6636" w:rsidRPr="000B1548" w:rsidRDefault="000F6636" w:rsidP="00484DB0">
            <w:pPr>
              <w:rPr>
                <w:rFonts w:cs="Times New Roman"/>
                <w:color w:val="000000"/>
                <w:sz w:val="18"/>
                <w:szCs w:val="18"/>
              </w:rPr>
            </w:pPr>
            <w:r w:rsidRPr="000B1548">
              <w:rPr>
                <w:rFonts w:cs="Times New Roman"/>
                <w:color w:val="000000"/>
                <w:sz w:val="18"/>
                <w:szCs w:val="18"/>
              </w:rPr>
              <w:t>5. Deflátor investícií</w:t>
            </w:r>
          </w:p>
        </w:tc>
        <w:tc>
          <w:tcPr>
            <w:tcW w:w="462" w:type="dxa"/>
            <w:tcBorders>
              <w:top w:val="nil"/>
              <w:left w:val="nil"/>
              <w:bottom w:val="nil"/>
              <w:right w:val="nil"/>
            </w:tcBorders>
            <w:shd w:val="clear" w:color="auto" w:fill="auto"/>
            <w:vAlign w:val="bottom"/>
            <w:hideMark/>
          </w:tcPr>
          <w:p w14:paraId="054D9081"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nil"/>
              <w:right w:val="nil"/>
            </w:tcBorders>
            <w:shd w:val="clear" w:color="auto" w:fill="auto"/>
            <w:vAlign w:val="center"/>
            <w:hideMark/>
          </w:tcPr>
          <w:p w14:paraId="0BAD4F5A" w14:textId="77777777" w:rsidR="000F6636" w:rsidRPr="000B1548" w:rsidRDefault="000F6636" w:rsidP="00484DB0">
            <w:pPr>
              <w:jc w:val="center"/>
              <w:rPr>
                <w:color w:val="000000"/>
                <w:sz w:val="18"/>
                <w:szCs w:val="18"/>
              </w:rPr>
            </w:pPr>
            <w:r w:rsidRPr="000B1548">
              <w:rPr>
                <w:color w:val="000000"/>
                <w:sz w:val="18"/>
                <w:szCs w:val="18"/>
              </w:rPr>
              <w:t>1,3</w:t>
            </w:r>
          </w:p>
        </w:tc>
        <w:tc>
          <w:tcPr>
            <w:tcW w:w="985" w:type="dxa"/>
            <w:gridSpan w:val="2"/>
            <w:tcBorders>
              <w:top w:val="nil"/>
              <w:left w:val="nil"/>
              <w:bottom w:val="nil"/>
              <w:right w:val="nil"/>
            </w:tcBorders>
            <w:shd w:val="clear" w:color="auto" w:fill="auto"/>
            <w:noWrap/>
            <w:vAlign w:val="center"/>
            <w:hideMark/>
          </w:tcPr>
          <w:p w14:paraId="12C9E2CD" w14:textId="77777777" w:rsidR="000F6636" w:rsidRPr="000B1548" w:rsidRDefault="000F6636" w:rsidP="00484DB0">
            <w:pPr>
              <w:jc w:val="center"/>
              <w:rPr>
                <w:color w:val="000000"/>
                <w:sz w:val="18"/>
                <w:szCs w:val="18"/>
              </w:rPr>
            </w:pPr>
            <w:r w:rsidRPr="000B1548">
              <w:rPr>
                <w:color w:val="000000"/>
                <w:sz w:val="18"/>
                <w:szCs w:val="18"/>
              </w:rPr>
              <w:t>9,1</w:t>
            </w:r>
          </w:p>
        </w:tc>
        <w:tc>
          <w:tcPr>
            <w:tcW w:w="984" w:type="dxa"/>
            <w:gridSpan w:val="3"/>
            <w:tcBorders>
              <w:top w:val="nil"/>
              <w:left w:val="nil"/>
              <w:bottom w:val="nil"/>
              <w:right w:val="nil"/>
            </w:tcBorders>
            <w:shd w:val="clear" w:color="auto" w:fill="auto"/>
            <w:noWrap/>
            <w:vAlign w:val="center"/>
            <w:hideMark/>
          </w:tcPr>
          <w:p w14:paraId="660E814D" w14:textId="77777777" w:rsidR="000F6636" w:rsidRPr="000B1548" w:rsidRDefault="000F6636" w:rsidP="00484DB0">
            <w:pPr>
              <w:jc w:val="center"/>
              <w:rPr>
                <w:color w:val="000000"/>
                <w:sz w:val="18"/>
                <w:szCs w:val="18"/>
              </w:rPr>
            </w:pPr>
            <w:r w:rsidRPr="000B1548">
              <w:rPr>
                <w:color w:val="000000"/>
                <w:sz w:val="18"/>
                <w:szCs w:val="18"/>
              </w:rPr>
              <w:t>4,5</w:t>
            </w:r>
          </w:p>
        </w:tc>
        <w:tc>
          <w:tcPr>
            <w:tcW w:w="980" w:type="dxa"/>
            <w:gridSpan w:val="4"/>
            <w:tcBorders>
              <w:top w:val="nil"/>
              <w:left w:val="nil"/>
              <w:bottom w:val="nil"/>
              <w:right w:val="nil"/>
            </w:tcBorders>
            <w:shd w:val="clear" w:color="auto" w:fill="auto"/>
            <w:noWrap/>
            <w:vAlign w:val="center"/>
            <w:hideMark/>
          </w:tcPr>
          <w:p w14:paraId="558354F7" w14:textId="77777777" w:rsidR="000F6636" w:rsidRPr="000B1548" w:rsidRDefault="000F6636" w:rsidP="00484DB0">
            <w:pPr>
              <w:jc w:val="center"/>
              <w:rPr>
                <w:color w:val="000000"/>
                <w:sz w:val="18"/>
                <w:szCs w:val="18"/>
              </w:rPr>
            </w:pPr>
            <w:r w:rsidRPr="000B1548">
              <w:rPr>
                <w:color w:val="000000"/>
                <w:sz w:val="18"/>
                <w:szCs w:val="18"/>
              </w:rPr>
              <w:t>3,8</w:t>
            </w:r>
          </w:p>
        </w:tc>
        <w:tc>
          <w:tcPr>
            <w:tcW w:w="980" w:type="dxa"/>
            <w:gridSpan w:val="3"/>
            <w:tcBorders>
              <w:top w:val="nil"/>
              <w:left w:val="nil"/>
              <w:bottom w:val="nil"/>
              <w:right w:val="nil"/>
            </w:tcBorders>
            <w:shd w:val="clear" w:color="auto" w:fill="auto"/>
            <w:noWrap/>
            <w:vAlign w:val="center"/>
            <w:hideMark/>
          </w:tcPr>
          <w:p w14:paraId="2A5F7A73" w14:textId="77777777" w:rsidR="000F6636" w:rsidRPr="000B1548" w:rsidRDefault="000F6636" w:rsidP="00484DB0">
            <w:pPr>
              <w:jc w:val="center"/>
              <w:rPr>
                <w:color w:val="000000"/>
                <w:sz w:val="18"/>
                <w:szCs w:val="18"/>
              </w:rPr>
            </w:pPr>
            <w:r w:rsidRPr="000B1548">
              <w:rPr>
                <w:color w:val="000000"/>
                <w:sz w:val="18"/>
                <w:szCs w:val="18"/>
              </w:rPr>
              <w:t>4,0</w:t>
            </w:r>
          </w:p>
        </w:tc>
        <w:tc>
          <w:tcPr>
            <w:tcW w:w="987" w:type="dxa"/>
            <w:gridSpan w:val="2"/>
            <w:tcBorders>
              <w:top w:val="nil"/>
              <w:left w:val="nil"/>
              <w:bottom w:val="nil"/>
              <w:right w:val="nil"/>
            </w:tcBorders>
            <w:shd w:val="clear" w:color="auto" w:fill="auto"/>
            <w:noWrap/>
            <w:vAlign w:val="center"/>
            <w:hideMark/>
          </w:tcPr>
          <w:p w14:paraId="2BE944C7" w14:textId="77777777" w:rsidR="000F6636" w:rsidRPr="000B1548" w:rsidRDefault="000F6636" w:rsidP="00484DB0">
            <w:pPr>
              <w:jc w:val="center"/>
              <w:rPr>
                <w:color w:val="000000"/>
                <w:sz w:val="18"/>
                <w:szCs w:val="18"/>
              </w:rPr>
            </w:pPr>
            <w:r w:rsidRPr="000B1548">
              <w:rPr>
                <w:color w:val="000000"/>
                <w:sz w:val="18"/>
                <w:szCs w:val="18"/>
              </w:rPr>
              <w:t>3,8</w:t>
            </w:r>
          </w:p>
        </w:tc>
      </w:tr>
      <w:tr w:rsidR="000F6636" w:rsidRPr="000B1548" w14:paraId="3A32405C" w14:textId="77777777" w:rsidTr="00484DB0">
        <w:trPr>
          <w:gridAfter w:val="3"/>
          <w:wAfter w:w="524" w:type="dxa"/>
          <w:trHeight w:val="279"/>
        </w:trPr>
        <w:tc>
          <w:tcPr>
            <w:tcW w:w="2650" w:type="dxa"/>
            <w:tcBorders>
              <w:top w:val="nil"/>
              <w:left w:val="nil"/>
              <w:bottom w:val="nil"/>
              <w:right w:val="nil"/>
            </w:tcBorders>
            <w:shd w:val="clear" w:color="auto" w:fill="auto"/>
            <w:vAlign w:val="center"/>
            <w:hideMark/>
          </w:tcPr>
          <w:p w14:paraId="389236C5" w14:textId="77777777" w:rsidR="000F6636" w:rsidRPr="000B1548" w:rsidRDefault="000F6636" w:rsidP="00484DB0">
            <w:pPr>
              <w:rPr>
                <w:rFonts w:cs="Times New Roman"/>
                <w:color w:val="000000"/>
                <w:sz w:val="18"/>
                <w:szCs w:val="18"/>
              </w:rPr>
            </w:pPr>
            <w:r w:rsidRPr="000B1548">
              <w:rPr>
                <w:rFonts w:cs="Times New Roman"/>
                <w:color w:val="000000"/>
                <w:sz w:val="18"/>
                <w:szCs w:val="18"/>
              </w:rPr>
              <w:t>6. Deflátor exportu tovarov a služieb</w:t>
            </w:r>
          </w:p>
        </w:tc>
        <w:tc>
          <w:tcPr>
            <w:tcW w:w="462" w:type="dxa"/>
            <w:tcBorders>
              <w:top w:val="nil"/>
              <w:left w:val="nil"/>
              <w:bottom w:val="nil"/>
              <w:right w:val="nil"/>
            </w:tcBorders>
            <w:shd w:val="clear" w:color="auto" w:fill="auto"/>
            <w:vAlign w:val="bottom"/>
            <w:hideMark/>
          </w:tcPr>
          <w:p w14:paraId="5C4C0366" w14:textId="77777777" w:rsidR="000F6636" w:rsidRPr="000B1548" w:rsidRDefault="000F6636" w:rsidP="00484DB0">
            <w:pPr>
              <w:rPr>
                <w:rFonts w:cs="Times New Roman"/>
                <w:color w:val="000000"/>
                <w:sz w:val="18"/>
                <w:szCs w:val="18"/>
              </w:rPr>
            </w:pPr>
          </w:p>
        </w:tc>
        <w:tc>
          <w:tcPr>
            <w:tcW w:w="977" w:type="dxa"/>
            <w:gridSpan w:val="2"/>
            <w:tcBorders>
              <w:top w:val="nil"/>
              <w:left w:val="nil"/>
              <w:bottom w:val="nil"/>
              <w:right w:val="nil"/>
            </w:tcBorders>
            <w:shd w:val="clear" w:color="auto" w:fill="auto"/>
            <w:vAlign w:val="center"/>
            <w:hideMark/>
          </w:tcPr>
          <w:p w14:paraId="6B2B461B" w14:textId="77777777" w:rsidR="000F6636" w:rsidRPr="000B1548" w:rsidRDefault="000F6636" w:rsidP="00484DB0">
            <w:pPr>
              <w:jc w:val="center"/>
              <w:rPr>
                <w:color w:val="000000"/>
                <w:sz w:val="18"/>
                <w:szCs w:val="18"/>
              </w:rPr>
            </w:pPr>
            <w:r w:rsidRPr="000B1548">
              <w:rPr>
                <w:color w:val="000000"/>
                <w:sz w:val="18"/>
                <w:szCs w:val="18"/>
              </w:rPr>
              <w:t>1,3</w:t>
            </w:r>
          </w:p>
        </w:tc>
        <w:tc>
          <w:tcPr>
            <w:tcW w:w="985" w:type="dxa"/>
            <w:gridSpan w:val="2"/>
            <w:tcBorders>
              <w:top w:val="nil"/>
              <w:left w:val="nil"/>
              <w:bottom w:val="nil"/>
              <w:right w:val="nil"/>
            </w:tcBorders>
            <w:shd w:val="clear" w:color="auto" w:fill="auto"/>
            <w:noWrap/>
            <w:vAlign w:val="center"/>
            <w:hideMark/>
          </w:tcPr>
          <w:p w14:paraId="762D62C8" w14:textId="77777777" w:rsidR="000F6636" w:rsidRPr="000B1548" w:rsidRDefault="000F6636" w:rsidP="00484DB0">
            <w:pPr>
              <w:jc w:val="center"/>
              <w:rPr>
                <w:color w:val="000000"/>
                <w:sz w:val="18"/>
                <w:szCs w:val="18"/>
              </w:rPr>
            </w:pPr>
            <w:r w:rsidRPr="000B1548">
              <w:rPr>
                <w:color w:val="000000"/>
                <w:sz w:val="18"/>
                <w:szCs w:val="18"/>
              </w:rPr>
              <w:t>4,5</w:t>
            </w:r>
          </w:p>
        </w:tc>
        <w:tc>
          <w:tcPr>
            <w:tcW w:w="984" w:type="dxa"/>
            <w:gridSpan w:val="3"/>
            <w:tcBorders>
              <w:top w:val="nil"/>
              <w:left w:val="nil"/>
              <w:bottom w:val="nil"/>
              <w:right w:val="nil"/>
            </w:tcBorders>
            <w:shd w:val="clear" w:color="auto" w:fill="auto"/>
            <w:noWrap/>
            <w:vAlign w:val="center"/>
            <w:hideMark/>
          </w:tcPr>
          <w:p w14:paraId="46337EED" w14:textId="77777777" w:rsidR="000F6636" w:rsidRPr="000B1548" w:rsidRDefault="000F6636" w:rsidP="00484DB0">
            <w:pPr>
              <w:jc w:val="center"/>
              <w:rPr>
                <w:color w:val="000000"/>
                <w:sz w:val="18"/>
                <w:szCs w:val="18"/>
              </w:rPr>
            </w:pPr>
            <w:r w:rsidRPr="000B1548">
              <w:rPr>
                <w:color w:val="000000"/>
                <w:sz w:val="18"/>
                <w:szCs w:val="18"/>
              </w:rPr>
              <w:t>-1,1</w:t>
            </w:r>
          </w:p>
        </w:tc>
        <w:tc>
          <w:tcPr>
            <w:tcW w:w="980" w:type="dxa"/>
            <w:gridSpan w:val="4"/>
            <w:tcBorders>
              <w:top w:val="nil"/>
              <w:left w:val="nil"/>
              <w:bottom w:val="nil"/>
              <w:right w:val="nil"/>
            </w:tcBorders>
            <w:shd w:val="clear" w:color="auto" w:fill="auto"/>
            <w:noWrap/>
            <w:vAlign w:val="center"/>
            <w:hideMark/>
          </w:tcPr>
          <w:p w14:paraId="40993612" w14:textId="77777777" w:rsidR="000F6636" w:rsidRPr="000B1548" w:rsidRDefault="000F6636" w:rsidP="00484DB0">
            <w:pPr>
              <w:jc w:val="center"/>
              <w:rPr>
                <w:color w:val="000000"/>
                <w:sz w:val="18"/>
                <w:szCs w:val="18"/>
              </w:rPr>
            </w:pPr>
            <w:r w:rsidRPr="000B1548">
              <w:rPr>
                <w:color w:val="000000"/>
                <w:sz w:val="18"/>
                <w:szCs w:val="18"/>
              </w:rPr>
              <w:t>3,5</w:t>
            </w:r>
          </w:p>
        </w:tc>
        <w:tc>
          <w:tcPr>
            <w:tcW w:w="980" w:type="dxa"/>
            <w:gridSpan w:val="3"/>
            <w:tcBorders>
              <w:top w:val="nil"/>
              <w:left w:val="nil"/>
              <w:bottom w:val="nil"/>
              <w:right w:val="nil"/>
            </w:tcBorders>
            <w:shd w:val="clear" w:color="auto" w:fill="auto"/>
            <w:noWrap/>
            <w:vAlign w:val="center"/>
            <w:hideMark/>
          </w:tcPr>
          <w:p w14:paraId="50BC2090" w14:textId="77777777" w:rsidR="000F6636" w:rsidRPr="000B1548" w:rsidRDefault="000F6636" w:rsidP="00484DB0">
            <w:pPr>
              <w:jc w:val="center"/>
              <w:rPr>
                <w:color w:val="000000"/>
                <w:sz w:val="18"/>
                <w:szCs w:val="18"/>
              </w:rPr>
            </w:pPr>
            <w:r w:rsidRPr="000B1548">
              <w:rPr>
                <w:color w:val="000000"/>
                <w:sz w:val="18"/>
                <w:szCs w:val="18"/>
              </w:rPr>
              <w:t>2,7</w:t>
            </w:r>
          </w:p>
        </w:tc>
        <w:tc>
          <w:tcPr>
            <w:tcW w:w="987" w:type="dxa"/>
            <w:gridSpan w:val="2"/>
            <w:tcBorders>
              <w:top w:val="nil"/>
              <w:left w:val="nil"/>
              <w:bottom w:val="nil"/>
              <w:right w:val="nil"/>
            </w:tcBorders>
            <w:shd w:val="clear" w:color="auto" w:fill="auto"/>
            <w:noWrap/>
            <w:vAlign w:val="center"/>
            <w:hideMark/>
          </w:tcPr>
          <w:p w14:paraId="5C3A0DDA" w14:textId="77777777" w:rsidR="000F6636" w:rsidRPr="000B1548" w:rsidRDefault="000F6636" w:rsidP="00484DB0">
            <w:pPr>
              <w:jc w:val="center"/>
              <w:rPr>
                <w:color w:val="000000"/>
                <w:sz w:val="18"/>
                <w:szCs w:val="18"/>
              </w:rPr>
            </w:pPr>
            <w:r w:rsidRPr="000B1548">
              <w:rPr>
                <w:color w:val="000000"/>
                <w:sz w:val="18"/>
                <w:szCs w:val="18"/>
              </w:rPr>
              <w:t>2,7</w:t>
            </w:r>
          </w:p>
        </w:tc>
      </w:tr>
      <w:tr w:rsidR="000F6636" w:rsidRPr="000B1548" w14:paraId="3FA2FCB7" w14:textId="77777777" w:rsidTr="00484DB0">
        <w:trPr>
          <w:gridAfter w:val="3"/>
          <w:wAfter w:w="524" w:type="dxa"/>
          <w:trHeight w:val="279"/>
        </w:trPr>
        <w:tc>
          <w:tcPr>
            <w:tcW w:w="2650" w:type="dxa"/>
            <w:tcBorders>
              <w:top w:val="nil"/>
              <w:left w:val="nil"/>
              <w:bottom w:val="single" w:sz="8" w:space="0" w:color="auto"/>
              <w:right w:val="nil"/>
            </w:tcBorders>
            <w:shd w:val="clear" w:color="auto" w:fill="auto"/>
            <w:vAlign w:val="center"/>
            <w:hideMark/>
          </w:tcPr>
          <w:p w14:paraId="34DBCCEF" w14:textId="77777777" w:rsidR="000F6636" w:rsidRPr="000B1548" w:rsidRDefault="000F6636" w:rsidP="00484DB0">
            <w:pPr>
              <w:rPr>
                <w:rFonts w:cs="Times New Roman"/>
                <w:color w:val="000000"/>
                <w:sz w:val="18"/>
                <w:szCs w:val="18"/>
              </w:rPr>
            </w:pPr>
            <w:r w:rsidRPr="000B1548">
              <w:rPr>
                <w:rFonts w:cs="Times New Roman"/>
                <w:color w:val="000000"/>
                <w:sz w:val="18"/>
                <w:szCs w:val="18"/>
              </w:rPr>
              <w:t>7. Deflátor importu tovarov a služieb</w:t>
            </w:r>
          </w:p>
        </w:tc>
        <w:tc>
          <w:tcPr>
            <w:tcW w:w="462" w:type="dxa"/>
            <w:tcBorders>
              <w:top w:val="nil"/>
              <w:left w:val="nil"/>
              <w:bottom w:val="single" w:sz="8" w:space="0" w:color="auto"/>
              <w:right w:val="nil"/>
            </w:tcBorders>
            <w:shd w:val="clear" w:color="auto" w:fill="auto"/>
            <w:vAlign w:val="bottom"/>
            <w:hideMark/>
          </w:tcPr>
          <w:p w14:paraId="6F51B98C" w14:textId="77777777" w:rsidR="000F6636" w:rsidRPr="000B1548" w:rsidRDefault="000F6636" w:rsidP="00484DB0">
            <w:pPr>
              <w:jc w:val="center"/>
              <w:rPr>
                <w:rFonts w:cs="Times New Roman"/>
                <w:color w:val="000000"/>
                <w:sz w:val="18"/>
                <w:szCs w:val="18"/>
              </w:rPr>
            </w:pPr>
            <w:r w:rsidRPr="000B1548">
              <w:rPr>
                <w:rFonts w:cs="Times New Roman"/>
                <w:color w:val="000000"/>
                <w:sz w:val="18"/>
                <w:szCs w:val="18"/>
              </w:rPr>
              <w:t> </w:t>
            </w:r>
          </w:p>
        </w:tc>
        <w:tc>
          <w:tcPr>
            <w:tcW w:w="977" w:type="dxa"/>
            <w:gridSpan w:val="2"/>
            <w:tcBorders>
              <w:top w:val="nil"/>
              <w:left w:val="nil"/>
              <w:bottom w:val="single" w:sz="8" w:space="0" w:color="auto"/>
              <w:right w:val="nil"/>
            </w:tcBorders>
            <w:shd w:val="clear" w:color="auto" w:fill="auto"/>
            <w:vAlign w:val="center"/>
            <w:hideMark/>
          </w:tcPr>
          <w:p w14:paraId="2D483010" w14:textId="77777777" w:rsidR="000F6636" w:rsidRPr="000B1548" w:rsidRDefault="000F6636" w:rsidP="00484DB0">
            <w:pPr>
              <w:jc w:val="center"/>
              <w:rPr>
                <w:color w:val="000000"/>
                <w:sz w:val="18"/>
                <w:szCs w:val="18"/>
              </w:rPr>
            </w:pPr>
            <w:r w:rsidRPr="000B1548">
              <w:rPr>
                <w:color w:val="000000"/>
                <w:sz w:val="18"/>
                <w:szCs w:val="18"/>
              </w:rPr>
              <w:t>1,3</w:t>
            </w:r>
          </w:p>
        </w:tc>
        <w:tc>
          <w:tcPr>
            <w:tcW w:w="985" w:type="dxa"/>
            <w:gridSpan w:val="2"/>
            <w:tcBorders>
              <w:top w:val="nil"/>
              <w:left w:val="nil"/>
              <w:bottom w:val="single" w:sz="8" w:space="0" w:color="auto"/>
              <w:right w:val="nil"/>
            </w:tcBorders>
            <w:shd w:val="clear" w:color="auto" w:fill="auto"/>
            <w:noWrap/>
            <w:vAlign w:val="center"/>
            <w:hideMark/>
          </w:tcPr>
          <w:p w14:paraId="4568A78F" w14:textId="77777777" w:rsidR="000F6636" w:rsidRPr="000B1548" w:rsidRDefault="000F6636" w:rsidP="00484DB0">
            <w:pPr>
              <w:jc w:val="center"/>
              <w:rPr>
                <w:color w:val="000000"/>
                <w:sz w:val="18"/>
                <w:szCs w:val="18"/>
              </w:rPr>
            </w:pPr>
            <w:r w:rsidRPr="000B1548">
              <w:rPr>
                <w:color w:val="000000"/>
                <w:sz w:val="18"/>
                <w:szCs w:val="18"/>
              </w:rPr>
              <w:t>4,2</w:t>
            </w:r>
          </w:p>
        </w:tc>
        <w:tc>
          <w:tcPr>
            <w:tcW w:w="984" w:type="dxa"/>
            <w:gridSpan w:val="3"/>
            <w:tcBorders>
              <w:top w:val="nil"/>
              <w:left w:val="nil"/>
              <w:bottom w:val="single" w:sz="8" w:space="0" w:color="auto"/>
              <w:right w:val="nil"/>
            </w:tcBorders>
            <w:shd w:val="clear" w:color="auto" w:fill="auto"/>
            <w:noWrap/>
            <w:vAlign w:val="center"/>
            <w:hideMark/>
          </w:tcPr>
          <w:p w14:paraId="5AF0F94E" w14:textId="77777777" w:rsidR="000F6636" w:rsidRPr="000B1548" w:rsidRDefault="000F6636" w:rsidP="00484DB0">
            <w:pPr>
              <w:jc w:val="center"/>
              <w:rPr>
                <w:color w:val="000000"/>
                <w:sz w:val="18"/>
                <w:szCs w:val="18"/>
              </w:rPr>
            </w:pPr>
            <w:r w:rsidRPr="000B1548">
              <w:rPr>
                <w:color w:val="000000"/>
                <w:sz w:val="18"/>
                <w:szCs w:val="18"/>
              </w:rPr>
              <w:t>-1,7</w:t>
            </w:r>
          </w:p>
        </w:tc>
        <w:tc>
          <w:tcPr>
            <w:tcW w:w="980" w:type="dxa"/>
            <w:gridSpan w:val="4"/>
            <w:tcBorders>
              <w:top w:val="nil"/>
              <w:left w:val="nil"/>
              <w:bottom w:val="single" w:sz="8" w:space="0" w:color="auto"/>
              <w:right w:val="nil"/>
            </w:tcBorders>
            <w:shd w:val="clear" w:color="auto" w:fill="auto"/>
            <w:noWrap/>
            <w:vAlign w:val="center"/>
            <w:hideMark/>
          </w:tcPr>
          <w:p w14:paraId="699915CD" w14:textId="77777777" w:rsidR="000F6636" w:rsidRPr="000B1548" w:rsidRDefault="000F6636" w:rsidP="00484DB0">
            <w:pPr>
              <w:jc w:val="center"/>
              <w:rPr>
                <w:color w:val="000000"/>
                <w:sz w:val="18"/>
                <w:szCs w:val="18"/>
              </w:rPr>
            </w:pPr>
            <w:r w:rsidRPr="000B1548">
              <w:rPr>
                <w:color w:val="000000"/>
                <w:sz w:val="18"/>
                <w:szCs w:val="18"/>
              </w:rPr>
              <w:t>3,7</w:t>
            </w:r>
          </w:p>
        </w:tc>
        <w:tc>
          <w:tcPr>
            <w:tcW w:w="980" w:type="dxa"/>
            <w:gridSpan w:val="3"/>
            <w:tcBorders>
              <w:top w:val="nil"/>
              <w:left w:val="nil"/>
              <w:bottom w:val="single" w:sz="8" w:space="0" w:color="auto"/>
              <w:right w:val="nil"/>
            </w:tcBorders>
            <w:shd w:val="clear" w:color="auto" w:fill="auto"/>
            <w:noWrap/>
            <w:vAlign w:val="center"/>
            <w:hideMark/>
          </w:tcPr>
          <w:p w14:paraId="30E64BF7" w14:textId="77777777" w:rsidR="000F6636" w:rsidRPr="000B1548" w:rsidRDefault="000F6636" w:rsidP="00484DB0">
            <w:pPr>
              <w:jc w:val="center"/>
              <w:rPr>
                <w:color w:val="000000"/>
                <w:sz w:val="18"/>
                <w:szCs w:val="18"/>
              </w:rPr>
            </w:pPr>
            <w:r w:rsidRPr="000B1548">
              <w:rPr>
                <w:color w:val="000000"/>
                <w:sz w:val="18"/>
                <w:szCs w:val="18"/>
              </w:rPr>
              <w:t>2,8</w:t>
            </w:r>
          </w:p>
        </w:tc>
        <w:tc>
          <w:tcPr>
            <w:tcW w:w="987" w:type="dxa"/>
            <w:gridSpan w:val="2"/>
            <w:tcBorders>
              <w:top w:val="nil"/>
              <w:left w:val="nil"/>
              <w:bottom w:val="single" w:sz="8" w:space="0" w:color="auto"/>
              <w:right w:val="nil"/>
            </w:tcBorders>
            <w:shd w:val="clear" w:color="auto" w:fill="auto"/>
            <w:noWrap/>
            <w:vAlign w:val="center"/>
            <w:hideMark/>
          </w:tcPr>
          <w:p w14:paraId="0DFD0B31" w14:textId="77777777" w:rsidR="000F6636" w:rsidRPr="000B1548" w:rsidRDefault="000F6636" w:rsidP="00484DB0">
            <w:pPr>
              <w:jc w:val="center"/>
              <w:rPr>
                <w:color w:val="000000"/>
                <w:sz w:val="18"/>
                <w:szCs w:val="18"/>
              </w:rPr>
            </w:pPr>
            <w:r w:rsidRPr="000B1548">
              <w:rPr>
                <w:color w:val="000000"/>
                <w:sz w:val="18"/>
                <w:szCs w:val="18"/>
              </w:rPr>
              <w:t>2,9</w:t>
            </w:r>
          </w:p>
        </w:tc>
      </w:tr>
      <w:tr w:rsidR="000F6636" w:rsidRPr="0088520B" w14:paraId="419E2B69" w14:textId="77777777" w:rsidTr="00484DB0">
        <w:trPr>
          <w:trHeight w:val="279"/>
        </w:trPr>
        <w:tc>
          <w:tcPr>
            <w:tcW w:w="9529" w:type="dxa"/>
            <w:gridSpan w:val="21"/>
            <w:tcBorders>
              <w:top w:val="single" w:sz="4" w:space="0" w:color="FFFFFF"/>
              <w:left w:val="nil"/>
              <w:right w:val="nil"/>
            </w:tcBorders>
            <w:shd w:val="clear" w:color="auto" w:fill="auto"/>
            <w:noWrap/>
            <w:vAlign w:val="center"/>
            <w:hideMark/>
          </w:tcPr>
          <w:p w14:paraId="6AC5CEDF" w14:textId="77777777" w:rsidR="000F6636" w:rsidRPr="000B1548" w:rsidRDefault="000F6636" w:rsidP="00484DB0">
            <w:pPr>
              <w:ind w:right="528"/>
              <w:jc w:val="right"/>
              <w:rPr>
                <w:rFonts w:cs="Times New Roman"/>
                <w:i/>
                <w:iCs/>
                <w:color w:val="000000"/>
                <w:sz w:val="18"/>
                <w:szCs w:val="18"/>
              </w:rPr>
            </w:pPr>
            <w:r w:rsidRPr="000B1548">
              <w:rPr>
                <w:rFonts w:cs="Times New Roman"/>
                <w:i/>
                <w:iCs/>
                <w:color w:val="000000"/>
                <w:sz w:val="16"/>
                <w:szCs w:val="18"/>
              </w:rPr>
              <w:t>Zdroj: MF SR</w:t>
            </w:r>
          </w:p>
        </w:tc>
      </w:tr>
      <w:tr w:rsidR="000F6636" w:rsidRPr="00F119E3" w14:paraId="00447AE2" w14:textId="77777777" w:rsidTr="00484DB0">
        <w:trPr>
          <w:trHeight w:val="279"/>
        </w:trPr>
        <w:tc>
          <w:tcPr>
            <w:tcW w:w="9529" w:type="dxa"/>
            <w:gridSpan w:val="21"/>
            <w:tcBorders>
              <w:left w:val="nil"/>
              <w:bottom w:val="nil"/>
              <w:right w:val="nil"/>
            </w:tcBorders>
            <w:shd w:val="clear" w:color="auto" w:fill="auto"/>
            <w:noWrap/>
            <w:vAlign w:val="center"/>
            <w:hideMark/>
          </w:tcPr>
          <w:p w14:paraId="6BF43249" w14:textId="77777777" w:rsidR="000F6636" w:rsidRPr="000B1548" w:rsidRDefault="000F6636" w:rsidP="00484DB0">
            <w:pPr>
              <w:rPr>
                <w:rFonts w:eastAsia="Calibri"/>
                <w:b/>
                <w:color w:val="2C9ADC"/>
                <w:sz w:val="18"/>
                <w:szCs w:val="18"/>
              </w:rPr>
            </w:pPr>
            <w:bookmarkStart w:id="250" w:name="_Toc480905414"/>
            <w:bookmarkStart w:id="251" w:name="_Toc40186690"/>
          </w:p>
          <w:p w14:paraId="1239FDE1" w14:textId="77777777" w:rsidR="000F6636" w:rsidRPr="000B1548" w:rsidRDefault="000F6636" w:rsidP="00484DB0">
            <w:pPr>
              <w:rPr>
                <w:rFonts w:eastAsia="Calibri"/>
                <w:b/>
                <w:color w:val="2C9ADC"/>
                <w:sz w:val="18"/>
                <w:szCs w:val="18"/>
              </w:rPr>
            </w:pPr>
          </w:p>
          <w:p w14:paraId="55CD4ED1" w14:textId="77777777" w:rsidR="000F6636" w:rsidRPr="000B1548" w:rsidRDefault="000F6636" w:rsidP="00484DB0">
            <w:pPr>
              <w:rPr>
                <w:rFonts w:eastAsia="Calibri"/>
                <w:b/>
                <w:color w:val="2C9ADC"/>
                <w:sz w:val="18"/>
                <w:szCs w:val="18"/>
              </w:rPr>
            </w:pPr>
          </w:p>
          <w:tbl>
            <w:tblPr>
              <w:tblW w:w="8967" w:type="dxa"/>
              <w:tblLayout w:type="fixed"/>
              <w:tblCellMar>
                <w:left w:w="70" w:type="dxa"/>
                <w:right w:w="70" w:type="dxa"/>
              </w:tblCellMar>
              <w:tblLook w:val="04A0" w:firstRow="1" w:lastRow="0" w:firstColumn="1" w:lastColumn="0" w:noHBand="0" w:noVBand="1"/>
            </w:tblPr>
            <w:tblGrid>
              <w:gridCol w:w="3474"/>
              <w:gridCol w:w="679"/>
              <w:gridCol w:w="931"/>
              <w:gridCol w:w="775"/>
              <w:gridCol w:w="775"/>
              <w:gridCol w:w="213"/>
              <w:gridCol w:w="567"/>
              <w:gridCol w:w="775"/>
              <w:gridCol w:w="211"/>
              <w:gridCol w:w="461"/>
              <w:gridCol w:w="106"/>
            </w:tblGrid>
            <w:tr w:rsidR="000F6636" w:rsidRPr="00F119E3" w14:paraId="2F737EEE" w14:textId="77777777" w:rsidTr="00484DB0">
              <w:trPr>
                <w:gridAfter w:val="2"/>
                <w:wAfter w:w="567" w:type="dxa"/>
                <w:trHeight w:val="287"/>
              </w:trPr>
              <w:tc>
                <w:tcPr>
                  <w:tcW w:w="8400" w:type="dxa"/>
                  <w:gridSpan w:val="9"/>
                  <w:tcBorders>
                    <w:top w:val="nil"/>
                    <w:left w:val="nil"/>
                    <w:bottom w:val="single" w:sz="8" w:space="0" w:color="auto"/>
                    <w:right w:val="nil"/>
                  </w:tcBorders>
                  <w:shd w:val="clear" w:color="auto" w:fill="auto"/>
                  <w:noWrap/>
                  <w:vAlign w:val="center"/>
                  <w:hideMark/>
                </w:tcPr>
                <w:p w14:paraId="40559CF7" w14:textId="77777777" w:rsidR="000F6636" w:rsidRPr="00F119E3" w:rsidRDefault="000F6636" w:rsidP="00484DB0">
                  <w:pPr>
                    <w:rPr>
                      <w:rFonts w:eastAsia="Calibri"/>
                      <w:b/>
                      <w:color w:val="2C9ADC"/>
                      <w:sz w:val="20"/>
                      <w:szCs w:val="20"/>
                    </w:rPr>
                  </w:pPr>
                  <w:bookmarkStart w:id="252" w:name="_Toc480905412"/>
                  <w:bookmarkStart w:id="253" w:name="_Toc6314219"/>
                  <w:bookmarkStart w:id="254" w:name="_Toc71622459"/>
                  <w:r w:rsidRPr="00F119E3">
                    <w:rPr>
                      <w:rFonts w:eastAsia="Calibri"/>
                      <w:b/>
                      <w:color w:val="2C9ADC"/>
                      <w:sz w:val="20"/>
                      <w:szCs w:val="20"/>
                    </w:rPr>
                    <w:t>Tabuľka 1c – Ukazovatele trhu práce (ESA 2010)</w:t>
                  </w:r>
                  <w:bookmarkEnd w:id="252"/>
                  <w:bookmarkEnd w:id="253"/>
                  <w:bookmarkEnd w:id="254"/>
                </w:p>
              </w:tc>
            </w:tr>
            <w:tr w:rsidR="000F6636" w:rsidRPr="00F119E3" w14:paraId="2F45C1FD" w14:textId="77777777" w:rsidTr="00484DB0">
              <w:trPr>
                <w:trHeight w:val="287"/>
              </w:trPr>
              <w:tc>
                <w:tcPr>
                  <w:tcW w:w="3474" w:type="dxa"/>
                  <w:vMerge w:val="restart"/>
                  <w:tcBorders>
                    <w:top w:val="nil"/>
                    <w:left w:val="nil"/>
                    <w:bottom w:val="single" w:sz="6" w:space="0" w:color="auto"/>
                    <w:right w:val="nil"/>
                  </w:tcBorders>
                  <w:shd w:val="clear" w:color="auto" w:fill="auto"/>
                  <w:vAlign w:val="bottom"/>
                  <w:hideMark/>
                </w:tcPr>
                <w:p w14:paraId="7CD94A12" w14:textId="77777777" w:rsidR="000F6636" w:rsidRPr="00F119E3" w:rsidRDefault="000F6636" w:rsidP="00484DB0">
                  <w:pPr>
                    <w:rPr>
                      <w:rFonts w:cs="Times New Roman"/>
                      <w:color w:val="000000"/>
                      <w:sz w:val="18"/>
                      <w:szCs w:val="18"/>
                    </w:rPr>
                  </w:pPr>
                  <w:r w:rsidRPr="00F119E3">
                    <w:rPr>
                      <w:rFonts w:cs="Times New Roman"/>
                      <w:color w:val="000000"/>
                      <w:sz w:val="18"/>
                      <w:szCs w:val="18"/>
                    </w:rPr>
                    <w:t> </w:t>
                  </w:r>
                </w:p>
              </w:tc>
              <w:tc>
                <w:tcPr>
                  <w:tcW w:w="679" w:type="dxa"/>
                  <w:vMerge w:val="restart"/>
                  <w:tcBorders>
                    <w:top w:val="nil"/>
                    <w:left w:val="nil"/>
                    <w:bottom w:val="single" w:sz="6" w:space="0" w:color="auto"/>
                    <w:right w:val="nil"/>
                  </w:tcBorders>
                  <w:shd w:val="clear" w:color="auto" w:fill="auto"/>
                  <w:vAlign w:val="center"/>
                  <w:hideMark/>
                </w:tcPr>
                <w:p w14:paraId="36FB9E09" w14:textId="77777777" w:rsidR="000F6636" w:rsidRPr="00F119E3" w:rsidRDefault="000F6636" w:rsidP="00484DB0">
                  <w:pPr>
                    <w:jc w:val="center"/>
                    <w:rPr>
                      <w:rFonts w:cs="Times New Roman"/>
                      <w:color w:val="000000"/>
                      <w:sz w:val="18"/>
                      <w:szCs w:val="18"/>
                    </w:rPr>
                  </w:pPr>
                  <w:r w:rsidRPr="00F119E3">
                    <w:rPr>
                      <w:rFonts w:cs="Times New Roman"/>
                      <w:color w:val="000000"/>
                      <w:sz w:val="18"/>
                      <w:szCs w:val="18"/>
                    </w:rPr>
                    <w:t>ESA kód</w:t>
                  </w:r>
                </w:p>
                <w:p w14:paraId="6DEA7EBB" w14:textId="77777777" w:rsidR="000F6636" w:rsidRPr="00F119E3" w:rsidRDefault="000F6636" w:rsidP="00484DB0">
                  <w:pPr>
                    <w:rPr>
                      <w:rFonts w:cs="Times New Roman"/>
                      <w:sz w:val="18"/>
                      <w:szCs w:val="18"/>
                    </w:rPr>
                  </w:pPr>
                </w:p>
              </w:tc>
              <w:tc>
                <w:tcPr>
                  <w:tcW w:w="931" w:type="dxa"/>
                  <w:tcBorders>
                    <w:top w:val="nil"/>
                    <w:left w:val="nil"/>
                    <w:bottom w:val="nil"/>
                    <w:right w:val="nil"/>
                  </w:tcBorders>
                  <w:shd w:val="clear" w:color="auto" w:fill="auto"/>
                  <w:vAlign w:val="center"/>
                  <w:hideMark/>
                </w:tcPr>
                <w:p w14:paraId="580CC65E"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2023</w:t>
                  </w:r>
                </w:p>
              </w:tc>
              <w:tc>
                <w:tcPr>
                  <w:tcW w:w="775" w:type="dxa"/>
                  <w:tcBorders>
                    <w:top w:val="nil"/>
                    <w:left w:val="nil"/>
                    <w:bottom w:val="nil"/>
                    <w:right w:val="nil"/>
                  </w:tcBorders>
                  <w:shd w:val="clear" w:color="auto" w:fill="auto"/>
                  <w:vAlign w:val="center"/>
                  <w:hideMark/>
                </w:tcPr>
                <w:p w14:paraId="7D22D67E"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2023</w:t>
                  </w:r>
                </w:p>
              </w:tc>
              <w:tc>
                <w:tcPr>
                  <w:tcW w:w="775" w:type="dxa"/>
                  <w:tcBorders>
                    <w:top w:val="nil"/>
                    <w:left w:val="nil"/>
                    <w:bottom w:val="nil"/>
                    <w:right w:val="nil"/>
                  </w:tcBorders>
                  <w:shd w:val="clear" w:color="auto" w:fill="auto"/>
                  <w:vAlign w:val="center"/>
                  <w:hideMark/>
                </w:tcPr>
                <w:p w14:paraId="3C8B9184"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2024</w:t>
                  </w:r>
                </w:p>
              </w:tc>
              <w:tc>
                <w:tcPr>
                  <w:tcW w:w="780" w:type="dxa"/>
                  <w:gridSpan w:val="2"/>
                  <w:tcBorders>
                    <w:top w:val="nil"/>
                    <w:left w:val="nil"/>
                    <w:bottom w:val="nil"/>
                    <w:right w:val="nil"/>
                  </w:tcBorders>
                  <w:shd w:val="clear" w:color="auto" w:fill="auto"/>
                  <w:vAlign w:val="center"/>
                  <w:hideMark/>
                </w:tcPr>
                <w:p w14:paraId="515A449A"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2025</w:t>
                  </w:r>
                </w:p>
              </w:tc>
              <w:tc>
                <w:tcPr>
                  <w:tcW w:w="775" w:type="dxa"/>
                  <w:tcBorders>
                    <w:top w:val="nil"/>
                    <w:left w:val="nil"/>
                    <w:bottom w:val="nil"/>
                    <w:right w:val="nil"/>
                  </w:tcBorders>
                  <w:shd w:val="clear" w:color="auto" w:fill="auto"/>
                  <w:vAlign w:val="center"/>
                  <w:hideMark/>
                </w:tcPr>
                <w:p w14:paraId="0F06A502"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2026</w:t>
                  </w:r>
                </w:p>
              </w:tc>
              <w:tc>
                <w:tcPr>
                  <w:tcW w:w="778" w:type="dxa"/>
                  <w:gridSpan w:val="3"/>
                  <w:tcBorders>
                    <w:top w:val="single" w:sz="8" w:space="0" w:color="auto"/>
                    <w:left w:val="nil"/>
                    <w:bottom w:val="nil"/>
                    <w:right w:val="nil"/>
                  </w:tcBorders>
                  <w:shd w:val="clear" w:color="auto" w:fill="auto"/>
                  <w:vAlign w:val="center"/>
                  <w:hideMark/>
                </w:tcPr>
                <w:p w14:paraId="0CF50822"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2027</w:t>
                  </w:r>
                </w:p>
              </w:tc>
            </w:tr>
            <w:tr w:rsidR="000F6636" w:rsidRPr="00F119E3" w14:paraId="6F9B493F" w14:textId="77777777" w:rsidTr="00484DB0">
              <w:trPr>
                <w:trHeight w:val="287"/>
              </w:trPr>
              <w:tc>
                <w:tcPr>
                  <w:tcW w:w="3474" w:type="dxa"/>
                  <w:vMerge/>
                  <w:tcBorders>
                    <w:top w:val="single" w:sz="8" w:space="0" w:color="000000"/>
                    <w:left w:val="nil"/>
                    <w:bottom w:val="single" w:sz="6" w:space="0" w:color="auto"/>
                    <w:right w:val="nil"/>
                  </w:tcBorders>
                  <w:vAlign w:val="center"/>
                  <w:hideMark/>
                </w:tcPr>
                <w:p w14:paraId="222FE53F" w14:textId="77777777" w:rsidR="000F6636" w:rsidRPr="00F119E3" w:rsidRDefault="000F6636" w:rsidP="00484DB0">
                  <w:pPr>
                    <w:rPr>
                      <w:rFonts w:cs="Times New Roman"/>
                      <w:color w:val="000000"/>
                      <w:sz w:val="18"/>
                      <w:szCs w:val="18"/>
                    </w:rPr>
                  </w:pPr>
                </w:p>
              </w:tc>
              <w:tc>
                <w:tcPr>
                  <w:tcW w:w="679" w:type="dxa"/>
                  <w:vMerge/>
                  <w:tcBorders>
                    <w:top w:val="single" w:sz="8" w:space="0" w:color="000000"/>
                    <w:left w:val="nil"/>
                    <w:bottom w:val="single" w:sz="6" w:space="0" w:color="auto"/>
                    <w:right w:val="nil"/>
                  </w:tcBorders>
                  <w:vAlign w:val="center"/>
                  <w:hideMark/>
                </w:tcPr>
                <w:p w14:paraId="227A6FAA" w14:textId="77777777" w:rsidR="000F6636" w:rsidRPr="00F119E3" w:rsidRDefault="000F6636" w:rsidP="00484DB0">
                  <w:pPr>
                    <w:rPr>
                      <w:rFonts w:cs="Times New Roman"/>
                      <w:color w:val="000000"/>
                      <w:sz w:val="18"/>
                      <w:szCs w:val="18"/>
                    </w:rPr>
                  </w:pPr>
                </w:p>
              </w:tc>
              <w:tc>
                <w:tcPr>
                  <w:tcW w:w="931" w:type="dxa"/>
                  <w:tcBorders>
                    <w:top w:val="nil"/>
                    <w:left w:val="nil"/>
                    <w:bottom w:val="single" w:sz="6" w:space="0" w:color="auto"/>
                    <w:right w:val="nil"/>
                  </w:tcBorders>
                  <w:shd w:val="clear" w:color="auto" w:fill="auto"/>
                  <w:noWrap/>
                  <w:vAlign w:val="bottom"/>
                  <w:hideMark/>
                </w:tcPr>
                <w:p w14:paraId="4E1A9510" w14:textId="77777777" w:rsidR="000F6636" w:rsidRPr="00F119E3" w:rsidRDefault="000F6636" w:rsidP="00484DB0">
                  <w:pPr>
                    <w:jc w:val="center"/>
                    <w:rPr>
                      <w:rFonts w:cs="Times New Roman"/>
                      <w:color w:val="000000"/>
                      <w:sz w:val="18"/>
                      <w:szCs w:val="18"/>
                    </w:rPr>
                  </w:pPr>
                  <w:r w:rsidRPr="00F119E3">
                    <w:rPr>
                      <w:color w:val="000000"/>
                      <w:sz w:val="18"/>
                      <w:szCs w:val="18"/>
                    </w:rPr>
                    <w:t>Skutočnosť</w:t>
                  </w:r>
                </w:p>
              </w:tc>
              <w:tc>
                <w:tcPr>
                  <w:tcW w:w="775" w:type="dxa"/>
                  <w:tcBorders>
                    <w:top w:val="nil"/>
                    <w:left w:val="nil"/>
                    <w:bottom w:val="single" w:sz="6" w:space="0" w:color="auto"/>
                    <w:right w:val="nil"/>
                  </w:tcBorders>
                  <w:shd w:val="clear" w:color="auto" w:fill="auto"/>
                  <w:vAlign w:val="bottom"/>
                  <w:hideMark/>
                </w:tcPr>
                <w:p w14:paraId="6CD56B84" w14:textId="77777777" w:rsidR="000F6636" w:rsidRPr="00F119E3" w:rsidRDefault="000F6636" w:rsidP="00484DB0">
                  <w:pPr>
                    <w:jc w:val="center"/>
                    <w:rPr>
                      <w:rFonts w:cs="Times New Roman"/>
                      <w:color w:val="000000"/>
                      <w:sz w:val="18"/>
                      <w:szCs w:val="18"/>
                    </w:rPr>
                  </w:pPr>
                  <w:r w:rsidRPr="00F119E3">
                    <w:rPr>
                      <w:color w:val="000000"/>
                      <w:sz w:val="18"/>
                      <w:szCs w:val="18"/>
                    </w:rPr>
                    <w:t>miera rastu</w:t>
                  </w:r>
                </w:p>
              </w:tc>
              <w:tc>
                <w:tcPr>
                  <w:tcW w:w="775" w:type="dxa"/>
                  <w:tcBorders>
                    <w:top w:val="nil"/>
                    <w:left w:val="nil"/>
                    <w:bottom w:val="single" w:sz="6" w:space="0" w:color="auto"/>
                    <w:right w:val="nil"/>
                  </w:tcBorders>
                  <w:shd w:val="clear" w:color="auto" w:fill="auto"/>
                  <w:vAlign w:val="bottom"/>
                  <w:hideMark/>
                </w:tcPr>
                <w:p w14:paraId="528A8596" w14:textId="77777777" w:rsidR="000F6636" w:rsidRPr="00F119E3" w:rsidRDefault="000F6636" w:rsidP="00484DB0">
                  <w:pPr>
                    <w:jc w:val="center"/>
                    <w:rPr>
                      <w:rFonts w:cs="Times New Roman"/>
                      <w:color w:val="000000"/>
                      <w:sz w:val="18"/>
                      <w:szCs w:val="18"/>
                    </w:rPr>
                  </w:pPr>
                  <w:r w:rsidRPr="00F119E3">
                    <w:rPr>
                      <w:color w:val="000000"/>
                      <w:sz w:val="18"/>
                      <w:szCs w:val="18"/>
                    </w:rPr>
                    <w:t>miera rastu</w:t>
                  </w:r>
                </w:p>
              </w:tc>
              <w:tc>
                <w:tcPr>
                  <w:tcW w:w="780" w:type="dxa"/>
                  <w:gridSpan w:val="2"/>
                  <w:tcBorders>
                    <w:top w:val="nil"/>
                    <w:left w:val="nil"/>
                    <w:bottom w:val="single" w:sz="6" w:space="0" w:color="auto"/>
                    <w:right w:val="nil"/>
                  </w:tcBorders>
                  <w:shd w:val="clear" w:color="auto" w:fill="auto"/>
                  <w:vAlign w:val="bottom"/>
                  <w:hideMark/>
                </w:tcPr>
                <w:p w14:paraId="2733B538" w14:textId="77777777" w:rsidR="000F6636" w:rsidRPr="00F119E3" w:rsidRDefault="000F6636" w:rsidP="00484DB0">
                  <w:pPr>
                    <w:jc w:val="center"/>
                    <w:rPr>
                      <w:rFonts w:cs="Times New Roman"/>
                      <w:color w:val="000000"/>
                      <w:sz w:val="18"/>
                      <w:szCs w:val="18"/>
                    </w:rPr>
                  </w:pPr>
                  <w:r w:rsidRPr="00F119E3">
                    <w:rPr>
                      <w:color w:val="000000"/>
                      <w:sz w:val="18"/>
                      <w:szCs w:val="18"/>
                    </w:rPr>
                    <w:t>miera rastu</w:t>
                  </w:r>
                </w:p>
              </w:tc>
              <w:tc>
                <w:tcPr>
                  <w:tcW w:w="775" w:type="dxa"/>
                  <w:tcBorders>
                    <w:top w:val="nil"/>
                    <w:left w:val="nil"/>
                    <w:bottom w:val="single" w:sz="6" w:space="0" w:color="auto"/>
                    <w:right w:val="nil"/>
                  </w:tcBorders>
                  <w:shd w:val="clear" w:color="auto" w:fill="auto"/>
                  <w:vAlign w:val="bottom"/>
                  <w:hideMark/>
                </w:tcPr>
                <w:p w14:paraId="05BBE423" w14:textId="77777777" w:rsidR="000F6636" w:rsidRPr="00F119E3" w:rsidRDefault="000F6636" w:rsidP="00484DB0">
                  <w:pPr>
                    <w:jc w:val="center"/>
                    <w:rPr>
                      <w:rFonts w:cs="Times New Roman"/>
                      <w:color w:val="000000"/>
                      <w:sz w:val="18"/>
                      <w:szCs w:val="18"/>
                    </w:rPr>
                  </w:pPr>
                  <w:r w:rsidRPr="00F119E3">
                    <w:rPr>
                      <w:color w:val="000000"/>
                      <w:sz w:val="18"/>
                      <w:szCs w:val="18"/>
                    </w:rPr>
                    <w:t>miera rastu</w:t>
                  </w:r>
                </w:p>
              </w:tc>
              <w:tc>
                <w:tcPr>
                  <w:tcW w:w="778" w:type="dxa"/>
                  <w:gridSpan w:val="3"/>
                  <w:tcBorders>
                    <w:top w:val="nil"/>
                    <w:left w:val="nil"/>
                    <w:bottom w:val="single" w:sz="6" w:space="0" w:color="auto"/>
                    <w:right w:val="nil"/>
                  </w:tcBorders>
                  <w:shd w:val="clear" w:color="auto" w:fill="auto"/>
                  <w:vAlign w:val="bottom"/>
                  <w:hideMark/>
                </w:tcPr>
                <w:p w14:paraId="142BCE70" w14:textId="77777777" w:rsidR="000F6636" w:rsidRPr="00F119E3" w:rsidRDefault="000F6636" w:rsidP="00484DB0">
                  <w:pPr>
                    <w:jc w:val="center"/>
                    <w:rPr>
                      <w:rFonts w:cs="Times New Roman"/>
                      <w:color w:val="000000"/>
                      <w:sz w:val="18"/>
                      <w:szCs w:val="18"/>
                    </w:rPr>
                  </w:pPr>
                  <w:r w:rsidRPr="00F119E3">
                    <w:rPr>
                      <w:color w:val="000000"/>
                      <w:sz w:val="18"/>
                      <w:szCs w:val="18"/>
                    </w:rPr>
                    <w:t>miera rastu</w:t>
                  </w:r>
                </w:p>
              </w:tc>
            </w:tr>
            <w:tr w:rsidR="000F6636" w:rsidRPr="00F119E3" w14:paraId="17BC8959" w14:textId="77777777" w:rsidTr="00484DB0">
              <w:trPr>
                <w:trHeight w:val="287"/>
              </w:trPr>
              <w:tc>
                <w:tcPr>
                  <w:tcW w:w="3474" w:type="dxa"/>
                  <w:tcBorders>
                    <w:top w:val="single" w:sz="6" w:space="0" w:color="auto"/>
                    <w:left w:val="nil"/>
                    <w:bottom w:val="nil"/>
                    <w:right w:val="nil"/>
                  </w:tcBorders>
                  <w:shd w:val="clear" w:color="auto" w:fill="auto"/>
                  <w:noWrap/>
                  <w:vAlign w:val="center"/>
                  <w:hideMark/>
                </w:tcPr>
                <w:p w14:paraId="3355D652"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1. Počet zamestnaných (tis.) [1] </w:t>
                  </w:r>
                </w:p>
              </w:tc>
              <w:tc>
                <w:tcPr>
                  <w:tcW w:w="679" w:type="dxa"/>
                  <w:tcBorders>
                    <w:top w:val="single" w:sz="6" w:space="0" w:color="auto"/>
                    <w:left w:val="nil"/>
                    <w:bottom w:val="nil"/>
                    <w:right w:val="nil"/>
                  </w:tcBorders>
                  <w:shd w:val="clear" w:color="auto" w:fill="auto"/>
                  <w:vAlign w:val="bottom"/>
                  <w:hideMark/>
                </w:tcPr>
                <w:p w14:paraId="7F0BD8EF" w14:textId="77777777" w:rsidR="000F6636" w:rsidRPr="00F119E3" w:rsidRDefault="000F6636" w:rsidP="00484DB0">
                  <w:pPr>
                    <w:rPr>
                      <w:rFonts w:cs="Times New Roman"/>
                      <w:color w:val="000000"/>
                      <w:sz w:val="18"/>
                      <w:szCs w:val="18"/>
                    </w:rPr>
                  </w:pPr>
                </w:p>
              </w:tc>
              <w:tc>
                <w:tcPr>
                  <w:tcW w:w="931" w:type="dxa"/>
                  <w:tcBorders>
                    <w:top w:val="nil"/>
                    <w:left w:val="nil"/>
                    <w:bottom w:val="nil"/>
                    <w:right w:val="nil"/>
                  </w:tcBorders>
                  <w:shd w:val="clear" w:color="auto" w:fill="auto"/>
                  <w:vAlign w:val="bottom"/>
                  <w:hideMark/>
                </w:tcPr>
                <w:p w14:paraId="048E3E2A" w14:textId="77777777" w:rsidR="000F6636" w:rsidRPr="00F119E3" w:rsidRDefault="000F6636" w:rsidP="00484DB0">
                  <w:pPr>
                    <w:jc w:val="center"/>
                    <w:rPr>
                      <w:rFonts w:cs="Times New Roman"/>
                      <w:color w:val="000000"/>
                      <w:sz w:val="18"/>
                      <w:szCs w:val="18"/>
                    </w:rPr>
                  </w:pPr>
                  <w:r w:rsidRPr="00F119E3">
                    <w:rPr>
                      <w:color w:val="000000"/>
                      <w:sz w:val="18"/>
                      <w:szCs w:val="18"/>
                    </w:rPr>
                    <w:t>2 434</w:t>
                  </w:r>
                </w:p>
              </w:tc>
              <w:tc>
                <w:tcPr>
                  <w:tcW w:w="775" w:type="dxa"/>
                  <w:tcBorders>
                    <w:top w:val="nil"/>
                    <w:left w:val="nil"/>
                    <w:bottom w:val="nil"/>
                    <w:right w:val="nil"/>
                  </w:tcBorders>
                  <w:shd w:val="clear" w:color="auto" w:fill="auto"/>
                  <w:vAlign w:val="bottom"/>
                  <w:hideMark/>
                </w:tcPr>
                <w:p w14:paraId="5FF3961E" w14:textId="77777777" w:rsidR="000F6636" w:rsidRPr="00F119E3" w:rsidRDefault="000F6636" w:rsidP="00484DB0">
                  <w:pPr>
                    <w:jc w:val="center"/>
                    <w:rPr>
                      <w:rFonts w:cs="Times New Roman"/>
                      <w:color w:val="000000"/>
                      <w:sz w:val="18"/>
                      <w:szCs w:val="18"/>
                    </w:rPr>
                  </w:pPr>
                  <w:r w:rsidRPr="00F119E3">
                    <w:rPr>
                      <w:color w:val="000000"/>
                      <w:sz w:val="18"/>
                      <w:szCs w:val="18"/>
                    </w:rPr>
                    <w:t>0,3</w:t>
                  </w:r>
                </w:p>
              </w:tc>
              <w:tc>
                <w:tcPr>
                  <w:tcW w:w="775" w:type="dxa"/>
                  <w:tcBorders>
                    <w:top w:val="nil"/>
                    <w:left w:val="nil"/>
                    <w:bottom w:val="nil"/>
                    <w:right w:val="nil"/>
                  </w:tcBorders>
                  <w:shd w:val="clear" w:color="auto" w:fill="auto"/>
                  <w:vAlign w:val="center"/>
                  <w:hideMark/>
                </w:tcPr>
                <w:p w14:paraId="1ED2D3F8" w14:textId="77777777" w:rsidR="000F6636" w:rsidRPr="00F119E3" w:rsidRDefault="000F6636" w:rsidP="00484DB0">
                  <w:pPr>
                    <w:jc w:val="center"/>
                    <w:rPr>
                      <w:rFonts w:cs="Times New Roman"/>
                      <w:color w:val="000000"/>
                      <w:sz w:val="18"/>
                      <w:szCs w:val="18"/>
                    </w:rPr>
                  </w:pPr>
                  <w:r w:rsidRPr="00F119E3">
                    <w:rPr>
                      <w:color w:val="000000"/>
                      <w:sz w:val="18"/>
                      <w:szCs w:val="18"/>
                    </w:rPr>
                    <w:t>0,2</w:t>
                  </w:r>
                </w:p>
              </w:tc>
              <w:tc>
                <w:tcPr>
                  <w:tcW w:w="780" w:type="dxa"/>
                  <w:gridSpan w:val="2"/>
                  <w:tcBorders>
                    <w:top w:val="nil"/>
                    <w:left w:val="nil"/>
                    <w:bottom w:val="nil"/>
                    <w:right w:val="nil"/>
                  </w:tcBorders>
                  <w:shd w:val="clear" w:color="auto" w:fill="auto"/>
                  <w:vAlign w:val="center"/>
                  <w:hideMark/>
                </w:tcPr>
                <w:p w14:paraId="191A871F" w14:textId="77777777" w:rsidR="000F6636" w:rsidRPr="00F119E3" w:rsidRDefault="000F6636" w:rsidP="00484DB0">
                  <w:pPr>
                    <w:jc w:val="center"/>
                    <w:rPr>
                      <w:rFonts w:cs="Times New Roman"/>
                      <w:color w:val="000000"/>
                      <w:sz w:val="18"/>
                      <w:szCs w:val="18"/>
                    </w:rPr>
                  </w:pPr>
                  <w:r w:rsidRPr="00F119E3">
                    <w:rPr>
                      <w:color w:val="000000"/>
                      <w:sz w:val="18"/>
                      <w:szCs w:val="18"/>
                    </w:rPr>
                    <w:t>0,7</w:t>
                  </w:r>
                </w:p>
              </w:tc>
              <w:tc>
                <w:tcPr>
                  <w:tcW w:w="775" w:type="dxa"/>
                  <w:tcBorders>
                    <w:top w:val="nil"/>
                    <w:left w:val="nil"/>
                    <w:bottom w:val="nil"/>
                    <w:right w:val="nil"/>
                  </w:tcBorders>
                  <w:shd w:val="clear" w:color="auto" w:fill="auto"/>
                  <w:vAlign w:val="center"/>
                  <w:hideMark/>
                </w:tcPr>
                <w:p w14:paraId="29BE6251" w14:textId="77777777" w:rsidR="000F6636" w:rsidRPr="00F119E3" w:rsidRDefault="000F6636" w:rsidP="00484DB0">
                  <w:pPr>
                    <w:jc w:val="center"/>
                    <w:rPr>
                      <w:rFonts w:cs="Times New Roman"/>
                      <w:color w:val="000000"/>
                      <w:sz w:val="18"/>
                      <w:szCs w:val="18"/>
                    </w:rPr>
                  </w:pPr>
                  <w:r w:rsidRPr="00F119E3">
                    <w:rPr>
                      <w:color w:val="000000"/>
                      <w:sz w:val="18"/>
                      <w:szCs w:val="18"/>
                    </w:rPr>
                    <w:t>0,5</w:t>
                  </w:r>
                </w:p>
              </w:tc>
              <w:tc>
                <w:tcPr>
                  <w:tcW w:w="778" w:type="dxa"/>
                  <w:gridSpan w:val="3"/>
                  <w:tcBorders>
                    <w:top w:val="nil"/>
                    <w:left w:val="nil"/>
                    <w:bottom w:val="nil"/>
                    <w:right w:val="nil"/>
                  </w:tcBorders>
                  <w:shd w:val="clear" w:color="auto" w:fill="auto"/>
                  <w:vAlign w:val="center"/>
                  <w:hideMark/>
                </w:tcPr>
                <w:p w14:paraId="07CE7DCB" w14:textId="77777777" w:rsidR="000F6636" w:rsidRPr="00F119E3" w:rsidRDefault="000F6636" w:rsidP="00484DB0">
                  <w:pPr>
                    <w:jc w:val="center"/>
                    <w:rPr>
                      <w:rFonts w:cs="Times New Roman"/>
                      <w:color w:val="000000"/>
                      <w:sz w:val="18"/>
                      <w:szCs w:val="18"/>
                    </w:rPr>
                  </w:pPr>
                  <w:r w:rsidRPr="00F119E3">
                    <w:rPr>
                      <w:color w:val="000000"/>
                      <w:sz w:val="18"/>
                      <w:szCs w:val="18"/>
                    </w:rPr>
                    <w:t>0,1</w:t>
                  </w:r>
                </w:p>
              </w:tc>
            </w:tr>
            <w:tr w:rsidR="000F6636" w:rsidRPr="00F119E3" w14:paraId="0622ABA5" w14:textId="77777777" w:rsidTr="00484DB0">
              <w:trPr>
                <w:trHeight w:val="287"/>
              </w:trPr>
              <w:tc>
                <w:tcPr>
                  <w:tcW w:w="3474" w:type="dxa"/>
                  <w:tcBorders>
                    <w:top w:val="nil"/>
                    <w:left w:val="nil"/>
                    <w:bottom w:val="nil"/>
                    <w:right w:val="nil"/>
                  </w:tcBorders>
                  <w:shd w:val="clear" w:color="auto" w:fill="auto"/>
                  <w:noWrap/>
                  <w:vAlign w:val="center"/>
                  <w:hideMark/>
                </w:tcPr>
                <w:p w14:paraId="36EDE271" w14:textId="77777777" w:rsidR="000F6636" w:rsidRPr="00F119E3" w:rsidRDefault="000F6636" w:rsidP="00484DB0">
                  <w:pPr>
                    <w:rPr>
                      <w:rFonts w:cs="Times New Roman"/>
                      <w:color w:val="000000"/>
                      <w:sz w:val="18"/>
                      <w:szCs w:val="18"/>
                    </w:rPr>
                  </w:pPr>
                  <w:r w:rsidRPr="00F119E3">
                    <w:rPr>
                      <w:rFonts w:cs="Times New Roman"/>
                      <w:color w:val="000000"/>
                      <w:sz w:val="18"/>
                      <w:szCs w:val="18"/>
                    </w:rPr>
                    <w:t>2. Počet odpracovaných hodín (mil.)[2]</w:t>
                  </w:r>
                </w:p>
              </w:tc>
              <w:tc>
                <w:tcPr>
                  <w:tcW w:w="679" w:type="dxa"/>
                  <w:tcBorders>
                    <w:top w:val="nil"/>
                    <w:left w:val="nil"/>
                    <w:bottom w:val="nil"/>
                    <w:right w:val="nil"/>
                  </w:tcBorders>
                  <w:shd w:val="clear" w:color="auto" w:fill="auto"/>
                  <w:vAlign w:val="bottom"/>
                  <w:hideMark/>
                </w:tcPr>
                <w:p w14:paraId="5F14CAFC" w14:textId="77777777" w:rsidR="000F6636" w:rsidRPr="00F119E3" w:rsidRDefault="000F6636" w:rsidP="00484DB0">
                  <w:pPr>
                    <w:rPr>
                      <w:rFonts w:cs="Times New Roman"/>
                      <w:color w:val="000000"/>
                      <w:sz w:val="18"/>
                      <w:szCs w:val="18"/>
                    </w:rPr>
                  </w:pPr>
                </w:p>
              </w:tc>
              <w:tc>
                <w:tcPr>
                  <w:tcW w:w="931" w:type="dxa"/>
                  <w:tcBorders>
                    <w:top w:val="nil"/>
                    <w:left w:val="nil"/>
                    <w:bottom w:val="nil"/>
                    <w:right w:val="nil"/>
                  </w:tcBorders>
                  <w:shd w:val="clear" w:color="auto" w:fill="auto"/>
                  <w:vAlign w:val="bottom"/>
                  <w:hideMark/>
                </w:tcPr>
                <w:p w14:paraId="3BBC1FC1" w14:textId="77777777" w:rsidR="000F6636" w:rsidRPr="00F119E3" w:rsidRDefault="000F6636" w:rsidP="00484DB0">
                  <w:pPr>
                    <w:jc w:val="center"/>
                    <w:rPr>
                      <w:rFonts w:cs="Times New Roman"/>
                      <w:color w:val="000000"/>
                      <w:sz w:val="18"/>
                      <w:szCs w:val="18"/>
                    </w:rPr>
                  </w:pPr>
                  <w:r w:rsidRPr="00F119E3">
                    <w:rPr>
                      <w:color w:val="000000"/>
                      <w:sz w:val="18"/>
                      <w:szCs w:val="18"/>
                    </w:rPr>
                    <w:t>3 946</w:t>
                  </w:r>
                </w:p>
              </w:tc>
              <w:tc>
                <w:tcPr>
                  <w:tcW w:w="775" w:type="dxa"/>
                  <w:tcBorders>
                    <w:top w:val="nil"/>
                    <w:left w:val="nil"/>
                    <w:bottom w:val="nil"/>
                    <w:right w:val="nil"/>
                  </w:tcBorders>
                  <w:shd w:val="clear" w:color="auto" w:fill="auto"/>
                  <w:vAlign w:val="bottom"/>
                  <w:hideMark/>
                </w:tcPr>
                <w:p w14:paraId="3B1B12C5" w14:textId="77777777" w:rsidR="000F6636" w:rsidRPr="00F119E3" w:rsidRDefault="000F6636" w:rsidP="00484DB0">
                  <w:pPr>
                    <w:jc w:val="center"/>
                    <w:rPr>
                      <w:rFonts w:cs="Times New Roman"/>
                      <w:color w:val="000000"/>
                      <w:sz w:val="18"/>
                      <w:szCs w:val="18"/>
                    </w:rPr>
                  </w:pPr>
                  <w:r w:rsidRPr="00F119E3">
                    <w:rPr>
                      <w:color w:val="000000"/>
                      <w:sz w:val="18"/>
                      <w:szCs w:val="18"/>
                    </w:rPr>
                    <w:t>1,0</w:t>
                  </w:r>
                </w:p>
              </w:tc>
              <w:tc>
                <w:tcPr>
                  <w:tcW w:w="775" w:type="dxa"/>
                  <w:tcBorders>
                    <w:top w:val="nil"/>
                    <w:left w:val="nil"/>
                    <w:bottom w:val="nil"/>
                    <w:right w:val="nil"/>
                  </w:tcBorders>
                  <w:shd w:val="clear" w:color="auto" w:fill="auto"/>
                  <w:vAlign w:val="bottom"/>
                  <w:hideMark/>
                </w:tcPr>
                <w:p w14:paraId="18ABD960" w14:textId="77777777" w:rsidR="000F6636" w:rsidRPr="00F119E3" w:rsidRDefault="000F6636" w:rsidP="00484DB0">
                  <w:pPr>
                    <w:jc w:val="center"/>
                    <w:rPr>
                      <w:rFonts w:cs="Times New Roman"/>
                      <w:color w:val="000000"/>
                      <w:sz w:val="18"/>
                      <w:szCs w:val="18"/>
                    </w:rPr>
                  </w:pPr>
                  <w:r w:rsidRPr="00F119E3">
                    <w:rPr>
                      <w:color w:val="000000"/>
                      <w:sz w:val="18"/>
                      <w:szCs w:val="18"/>
                    </w:rPr>
                    <w:t>0,1</w:t>
                  </w:r>
                </w:p>
              </w:tc>
              <w:tc>
                <w:tcPr>
                  <w:tcW w:w="780" w:type="dxa"/>
                  <w:gridSpan w:val="2"/>
                  <w:tcBorders>
                    <w:top w:val="nil"/>
                    <w:left w:val="nil"/>
                    <w:bottom w:val="nil"/>
                    <w:right w:val="nil"/>
                  </w:tcBorders>
                  <w:shd w:val="clear" w:color="auto" w:fill="auto"/>
                  <w:vAlign w:val="bottom"/>
                  <w:hideMark/>
                </w:tcPr>
                <w:p w14:paraId="13BEE822" w14:textId="77777777" w:rsidR="000F6636" w:rsidRPr="00F119E3" w:rsidRDefault="000F6636" w:rsidP="00484DB0">
                  <w:pPr>
                    <w:jc w:val="center"/>
                    <w:rPr>
                      <w:rFonts w:cs="Times New Roman"/>
                      <w:color w:val="000000"/>
                      <w:sz w:val="18"/>
                      <w:szCs w:val="18"/>
                    </w:rPr>
                  </w:pPr>
                  <w:r w:rsidRPr="00F119E3">
                    <w:rPr>
                      <w:color w:val="000000"/>
                      <w:sz w:val="18"/>
                      <w:szCs w:val="18"/>
                    </w:rPr>
                    <w:t>0,2</w:t>
                  </w:r>
                </w:p>
              </w:tc>
              <w:tc>
                <w:tcPr>
                  <w:tcW w:w="775" w:type="dxa"/>
                  <w:tcBorders>
                    <w:top w:val="nil"/>
                    <w:left w:val="nil"/>
                    <w:bottom w:val="nil"/>
                    <w:right w:val="nil"/>
                  </w:tcBorders>
                  <w:shd w:val="clear" w:color="auto" w:fill="auto"/>
                  <w:vAlign w:val="bottom"/>
                  <w:hideMark/>
                </w:tcPr>
                <w:p w14:paraId="1DDC12EE" w14:textId="77777777" w:rsidR="000F6636" w:rsidRPr="00F119E3" w:rsidRDefault="000F6636" w:rsidP="00484DB0">
                  <w:pPr>
                    <w:jc w:val="center"/>
                    <w:rPr>
                      <w:rFonts w:cs="Times New Roman"/>
                      <w:color w:val="000000"/>
                      <w:sz w:val="18"/>
                      <w:szCs w:val="18"/>
                    </w:rPr>
                  </w:pPr>
                  <w:r w:rsidRPr="00F119E3">
                    <w:rPr>
                      <w:color w:val="000000"/>
                      <w:sz w:val="18"/>
                      <w:szCs w:val="18"/>
                    </w:rPr>
                    <w:t>-0,3</w:t>
                  </w:r>
                </w:p>
              </w:tc>
              <w:tc>
                <w:tcPr>
                  <w:tcW w:w="778" w:type="dxa"/>
                  <w:gridSpan w:val="3"/>
                  <w:tcBorders>
                    <w:top w:val="nil"/>
                    <w:left w:val="nil"/>
                    <w:bottom w:val="nil"/>
                    <w:right w:val="nil"/>
                  </w:tcBorders>
                  <w:shd w:val="clear" w:color="auto" w:fill="auto"/>
                  <w:vAlign w:val="bottom"/>
                  <w:hideMark/>
                </w:tcPr>
                <w:p w14:paraId="1ECEFF3E" w14:textId="77777777" w:rsidR="000F6636" w:rsidRPr="00F119E3" w:rsidRDefault="000F6636" w:rsidP="00484DB0">
                  <w:pPr>
                    <w:jc w:val="center"/>
                    <w:rPr>
                      <w:rFonts w:cs="Times New Roman"/>
                      <w:color w:val="000000"/>
                      <w:sz w:val="18"/>
                      <w:szCs w:val="18"/>
                    </w:rPr>
                  </w:pPr>
                  <w:r w:rsidRPr="00F119E3">
                    <w:rPr>
                      <w:color w:val="000000"/>
                      <w:sz w:val="18"/>
                      <w:szCs w:val="18"/>
                    </w:rPr>
                    <w:t>-0,8</w:t>
                  </w:r>
                </w:p>
              </w:tc>
            </w:tr>
            <w:tr w:rsidR="000F6636" w:rsidRPr="00F119E3" w14:paraId="55B71483" w14:textId="77777777" w:rsidTr="00484DB0">
              <w:trPr>
                <w:trHeight w:val="287"/>
              </w:trPr>
              <w:tc>
                <w:tcPr>
                  <w:tcW w:w="3474" w:type="dxa"/>
                  <w:tcBorders>
                    <w:top w:val="nil"/>
                    <w:left w:val="nil"/>
                    <w:bottom w:val="nil"/>
                    <w:right w:val="nil"/>
                  </w:tcBorders>
                  <w:shd w:val="clear" w:color="auto" w:fill="auto"/>
                  <w:noWrap/>
                  <w:vAlign w:val="center"/>
                  <w:hideMark/>
                </w:tcPr>
                <w:p w14:paraId="7B1F7C4E"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3. Miera nezamestnanosti (%)[3]  </w:t>
                  </w:r>
                </w:p>
              </w:tc>
              <w:tc>
                <w:tcPr>
                  <w:tcW w:w="679" w:type="dxa"/>
                  <w:tcBorders>
                    <w:top w:val="nil"/>
                    <w:left w:val="nil"/>
                    <w:bottom w:val="nil"/>
                    <w:right w:val="nil"/>
                  </w:tcBorders>
                  <w:shd w:val="clear" w:color="auto" w:fill="auto"/>
                  <w:vAlign w:val="bottom"/>
                  <w:hideMark/>
                </w:tcPr>
                <w:p w14:paraId="01F0B25A" w14:textId="77777777" w:rsidR="000F6636" w:rsidRPr="00F119E3" w:rsidRDefault="000F6636" w:rsidP="00484DB0">
                  <w:pPr>
                    <w:rPr>
                      <w:rFonts w:cs="Times New Roman"/>
                      <w:color w:val="000000"/>
                      <w:sz w:val="18"/>
                      <w:szCs w:val="18"/>
                    </w:rPr>
                  </w:pPr>
                </w:p>
              </w:tc>
              <w:tc>
                <w:tcPr>
                  <w:tcW w:w="931" w:type="dxa"/>
                  <w:tcBorders>
                    <w:top w:val="nil"/>
                    <w:left w:val="nil"/>
                    <w:bottom w:val="nil"/>
                    <w:right w:val="nil"/>
                  </w:tcBorders>
                  <w:shd w:val="clear" w:color="auto" w:fill="auto"/>
                  <w:vAlign w:val="center"/>
                  <w:hideMark/>
                </w:tcPr>
                <w:p w14:paraId="09F6DD79" w14:textId="77777777" w:rsidR="000F6636" w:rsidRPr="00F119E3" w:rsidRDefault="000F6636" w:rsidP="00484DB0">
                  <w:pPr>
                    <w:jc w:val="center"/>
                    <w:rPr>
                      <w:rFonts w:ascii="Times New Roman" w:hAnsi="Times New Roman" w:cs="Times New Roman"/>
                      <w:sz w:val="18"/>
                      <w:szCs w:val="18"/>
                    </w:rPr>
                  </w:pPr>
                  <w:r w:rsidRPr="00F119E3">
                    <w:rPr>
                      <w:color w:val="000000"/>
                      <w:sz w:val="18"/>
                      <w:szCs w:val="18"/>
                    </w:rPr>
                    <w:t>5,8</w:t>
                  </w:r>
                </w:p>
              </w:tc>
              <w:tc>
                <w:tcPr>
                  <w:tcW w:w="775" w:type="dxa"/>
                  <w:tcBorders>
                    <w:top w:val="nil"/>
                    <w:left w:val="nil"/>
                    <w:bottom w:val="nil"/>
                    <w:right w:val="nil"/>
                  </w:tcBorders>
                  <w:shd w:val="clear" w:color="auto" w:fill="auto"/>
                  <w:vAlign w:val="center"/>
                  <w:hideMark/>
                </w:tcPr>
                <w:p w14:paraId="5E9B15F7" w14:textId="77777777" w:rsidR="000F6636" w:rsidRPr="00F119E3" w:rsidRDefault="000F6636" w:rsidP="00484DB0">
                  <w:pPr>
                    <w:jc w:val="center"/>
                    <w:rPr>
                      <w:rFonts w:cs="Times New Roman"/>
                      <w:color w:val="000000"/>
                      <w:sz w:val="18"/>
                      <w:szCs w:val="18"/>
                    </w:rPr>
                  </w:pPr>
                  <w:r w:rsidRPr="00F119E3">
                    <w:rPr>
                      <w:color w:val="000000"/>
                      <w:sz w:val="18"/>
                      <w:szCs w:val="18"/>
                    </w:rPr>
                    <w:t>5,8</w:t>
                  </w:r>
                </w:p>
              </w:tc>
              <w:tc>
                <w:tcPr>
                  <w:tcW w:w="775" w:type="dxa"/>
                  <w:tcBorders>
                    <w:top w:val="nil"/>
                    <w:left w:val="nil"/>
                    <w:bottom w:val="nil"/>
                    <w:right w:val="nil"/>
                  </w:tcBorders>
                  <w:shd w:val="clear" w:color="auto" w:fill="auto"/>
                  <w:vAlign w:val="center"/>
                  <w:hideMark/>
                </w:tcPr>
                <w:p w14:paraId="7EA69F9A" w14:textId="77777777" w:rsidR="000F6636" w:rsidRPr="00F119E3" w:rsidRDefault="000F6636" w:rsidP="00484DB0">
                  <w:pPr>
                    <w:jc w:val="center"/>
                    <w:rPr>
                      <w:rFonts w:cs="Times New Roman"/>
                      <w:color w:val="000000"/>
                      <w:sz w:val="18"/>
                      <w:szCs w:val="18"/>
                    </w:rPr>
                  </w:pPr>
                  <w:r w:rsidRPr="00F119E3">
                    <w:rPr>
                      <w:color w:val="000000"/>
                      <w:sz w:val="18"/>
                      <w:szCs w:val="18"/>
                    </w:rPr>
                    <w:t>5,5</w:t>
                  </w:r>
                </w:p>
              </w:tc>
              <w:tc>
                <w:tcPr>
                  <w:tcW w:w="780" w:type="dxa"/>
                  <w:gridSpan w:val="2"/>
                  <w:tcBorders>
                    <w:top w:val="nil"/>
                    <w:left w:val="nil"/>
                    <w:bottom w:val="nil"/>
                    <w:right w:val="nil"/>
                  </w:tcBorders>
                  <w:shd w:val="clear" w:color="auto" w:fill="auto"/>
                  <w:vAlign w:val="center"/>
                  <w:hideMark/>
                </w:tcPr>
                <w:p w14:paraId="5945C3AA" w14:textId="77777777" w:rsidR="000F6636" w:rsidRPr="00F119E3" w:rsidRDefault="000F6636" w:rsidP="00484DB0">
                  <w:pPr>
                    <w:jc w:val="center"/>
                    <w:rPr>
                      <w:rFonts w:cs="Times New Roman"/>
                      <w:color w:val="000000"/>
                      <w:sz w:val="18"/>
                      <w:szCs w:val="18"/>
                    </w:rPr>
                  </w:pPr>
                  <w:r w:rsidRPr="00F119E3">
                    <w:rPr>
                      <w:color w:val="000000"/>
                      <w:sz w:val="18"/>
                      <w:szCs w:val="18"/>
                    </w:rPr>
                    <w:t>5,2</w:t>
                  </w:r>
                </w:p>
              </w:tc>
              <w:tc>
                <w:tcPr>
                  <w:tcW w:w="775" w:type="dxa"/>
                  <w:tcBorders>
                    <w:top w:val="nil"/>
                    <w:left w:val="nil"/>
                    <w:bottom w:val="nil"/>
                    <w:right w:val="nil"/>
                  </w:tcBorders>
                  <w:shd w:val="clear" w:color="auto" w:fill="auto"/>
                  <w:vAlign w:val="center"/>
                  <w:hideMark/>
                </w:tcPr>
                <w:p w14:paraId="6470402D" w14:textId="77777777" w:rsidR="000F6636" w:rsidRPr="00F119E3" w:rsidRDefault="000F6636" w:rsidP="00484DB0">
                  <w:pPr>
                    <w:jc w:val="center"/>
                    <w:rPr>
                      <w:rFonts w:cs="Times New Roman"/>
                      <w:color w:val="000000"/>
                      <w:sz w:val="18"/>
                      <w:szCs w:val="18"/>
                    </w:rPr>
                  </w:pPr>
                  <w:r w:rsidRPr="00F119E3">
                    <w:rPr>
                      <w:color w:val="000000"/>
                      <w:sz w:val="18"/>
                      <w:szCs w:val="18"/>
                    </w:rPr>
                    <w:t>5,1</w:t>
                  </w:r>
                </w:p>
              </w:tc>
              <w:tc>
                <w:tcPr>
                  <w:tcW w:w="778" w:type="dxa"/>
                  <w:gridSpan w:val="3"/>
                  <w:tcBorders>
                    <w:top w:val="nil"/>
                    <w:left w:val="nil"/>
                    <w:bottom w:val="nil"/>
                    <w:right w:val="nil"/>
                  </w:tcBorders>
                  <w:shd w:val="clear" w:color="auto" w:fill="auto"/>
                  <w:vAlign w:val="center"/>
                  <w:hideMark/>
                </w:tcPr>
                <w:p w14:paraId="415ADC02" w14:textId="77777777" w:rsidR="000F6636" w:rsidRPr="00F119E3" w:rsidRDefault="000F6636" w:rsidP="00484DB0">
                  <w:pPr>
                    <w:jc w:val="center"/>
                    <w:rPr>
                      <w:rFonts w:cs="Times New Roman"/>
                      <w:color w:val="000000"/>
                      <w:sz w:val="18"/>
                      <w:szCs w:val="18"/>
                    </w:rPr>
                  </w:pPr>
                  <w:r w:rsidRPr="00F119E3">
                    <w:rPr>
                      <w:color w:val="000000"/>
                      <w:sz w:val="18"/>
                      <w:szCs w:val="18"/>
                    </w:rPr>
                    <w:t>5,0</w:t>
                  </w:r>
                </w:p>
              </w:tc>
            </w:tr>
            <w:tr w:rsidR="000F6636" w:rsidRPr="00F119E3" w14:paraId="6A2F9099" w14:textId="77777777" w:rsidTr="00484DB0">
              <w:trPr>
                <w:trHeight w:val="287"/>
              </w:trPr>
              <w:tc>
                <w:tcPr>
                  <w:tcW w:w="3474" w:type="dxa"/>
                  <w:tcBorders>
                    <w:top w:val="nil"/>
                    <w:left w:val="nil"/>
                    <w:bottom w:val="nil"/>
                    <w:right w:val="nil"/>
                  </w:tcBorders>
                  <w:shd w:val="clear" w:color="auto" w:fill="auto"/>
                  <w:noWrap/>
                  <w:vAlign w:val="center"/>
                  <w:hideMark/>
                </w:tcPr>
                <w:p w14:paraId="6B9AD2FC"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4. Produktivita práce na osobu (eur) [4]  </w:t>
                  </w:r>
                </w:p>
              </w:tc>
              <w:tc>
                <w:tcPr>
                  <w:tcW w:w="679" w:type="dxa"/>
                  <w:tcBorders>
                    <w:top w:val="nil"/>
                    <w:left w:val="nil"/>
                    <w:bottom w:val="nil"/>
                    <w:right w:val="nil"/>
                  </w:tcBorders>
                  <w:shd w:val="clear" w:color="auto" w:fill="auto"/>
                  <w:vAlign w:val="bottom"/>
                  <w:hideMark/>
                </w:tcPr>
                <w:p w14:paraId="2D9CEEE1" w14:textId="77777777" w:rsidR="000F6636" w:rsidRPr="00F119E3" w:rsidRDefault="000F6636" w:rsidP="00484DB0">
                  <w:pPr>
                    <w:rPr>
                      <w:rFonts w:cs="Times New Roman"/>
                      <w:color w:val="000000"/>
                      <w:sz w:val="18"/>
                      <w:szCs w:val="18"/>
                    </w:rPr>
                  </w:pPr>
                </w:p>
              </w:tc>
              <w:tc>
                <w:tcPr>
                  <w:tcW w:w="931" w:type="dxa"/>
                  <w:tcBorders>
                    <w:top w:val="nil"/>
                    <w:left w:val="nil"/>
                    <w:bottom w:val="nil"/>
                    <w:right w:val="nil"/>
                  </w:tcBorders>
                  <w:shd w:val="clear" w:color="auto" w:fill="auto"/>
                  <w:vAlign w:val="center"/>
                  <w:hideMark/>
                </w:tcPr>
                <w:p w14:paraId="788505C7" w14:textId="77777777" w:rsidR="000F6636" w:rsidRPr="00F119E3" w:rsidRDefault="000F6636" w:rsidP="00484DB0">
                  <w:pPr>
                    <w:jc w:val="center"/>
                    <w:rPr>
                      <w:rFonts w:cs="Times New Roman"/>
                      <w:color w:val="000000"/>
                      <w:sz w:val="18"/>
                      <w:szCs w:val="18"/>
                    </w:rPr>
                  </w:pPr>
                  <w:r w:rsidRPr="00F119E3">
                    <w:rPr>
                      <w:color w:val="000000"/>
                      <w:sz w:val="18"/>
                      <w:szCs w:val="18"/>
                    </w:rPr>
                    <w:t>38 616</w:t>
                  </w:r>
                </w:p>
              </w:tc>
              <w:tc>
                <w:tcPr>
                  <w:tcW w:w="775" w:type="dxa"/>
                  <w:tcBorders>
                    <w:top w:val="nil"/>
                    <w:left w:val="nil"/>
                    <w:bottom w:val="nil"/>
                    <w:right w:val="nil"/>
                  </w:tcBorders>
                  <w:shd w:val="clear" w:color="auto" w:fill="auto"/>
                  <w:vAlign w:val="center"/>
                  <w:hideMark/>
                </w:tcPr>
                <w:p w14:paraId="223B8D8B" w14:textId="77777777" w:rsidR="000F6636" w:rsidRPr="00F119E3" w:rsidRDefault="000F6636" w:rsidP="00484DB0">
                  <w:pPr>
                    <w:jc w:val="center"/>
                    <w:rPr>
                      <w:rFonts w:cs="Times New Roman"/>
                      <w:color w:val="000000"/>
                      <w:sz w:val="18"/>
                      <w:szCs w:val="18"/>
                    </w:rPr>
                  </w:pPr>
                  <w:r w:rsidRPr="00F119E3">
                    <w:rPr>
                      <w:color w:val="000000"/>
                      <w:sz w:val="18"/>
                      <w:szCs w:val="18"/>
                    </w:rPr>
                    <w:t>1,3</w:t>
                  </w:r>
                </w:p>
              </w:tc>
              <w:tc>
                <w:tcPr>
                  <w:tcW w:w="775" w:type="dxa"/>
                  <w:tcBorders>
                    <w:top w:val="nil"/>
                    <w:left w:val="nil"/>
                    <w:bottom w:val="nil"/>
                    <w:right w:val="nil"/>
                  </w:tcBorders>
                  <w:shd w:val="clear" w:color="auto" w:fill="auto"/>
                  <w:vAlign w:val="center"/>
                  <w:hideMark/>
                </w:tcPr>
                <w:p w14:paraId="61B1D6D9" w14:textId="77777777" w:rsidR="000F6636" w:rsidRPr="00F119E3" w:rsidRDefault="000F6636" w:rsidP="00484DB0">
                  <w:pPr>
                    <w:jc w:val="center"/>
                    <w:rPr>
                      <w:rFonts w:cs="Times New Roman"/>
                      <w:color w:val="000000"/>
                      <w:sz w:val="18"/>
                      <w:szCs w:val="18"/>
                    </w:rPr>
                  </w:pPr>
                  <w:r w:rsidRPr="00F119E3">
                    <w:rPr>
                      <w:color w:val="000000"/>
                      <w:sz w:val="18"/>
                      <w:szCs w:val="18"/>
                    </w:rPr>
                    <w:t>1,2</w:t>
                  </w:r>
                </w:p>
              </w:tc>
              <w:tc>
                <w:tcPr>
                  <w:tcW w:w="780" w:type="dxa"/>
                  <w:gridSpan w:val="2"/>
                  <w:tcBorders>
                    <w:top w:val="nil"/>
                    <w:left w:val="nil"/>
                    <w:bottom w:val="nil"/>
                    <w:right w:val="nil"/>
                  </w:tcBorders>
                  <w:shd w:val="clear" w:color="auto" w:fill="auto"/>
                  <w:vAlign w:val="center"/>
                  <w:hideMark/>
                </w:tcPr>
                <w:p w14:paraId="7E8C3C5D" w14:textId="77777777" w:rsidR="000F6636" w:rsidRPr="00F119E3" w:rsidRDefault="000F6636" w:rsidP="00484DB0">
                  <w:pPr>
                    <w:jc w:val="center"/>
                    <w:rPr>
                      <w:rFonts w:cs="Times New Roman"/>
                      <w:color w:val="000000"/>
                      <w:sz w:val="18"/>
                      <w:szCs w:val="18"/>
                    </w:rPr>
                  </w:pPr>
                  <w:r w:rsidRPr="00F119E3">
                    <w:rPr>
                      <w:color w:val="000000"/>
                      <w:sz w:val="18"/>
                      <w:szCs w:val="18"/>
                    </w:rPr>
                    <w:t>2,1</w:t>
                  </w:r>
                </w:p>
              </w:tc>
              <w:tc>
                <w:tcPr>
                  <w:tcW w:w="775" w:type="dxa"/>
                  <w:tcBorders>
                    <w:top w:val="nil"/>
                    <w:left w:val="nil"/>
                    <w:bottom w:val="nil"/>
                    <w:right w:val="nil"/>
                  </w:tcBorders>
                  <w:shd w:val="clear" w:color="auto" w:fill="auto"/>
                  <w:vAlign w:val="center"/>
                  <w:hideMark/>
                </w:tcPr>
                <w:p w14:paraId="64F4AD73" w14:textId="77777777" w:rsidR="000F6636" w:rsidRPr="00F119E3" w:rsidRDefault="000F6636" w:rsidP="00484DB0">
                  <w:pPr>
                    <w:jc w:val="center"/>
                    <w:rPr>
                      <w:rFonts w:cs="Times New Roman"/>
                      <w:color w:val="000000"/>
                      <w:sz w:val="18"/>
                      <w:szCs w:val="18"/>
                    </w:rPr>
                  </w:pPr>
                  <w:r w:rsidRPr="00F119E3">
                    <w:rPr>
                      <w:color w:val="000000"/>
                      <w:sz w:val="18"/>
                      <w:szCs w:val="18"/>
                    </w:rPr>
                    <w:t>1,4</w:t>
                  </w:r>
                </w:p>
              </w:tc>
              <w:tc>
                <w:tcPr>
                  <w:tcW w:w="778" w:type="dxa"/>
                  <w:gridSpan w:val="3"/>
                  <w:tcBorders>
                    <w:top w:val="nil"/>
                    <w:left w:val="nil"/>
                    <w:bottom w:val="nil"/>
                    <w:right w:val="nil"/>
                  </w:tcBorders>
                  <w:shd w:val="clear" w:color="auto" w:fill="auto"/>
                  <w:vAlign w:val="center"/>
                  <w:hideMark/>
                </w:tcPr>
                <w:p w14:paraId="19AF03C0" w14:textId="77777777" w:rsidR="000F6636" w:rsidRPr="00F119E3" w:rsidRDefault="000F6636" w:rsidP="00484DB0">
                  <w:pPr>
                    <w:jc w:val="center"/>
                    <w:rPr>
                      <w:rFonts w:cs="Times New Roman"/>
                      <w:color w:val="000000"/>
                      <w:sz w:val="18"/>
                      <w:szCs w:val="18"/>
                    </w:rPr>
                  </w:pPr>
                  <w:r w:rsidRPr="00F119E3">
                    <w:rPr>
                      <w:color w:val="000000"/>
                      <w:sz w:val="18"/>
                      <w:szCs w:val="18"/>
                    </w:rPr>
                    <w:t>1,8</w:t>
                  </w:r>
                </w:p>
              </w:tc>
            </w:tr>
            <w:tr w:rsidR="000F6636" w:rsidRPr="00F119E3" w14:paraId="40432F60" w14:textId="77777777" w:rsidTr="00484DB0">
              <w:trPr>
                <w:trHeight w:val="287"/>
              </w:trPr>
              <w:tc>
                <w:tcPr>
                  <w:tcW w:w="3474" w:type="dxa"/>
                  <w:tcBorders>
                    <w:top w:val="nil"/>
                    <w:left w:val="nil"/>
                    <w:bottom w:val="nil"/>
                    <w:right w:val="nil"/>
                  </w:tcBorders>
                  <w:shd w:val="clear" w:color="auto" w:fill="auto"/>
                  <w:noWrap/>
                  <w:vAlign w:val="center"/>
                  <w:hideMark/>
                </w:tcPr>
                <w:p w14:paraId="3DCB3219" w14:textId="77777777" w:rsidR="000F6636" w:rsidRPr="00F119E3" w:rsidRDefault="000F6636" w:rsidP="00484DB0">
                  <w:pPr>
                    <w:rPr>
                      <w:rFonts w:cs="Times New Roman"/>
                      <w:color w:val="000000"/>
                      <w:sz w:val="18"/>
                      <w:szCs w:val="18"/>
                    </w:rPr>
                  </w:pPr>
                  <w:r w:rsidRPr="00F119E3">
                    <w:rPr>
                      <w:rFonts w:cs="Times New Roman"/>
                      <w:color w:val="000000"/>
                      <w:sz w:val="18"/>
                      <w:szCs w:val="18"/>
                    </w:rPr>
                    <w:t>5. Produktivita práce na hodinu (eur) [5]</w:t>
                  </w:r>
                </w:p>
              </w:tc>
              <w:tc>
                <w:tcPr>
                  <w:tcW w:w="679" w:type="dxa"/>
                  <w:tcBorders>
                    <w:top w:val="nil"/>
                    <w:left w:val="nil"/>
                    <w:bottom w:val="nil"/>
                    <w:right w:val="nil"/>
                  </w:tcBorders>
                  <w:shd w:val="clear" w:color="auto" w:fill="auto"/>
                  <w:noWrap/>
                  <w:vAlign w:val="bottom"/>
                  <w:hideMark/>
                </w:tcPr>
                <w:p w14:paraId="374DADDE" w14:textId="77777777" w:rsidR="000F6636" w:rsidRPr="00F119E3" w:rsidRDefault="000F6636" w:rsidP="00484DB0">
                  <w:pPr>
                    <w:rPr>
                      <w:rFonts w:cs="Times New Roman"/>
                      <w:color w:val="000000"/>
                      <w:sz w:val="18"/>
                      <w:szCs w:val="18"/>
                    </w:rPr>
                  </w:pPr>
                </w:p>
              </w:tc>
              <w:tc>
                <w:tcPr>
                  <w:tcW w:w="931" w:type="dxa"/>
                  <w:tcBorders>
                    <w:top w:val="nil"/>
                    <w:left w:val="nil"/>
                    <w:bottom w:val="nil"/>
                    <w:right w:val="nil"/>
                  </w:tcBorders>
                  <w:shd w:val="clear" w:color="auto" w:fill="auto"/>
                  <w:vAlign w:val="center"/>
                  <w:hideMark/>
                </w:tcPr>
                <w:p w14:paraId="3A13EDBF" w14:textId="77777777" w:rsidR="000F6636" w:rsidRPr="00F119E3" w:rsidRDefault="000F6636" w:rsidP="00484DB0">
                  <w:pPr>
                    <w:jc w:val="center"/>
                    <w:rPr>
                      <w:rFonts w:cs="Times New Roman"/>
                      <w:color w:val="000000"/>
                      <w:sz w:val="18"/>
                      <w:szCs w:val="18"/>
                    </w:rPr>
                  </w:pPr>
                  <w:r w:rsidRPr="00F119E3">
                    <w:rPr>
                      <w:color w:val="000000"/>
                      <w:sz w:val="18"/>
                      <w:szCs w:val="18"/>
                    </w:rPr>
                    <w:t>24</w:t>
                  </w:r>
                </w:p>
              </w:tc>
              <w:tc>
                <w:tcPr>
                  <w:tcW w:w="775" w:type="dxa"/>
                  <w:tcBorders>
                    <w:top w:val="nil"/>
                    <w:left w:val="nil"/>
                    <w:bottom w:val="nil"/>
                    <w:right w:val="nil"/>
                  </w:tcBorders>
                  <w:shd w:val="clear" w:color="auto" w:fill="auto"/>
                  <w:vAlign w:val="center"/>
                  <w:hideMark/>
                </w:tcPr>
                <w:p w14:paraId="299498E5" w14:textId="77777777" w:rsidR="000F6636" w:rsidRPr="00F119E3" w:rsidRDefault="000F6636" w:rsidP="00484DB0">
                  <w:pPr>
                    <w:jc w:val="center"/>
                    <w:rPr>
                      <w:rFonts w:cs="Times New Roman"/>
                      <w:color w:val="000000"/>
                      <w:sz w:val="18"/>
                      <w:szCs w:val="18"/>
                    </w:rPr>
                  </w:pPr>
                  <w:r w:rsidRPr="00F119E3">
                    <w:rPr>
                      <w:color w:val="000000"/>
                      <w:sz w:val="18"/>
                      <w:szCs w:val="18"/>
                    </w:rPr>
                    <w:t>0,6</w:t>
                  </w:r>
                </w:p>
              </w:tc>
              <w:tc>
                <w:tcPr>
                  <w:tcW w:w="775" w:type="dxa"/>
                  <w:tcBorders>
                    <w:top w:val="nil"/>
                    <w:left w:val="nil"/>
                    <w:bottom w:val="nil"/>
                    <w:right w:val="nil"/>
                  </w:tcBorders>
                  <w:shd w:val="clear" w:color="auto" w:fill="auto"/>
                  <w:vAlign w:val="center"/>
                  <w:hideMark/>
                </w:tcPr>
                <w:p w14:paraId="44BA613B" w14:textId="77777777" w:rsidR="000F6636" w:rsidRPr="00F119E3" w:rsidRDefault="000F6636" w:rsidP="00484DB0">
                  <w:pPr>
                    <w:jc w:val="center"/>
                    <w:rPr>
                      <w:rFonts w:cs="Times New Roman"/>
                      <w:color w:val="000000"/>
                      <w:sz w:val="18"/>
                      <w:szCs w:val="18"/>
                    </w:rPr>
                  </w:pPr>
                  <w:r w:rsidRPr="00F119E3">
                    <w:rPr>
                      <w:color w:val="000000"/>
                      <w:sz w:val="18"/>
                      <w:szCs w:val="18"/>
                    </w:rPr>
                    <w:t>1,8</w:t>
                  </w:r>
                </w:p>
              </w:tc>
              <w:tc>
                <w:tcPr>
                  <w:tcW w:w="780" w:type="dxa"/>
                  <w:gridSpan w:val="2"/>
                  <w:tcBorders>
                    <w:top w:val="nil"/>
                    <w:left w:val="nil"/>
                    <w:bottom w:val="nil"/>
                    <w:right w:val="nil"/>
                  </w:tcBorders>
                  <w:shd w:val="clear" w:color="auto" w:fill="auto"/>
                  <w:vAlign w:val="center"/>
                  <w:hideMark/>
                </w:tcPr>
                <w:p w14:paraId="3D30FEAF" w14:textId="77777777" w:rsidR="000F6636" w:rsidRPr="00F119E3" w:rsidRDefault="000F6636" w:rsidP="00484DB0">
                  <w:pPr>
                    <w:jc w:val="center"/>
                    <w:rPr>
                      <w:rFonts w:cs="Times New Roman"/>
                      <w:color w:val="000000"/>
                      <w:sz w:val="18"/>
                      <w:szCs w:val="18"/>
                    </w:rPr>
                  </w:pPr>
                  <w:r w:rsidRPr="00F119E3">
                    <w:rPr>
                      <w:color w:val="000000"/>
                      <w:sz w:val="18"/>
                      <w:szCs w:val="18"/>
                    </w:rPr>
                    <w:t>2,8</w:t>
                  </w:r>
                </w:p>
              </w:tc>
              <w:tc>
                <w:tcPr>
                  <w:tcW w:w="775" w:type="dxa"/>
                  <w:tcBorders>
                    <w:top w:val="nil"/>
                    <w:left w:val="nil"/>
                    <w:bottom w:val="nil"/>
                    <w:right w:val="nil"/>
                  </w:tcBorders>
                  <w:shd w:val="clear" w:color="auto" w:fill="auto"/>
                  <w:vAlign w:val="center"/>
                  <w:hideMark/>
                </w:tcPr>
                <w:p w14:paraId="1BA748C8" w14:textId="77777777" w:rsidR="000F6636" w:rsidRPr="00F119E3" w:rsidRDefault="000F6636" w:rsidP="00484DB0">
                  <w:pPr>
                    <w:jc w:val="center"/>
                    <w:rPr>
                      <w:rFonts w:cs="Times New Roman"/>
                      <w:color w:val="000000"/>
                      <w:sz w:val="18"/>
                      <w:szCs w:val="18"/>
                    </w:rPr>
                  </w:pPr>
                  <w:r w:rsidRPr="00F119E3">
                    <w:rPr>
                      <w:color w:val="000000"/>
                      <w:sz w:val="18"/>
                      <w:szCs w:val="18"/>
                    </w:rPr>
                    <w:t>2,6</w:t>
                  </w:r>
                </w:p>
              </w:tc>
              <w:tc>
                <w:tcPr>
                  <w:tcW w:w="778" w:type="dxa"/>
                  <w:gridSpan w:val="3"/>
                  <w:tcBorders>
                    <w:top w:val="nil"/>
                    <w:left w:val="nil"/>
                    <w:bottom w:val="nil"/>
                    <w:right w:val="nil"/>
                  </w:tcBorders>
                  <w:shd w:val="clear" w:color="auto" w:fill="auto"/>
                  <w:vAlign w:val="center"/>
                  <w:hideMark/>
                </w:tcPr>
                <w:p w14:paraId="7B9FE5E3" w14:textId="77777777" w:rsidR="000F6636" w:rsidRPr="00F119E3" w:rsidRDefault="000F6636" w:rsidP="00484DB0">
                  <w:pPr>
                    <w:jc w:val="center"/>
                    <w:rPr>
                      <w:rFonts w:cs="Times New Roman"/>
                      <w:color w:val="000000"/>
                      <w:sz w:val="18"/>
                      <w:szCs w:val="18"/>
                    </w:rPr>
                  </w:pPr>
                  <w:r w:rsidRPr="00F119E3">
                    <w:rPr>
                      <w:color w:val="000000"/>
                      <w:sz w:val="18"/>
                      <w:szCs w:val="18"/>
                    </w:rPr>
                    <w:t>2,5</w:t>
                  </w:r>
                </w:p>
              </w:tc>
            </w:tr>
            <w:tr w:rsidR="000F6636" w:rsidRPr="00F119E3" w14:paraId="62CD5F7E" w14:textId="77777777" w:rsidTr="00484DB0">
              <w:trPr>
                <w:trHeight w:val="287"/>
              </w:trPr>
              <w:tc>
                <w:tcPr>
                  <w:tcW w:w="3474" w:type="dxa"/>
                  <w:tcBorders>
                    <w:top w:val="nil"/>
                    <w:left w:val="nil"/>
                    <w:bottom w:val="nil"/>
                    <w:right w:val="nil"/>
                  </w:tcBorders>
                  <w:shd w:val="clear" w:color="auto" w:fill="auto"/>
                  <w:noWrap/>
                  <w:vAlign w:val="center"/>
                  <w:hideMark/>
                </w:tcPr>
                <w:p w14:paraId="6C7D3DBB" w14:textId="77777777" w:rsidR="000F6636" w:rsidRPr="00F119E3" w:rsidRDefault="000F6636" w:rsidP="00484DB0">
                  <w:pPr>
                    <w:rPr>
                      <w:rFonts w:cs="Times New Roman"/>
                      <w:color w:val="000000"/>
                      <w:sz w:val="18"/>
                      <w:szCs w:val="18"/>
                    </w:rPr>
                  </w:pPr>
                  <w:r w:rsidRPr="00F119E3">
                    <w:rPr>
                      <w:rFonts w:cs="Times New Roman"/>
                      <w:color w:val="000000"/>
                      <w:sz w:val="18"/>
                      <w:szCs w:val="18"/>
                    </w:rPr>
                    <w:t>6. Odmeny zamestnancov (mil. eur)</w:t>
                  </w:r>
                </w:p>
              </w:tc>
              <w:tc>
                <w:tcPr>
                  <w:tcW w:w="679" w:type="dxa"/>
                  <w:tcBorders>
                    <w:top w:val="nil"/>
                    <w:left w:val="nil"/>
                    <w:bottom w:val="nil"/>
                    <w:right w:val="nil"/>
                  </w:tcBorders>
                  <w:shd w:val="clear" w:color="auto" w:fill="auto"/>
                  <w:noWrap/>
                  <w:vAlign w:val="center"/>
                  <w:hideMark/>
                </w:tcPr>
                <w:p w14:paraId="1BB61031" w14:textId="77777777" w:rsidR="000F6636" w:rsidRPr="00F119E3" w:rsidRDefault="000F6636" w:rsidP="00484DB0">
                  <w:pPr>
                    <w:jc w:val="center"/>
                    <w:rPr>
                      <w:rFonts w:cs="Times New Roman"/>
                      <w:color w:val="000000"/>
                      <w:sz w:val="18"/>
                      <w:szCs w:val="18"/>
                    </w:rPr>
                  </w:pPr>
                  <w:r w:rsidRPr="00F119E3">
                    <w:rPr>
                      <w:rFonts w:cs="Times New Roman"/>
                      <w:color w:val="000000"/>
                      <w:sz w:val="18"/>
                      <w:szCs w:val="18"/>
                    </w:rPr>
                    <w:t>D.1</w:t>
                  </w:r>
                </w:p>
              </w:tc>
              <w:tc>
                <w:tcPr>
                  <w:tcW w:w="931" w:type="dxa"/>
                  <w:tcBorders>
                    <w:top w:val="nil"/>
                    <w:left w:val="nil"/>
                    <w:bottom w:val="nil"/>
                    <w:right w:val="nil"/>
                  </w:tcBorders>
                  <w:shd w:val="clear" w:color="auto" w:fill="auto"/>
                  <w:vAlign w:val="center"/>
                  <w:hideMark/>
                </w:tcPr>
                <w:p w14:paraId="3297F8F3" w14:textId="77777777" w:rsidR="000F6636" w:rsidRPr="00F119E3" w:rsidRDefault="000F6636" w:rsidP="00484DB0">
                  <w:pPr>
                    <w:jc w:val="center"/>
                    <w:rPr>
                      <w:rFonts w:cs="Times New Roman"/>
                      <w:color w:val="000000"/>
                      <w:sz w:val="18"/>
                      <w:szCs w:val="18"/>
                    </w:rPr>
                  </w:pPr>
                  <w:r w:rsidRPr="00F119E3">
                    <w:rPr>
                      <w:color w:val="000000"/>
                      <w:sz w:val="18"/>
                      <w:szCs w:val="18"/>
                    </w:rPr>
                    <w:t>51 354</w:t>
                  </w:r>
                </w:p>
              </w:tc>
              <w:tc>
                <w:tcPr>
                  <w:tcW w:w="775" w:type="dxa"/>
                  <w:tcBorders>
                    <w:top w:val="nil"/>
                    <w:left w:val="nil"/>
                    <w:bottom w:val="nil"/>
                    <w:right w:val="nil"/>
                  </w:tcBorders>
                  <w:shd w:val="clear" w:color="auto" w:fill="auto"/>
                  <w:vAlign w:val="center"/>
                  <w:hideMark/>
                </w:tcPr>
                <w:p w14:paraId="0B365141" w14:textId="77777777" w:rsidR="000F6636" w:rsidRPr="00F119E3" w:rsidRDefault="000F6636" w:rsidP="00484DB0">
                  <w:pPr>
                    <w:jc w:val="center"/>
                    <w:rPr>
                      <w:rFonts w:cs="Times New Roman"/>
                      <w:color w:val="000000"/>
                      <w:sz w:val="18"/>
                      <w:szCs w:val="18"/>
                    </w:rPr>
                  </w:pPr>
                  <w:r w:rsidRPr="00F119E3">
                    <w:rPr>
                      <w:color w:val="000000"/>
                      <w:sz w:val="18"/>
                      <w:szCs w:val="18"/>
                    </w:rPr>
                    <w:t>10,5</w:t>
                  </w:r>
                </w:p>
              </w:tc>
              <w:tc>
                <w:tcPr>
                  <w:tcW w:w="775" w:type="dxa"/>
                  <w:tcBorders>
                    <w:top w:val="nil"/>
                    <w:left w:val="nil"/>
                    <w:bottom w:val="nil"/>
                    <w:right w:val="nil"/>
                  </w:tcBorders>
                  <w:shd w:val="clear" w:color="auto" w:fill="auto"/>
                  <w:vAlign w:val="center"/>
                  <w:hideMark/>
                </w:tcPr>
                <w:p w14:paraId="3DD7EF53" w14:textId="77777777" w:rsidR="000F6636" w:rsidRPr="00F119E3" w:rsidRDefault="000F6636" w:rsidP="00484DB0">
                  <w:pPr>
                    <w:jc w:val="center"/>
                    <w:rPr>
                      <w:rFonts w:cs="Times New Roman"/>
                      <w:color w:val="000000"/>
                      <w:sz w:val="18"/>
                      <w:szCs w:val="18"/>
                    </w:rPr>
                  </w:pPr>
                  <w:r w:rsidRPr="00F119E3">
                    <w:rPr>
                      <w:color w:val="000000"/>
                      <w:sz w:val="18"/>
                      <w:szCs w:val="18"/>
                    </w:rPr>
                    <w:t>5,8</w:t>
                  </w:r>
                </w:p>
              </w:tc>
              <w:tc>
                <w:tcPr>
                  <w:tcW w:w="780" w:type="dxa"/>
                  <w:gridSpan w:val="2"/>
                  <w:tcBorders>
                    <w:top w:val="nil"/>
                    <w:left w:val="nil"/>
                    <w:bottom w:val="nil"/>
                    <w:right w:val="nil"/>
                  </w:tcBorders>
                  <w:shd w:val="clear" w:color="auto" w:fill="auto"/>
                  <w:vAlign w:val="center"/>
                  <w:hideMark/>
                </w:tcPr>
                <w:p w14:paraId="20050C49" w14:textId="77777777" w:rsidR="000F6636" w:rsidRPr="00F119E3" w:rsidRDefault="000F6636" w:rsidP="00484DB0">
                  <w:pPr>
                    <w:jc w:val="center"/>
                    <w:rPr>
                      <w:rFonts w:cs="Times New Roman"/>
                      <w:color w:val="000000"/>
                      <w:sz w:val="18"/>
                      <w:szCs w:val="18"/>
                    </w:rPr>
                  </w:pPr>
                  <w:r w:rsidRPr="00F119E3">
                    <w:rPr>
                      <w:color w:val="000000"/>
                      <w:sz w:val="18"/>
                      <w:szCs w:val="18"/>
                    </w:rPr>
                    <w:t>6,6</w:t>
                  </w:r>
                </w:p>
              </w:tc>
              <w:tc>
                <w:tcPr>
                  <w:tcW w:w="775" w:type="dxa"/>
                  <w:tcBorders>
                    <w:top w:val="nil"/>
                    <w:left w:val="nil"/>
                    <w:bottom w:val="nil"/>
                    <w:right w:val="nil"/>
                  </w:tcBorders>
                  <w:shd w:val="clear" w:color="auto" w:fill="auto"/>
                  <w:vAlign w:val="center"/>
                  <w:hideMark/>
                </w:tcPr>
                <w:p w14:paraId="7CB50AC8" w14:textId="77777777" w:rsidR="000F6636" w:rsidRPr="00F119E3" w:rsidRDefault="000F6636" w:rsidP="00484DB0">
                  <w:pPr>
                    <w:jc w:val="center"/>
                    <w:rPr>
                      <w:rFonts w:cs="Times New Roman"/>
                      <w:color w:val="000000"/>
                      <w:sz w:val="18"/>
                      <w:szCs w:val="18"/>
                    </w:rPr>
                  </w:pPr>
                  <w:r w:rsidRPr="00F119E3">
                    <w:rPr>
                      <w:color w:val="000000"/>
                      <w:sz w:val="18"/>
                      <w:szCs w:val="18"/>
                    </w:rPr>
                    <w:t>5,2</w:t>
                  </w:r>
                </w:p>
              </w:tc>
              <w:tc>
                <w:tcPr>
                  <w:tcW w:w="778" w:type="dxa"/>
                  <w:gridSpan w:val="3"/>
                  <w:tcBorders>
                    <w:top w:val="nil"/>
                    <w:left w:val="nil"/>
                    <w:bottom w:val="nil"/>
                    <w:right w:val="nil"/>
                  </w:tcBorders>
                  <w:shd w:val="clear" w:color="auto" w:fill="auto"/>
                  <w:vAlign w:val="center"/>
                  <w:hideMark/>
                </w:tcPr>
                <w:p w14:paraId="486B98AF" w14:textId="77777777" w:rsidR="000F6636" w:rsidRPr="00F119E3" w:rsidRDefault="000F6636" w:rsidP="00484DB0">
                  <w:pPr>
                    <w:jc w:val="center"/>
                    <w:rPr>
                      <w:rFonts w:cs="Times New Roman"/>
                      <w:color w:val="000000"/>
                      <w:sz w:val="18"/>
                      <w:szCs w:val="18"/>
                    </w:rPr>
                  </w:pPr>
                  <w:r w:rsidRPr="00F119E3">
                    <w:rPr>
                      <w:color w:val="000000"/>
                      <w:sz w:val="18"/>
                      <w:szCs w:val="18"/>
                    </w:rPr>
                    <w:t>4,5</w:t>
                  </w:r>
                </w:p>
              </w:tc>
            </w:tr>
            <w:tr w:rsidR="000F6636" w:rsidRPr="00F119E3" w14:paraId="19ECBAC8" w14:textId="77777777" w:rsidTr="00484DB0">
              <w:trPr>
                <w:trHeight w:val="287"/>
              </w:trPr>
              <w:tc>
                <w:tcPr>
                  <w:tcW w:w="3474" w:type="dxa"/>
                  <w:tcBorders>
                    <w:top w:val="nil"/>
                    <w:left w:val="nil"/>
                    <w:bottom w:val="single" w:sz="8" w:space="0" w:color="auto"/>
                    <w:right w:val="nil"/>
                  </w:tcBorders>
                  <w:shd w:val="clear" w:color="auto" w:fill="auto"/>
                  <w:noWrap/>
                  <w:vAlign w:val="center"/>
                  <w:hideMark/>
                </w:tcPr>
                <w:p w14:paraId="7BD55084" w14:textId="77777777" w:rsidR="000F6636" w:rsidRPr="00F119E3" w:rsidRDefault="000F6636" w:rsidP="00484DB0">
                  <w:pPr>
                    <w:rPr>
                      <w:rFonts w:cs="Times New Roman"/>
                      <w:color w:val="000000"/>
                      <w:sz w:val="18"/>
                      <w:szCs w:val="18"/>
                    </w:rPr>
                  </w:pPr>
                  <w:r w:rsidRPr="00F119E3">
                    <w:rPr>
                      <w:rFonts w:cs="Times New Roman"/>
                      <w:color w:val="000000"/>
                      <w:sz w:val="18"/>
                      <w:szCs w:val="18"/>
                    </w:rPr>
                    <w:t>7. Odmeny na zamestnanca (eur)</w:t>
                  </w:r>
                </w:p>
              </w:tc>
              <w:tc>
                <w:tcPr>
                  <w:tcW w:w="679" w:type="dxa"/>
                  <w:tcBorders>
                    <w:top w:val="nil"/>
                    <w:left w:val="nil"/>
                    <w:bottom w:val="single" w:sz="8" w:space="0" w:color="auto"/>
                    <w:right w:val="nil"/>
                  </w:tcBorders>
                  <w:shd w:val="clear" w:color="auto" w:fill="auto"/>
                  <w:noWrap/>
                  <w:vAlign w:val="bottom"/>
                  <w:hideMark/>
                </w:tcPr>
                <w:p w14:paraId="417EDFCC" w14:textId="77777777" w:rsidR="000F6636" w:rsidRPr="00F119E3" w:rsidRDefault="000F6636" w:rsidP="00484DB0">
                  <w:pPr>
                    <w:jc w:val="center"/>
                    <w:rPr>
                      <w:rFonts w:cs="Times New Roman"/>
                      <w:color w:val="000000"/>
                      <w:sz w:val="18"/>
                      <w:szCs w:val="18"/>
                    </w:rPr>
                  </w:pPr>
                  <w:r w:rsidRPr="00F119E3">
                    <w:rPr>
                      <w:rFonts w:cs="Times New Roman"/>
                      <w:color w:val="000000"/>
                      <w:sz w:val="18"/>
                      <w:szCs w:val="18"/>
                    </w:rPr>
                    <w:t> </w:t>
                  </w:r>
                </w:p>
              </w:tc>
              <w:tc>
                <w:tcPr>
                  <w:tcW w:w="931" w:type="dxa"/>
                  <w:tcBorders>
                    <w:top w:val="nil"/>
                    <w:left w:val="nil"/>
                    <w:bottom w:val="single" w:sz="8" w:space="0" w:color="auto"/>
                    <w:right w:val="nil"/>
                  </w:tcBorders>
                  <w:shd w:val="clear" w:color="auto" w:fill="auto"/>
                  <w:vAlign w:val="center"/>
                  <w:hideMark/>
                </w:tcPr>
                <w:p w14:paraId="3B5C7B16" w14:textId="77777777" w:rsidR="000F6636" w:rsidRPr="00F119E3" w:rsidRDefault="000F6636" w:rsidP="00484DB0">
                  <w:pPr>
                    <w:jc w:val="center"/>
                    <w:rPr>
                      <w:rFonts w:cs="Times New Roman"/>
                      <w:color w:val="000000"/>
                      <w:sz w:val="18"/>
                      <w:szCs w:val="18"/>
                    </w:rPr>
                  </w:pPr>
                  <w:r w:rsidRPr="00F119E3">
                    <w:rPr>
                      <w:color w:val="000000"/>
                      <w:sz w:val="18"/>
                      <w:szCs w:val="18"/>
                    </w:rPr>
                    <w:t>24 598</w:t>
                  </w:r>
                </w:p>
              </w:tc>
              <w:tc>
                <w:tcPr>
                  <w:tcW w:w="775" w:type="dxa"/>
                  <w:tcBorders>
                    <w:top w:val="nil"/>
                    <w:left w:val="nil"/>
                    <w:bottom w:val="single" w:sz="8" w:space="0" w:color="auto"/>
                    <w:right w:val="nil"/>
                  </w:tcBorders>
                  <w:shd w:val="clear" w:color="auto" w:fill="auto"/>
                  <w:vAlign w:val="center"/>
                  <w:hideMark/>
                </w:tcPr>
                <w:p w14:paraId="65EADCFF" w14:textId="77777777" w:rsidR="000F6636" w:rsidRPr="00F119E3" w:rsidRDefault="000F6636" w:rsidP="00484DB0">
                  <w:pPr>
                    <w:jc w:val="center"/>
                    <w:rPr>
                      <w:rFonts w:cs="Times New Roman"/>
                      <w:color w:val="000000"/>
                      <w:sz w:val="18"/>
                      <w:szCs w:val="18"/>
                    </w:rPr>
                  </w:pPr>
                  <w:r w:rsidRPr="00F119E3">
                    <w:rPr>
                      <w:color w:val="000000"/>
                      <w:sz w:val="18"/>
                      <w:szCs w:val="18"/>
                    </w:rPr>
                    <w:t>10,4</w:t>
                  </w:r>
                </w:p>
              </w:tc>
              <w:tc>
                <w:tcPr>
                  <w:tcW w:w="775" w:type="dxa"/>
                  <w:tcBorders>
                    <w:top w:val="nil"/>
                    <w:left w:val="nil"/>
                    <w:bottom w:val="single" w:sz="8" w:space="0" w:color="auto"/>
                    <w:right w:val="nil"/>
                  </w:tcBorders>
                  <w:shd w:val="clear" w:color="auto" w:fill="auto"/>
                  <w:vAlign w:val="center"/>
                  <w:hideMark/>
                </w:tcPr>
                <w:p w14:paraId="7E2D12F3" w14:textId="77777777" w:rsidR="000F6636" w:rsidRPr="00F119E3" w:rsidRDefault="000F6636" w:rsidP="00484DB0">
                  <w:pPr>
                    <w:jc w:val="center"/>
                    <w:rPr>
                      <w:rFonts w:cs="Times New Roman"/>
                      <w:color w:val="000000"/>
                      <w:sz w:val="18"/>
                      <w:szCs w:val="18"/>
                    </w:rPr>
                  </w:pPr>
                  <w:r w:rsidRPr="00F119E3">
                    <w:rPr>
                      <w:color w:val="000000"/>
                      <w:sz w:val="18"/>
                      <w:szCs w:val="18"/>
                    </w:rPr>
                    <w:t>5,8</w:t>
                  </w:r>
                </w:p>
              </w:tc>
              <w:tc>
                <w:tcPr>
                  <w:tcW w:w="780" w:type="dxa"/>
                  <w:gridSpan w:val="2"/>
                  <w:tcBorders>
                    <w:top w:val="nil"/>
                    <w:left w:val="nil"/>
                    <w:bottom w:val="single" w:sz="8" w:space="0" w:color="auto"/>
                    <w:right w:val="nil"/>
                  </w:tcBorders>
                  <w:shd w:val="clear" w:color="auto" w:fill="auto"/>
                  <w:vAlign w:val="center"/>
                  <w:hideMark/>
                </w:tcPr>
                <w:p w14:paraId="223CFF32" w14:textId="77777777" w:rsidR="000F6636" w:rsidRPr="00F119E3" w:rsidRDefault="000F6636" w:rsidP="00484DB0">
                  <w:pPr>
                    <w:jc w:val="center"/>
                    <w:rPr>
                      <w:rFonts w:cs="Times New Roman"/>
                      <w:color w:val="000000"/>
                      <w:sz w:val="18"/>
                      <w:szCs w:val="18"/>
                    </w:rPr>
                  </w:pPr>
                  <w:r w:rsidRPr="00F119E3">
                    <w:rPr>
                      <w:color w:val="000000"/>
                      <w:sz w:val="18"/>
                      <w:szCs w:val="18"/>
                    </w:rPr>
                    <w:t>5,9</w:t>
                  </w:r>
                </w:p>
              </w:tc>
              <w:tc>
                <w:tcPr>
                  <w:tcW w:w="775" w:type="dxa"/>
                  <w:tcBorders>
                    <w:top w:val="nil"/>
                    <w:left w:val="nil"/>
                    <w:bottom w:val="single" w:sz="8" w:space="0" w:color="auto"/>
                    <w:right w:val="nil"/>
                  </w:tcBorders>
                  <w:shd w:val="clear" w:color="auto" w:fill="auto"/>
                  <w:vAlign w:val="center"/>
                  <w:hideMark/>
                </w:tcPr>
                <w:p w14:paraId="1916F204" w14:textId="77777777" w:rsidR="000F6636" w:rsidRPr="00F119E3" w:rsidRDefault="000F6636" w:rsidP="00484DB0">
                  <w:pPr>
                    <w:jc w:val="center"/>
                    <w:rPr>
                      <w:rFonts w:cs="Times New Roman"/>
                      <w:color w:val="000000"/>
                      <w:sz w:val="18"/>
                      <w:szCs w:val="18"/>
                    </w:rPr>
                  </w:pPr>
                  <w:r w:rsidRPr="00F119E3">
                    <w:rPr>
                      <w:color w:val="000000"/>
                      <w:sz w:val="18"/>
                      <w:szCs w:val="18"/>
                    </w:rPr>
                    <w:t>4,7</w:t>
                  </w:r>
                </w:p>
              </w:tc>
              <w:tc>
                <w:tcPr>
                  <w:tcW w:w="778" w:type="dxa"/>
                  <w:gridSpan w:val="3"/>
                  <w:tcBorders>
                    <w:top w:val="nil"/>
                    <w:left w:val="nil"/>
                    <w:bottom w:val="single" w:sz="8" w:space="0" w:color="auto"/>
                    <w:right w:val="nil"/>
                  </w:tcBorders>
                  <w:shd w:val="clear" w:color="auto" w:fill="auto"/>
                  <w:vAlign w:val="center"/>
                  <w:hideMark/>
                </w:tcPr>
                <w:p w14:paraId="204F368E" w14:textId="77777777" w:rsidR="000F6636" w:rsidRPr="00F119E3" w:rsidRDefault="000F6636" w:rsidP="00484DB0">
                  <w:pPr>
                    <w:jc w:val="center"/>
                    <w:rPr>
                      <w:rFonts w:cs="Times New Roman"/>
                      <w:color w:val="000000"/>
                      <w:sz w:val="18"/>
                      <w:szCs w:val="18"/>
                    </w:rPr>
                  </w:pPr>
                  <w:r w:rsidRPr="00F119E3">
                    <w:rPr>
                      <w:color w:val="000000"/>
                      <w:sz w:val="18"/>
                      <w:szCs w:val="18"/>
                    </w:rPr>
                    <w:t>4,4</w:t>
                  </w:r>
                </w:p>
              </w:tc>
            </w:tr>
            <w:tr w:rsidR="000F6636" w:rsidRPr="00F119E3" w14:paraId="63B5B428" w14:textId="77777777" w:rsidTr="00484DB0">
              <w:trPr>
                <w:gridAfter w:val="1"/>
                <w:wAfter w:w="106" w:type="dxa"/>
                <w:trHeight w:val="224"/>
              </w:trPr>
              <w:tc>
                <w:tcPr>
                  <w:tcW w:w="6847" w:type="dxa"/>
                  <w:gridSpan w:val="6"/>
                  <w:tcBorders>
                    <w:top w:val="single" w:sz="8" w:space="0" w:color="auto"/>
                    <w:left w:val="nil"/>
                    <w:bottom w:val="nil"/>
                    <w:right w:val="nil"/>
                  </w:tcBorders>
                  <w:shd w:val="clear" w:color="auto" w:fill="auto"/>
                  <w:vAlign w:val="bottom"/>
                  <w:hideMark/>
                </w:tcPr>
                <w:p w14:paraId="29C6524A" w14:textId="77777777" w:rsidR="000F6636" w:rsidRPr="00F119E3" w:rsidRDefault="000F6636" w:rsidP="00484DB0">
                  <w:pPr>
                    <w:rPr>
                      <w:rFonts w:cs="Times New Roman"/>
                      <w:i/>
                      <w:color w:val="000000"/>
                      <w:sz w:val="16"/>
                      <w:szCs w:val="18"/>
                    </w:rPr>
                  </w:pPr>
                  <w:r w:rsidRPr="00F119E3">
                    <w:rPr>
                      <w:rFonts w:cs="Times New Roman"/>
                      <w:i/>
                      <w:color w:val="000000"/>
                      <w:sz w:val="16"/>
                      <w:szCs w:val="18"/>
                    </w:rPr>
                    <w:t>[1] Celková zamestnanosť, podľa národných účtov - domáci koncept.</w:t>
                  </w:r>
                </w:p>
              </w:tc>
              <w:tc>
                <w:tcPr>
                  <w:tcW w:w="2014" w:type="dxa"/>
                  <w:gridSpan w:val="4"/>
                  <w:tcBorders>
                    <w:top w:val="single" w:sz="8" w:space="0" w:color="auto"/>
                    <w:left w:val="nil"/>
                    <w:bottom w:val="nil"/>
                  </w:tcBorders>
                  <w:shd w:val="clear" w:color="auto" w:fill="auto"/>
                  <w:noWrap/>
                  <w:vAlign w:val="bottom"/>
                  <w:hideMark/>
                </w:tcPr>
                <w:p w14:paraId="384FAD3C" w14:textId="77777777" w:rsidR="000F6636" w:rsidRPr="00F119E3" w:rsidRDefault="000F6636" w:rsidP="00484DB0">
                  <w:pPr>
                    <w:jc w:val="right"/>
                    <w:rPr>
                      <w:rFonts w:cs="Times New Roman"/>
                      <w:i/>
                      <w:iCs/>
                      <w:color w:val="000000"/>
                      <w:sz w:val="18"/>
                      <w:szCs w:val="18"/>
                    </w:rPr>
                  </w:pPr>
                  <w:r w:rsidRPr="00F119E3">
                    <w:rPr>
                      <w:rFonts w:cs="Times New Roman"/>
                      <w:i/>
                      <w:iCs/>
                      <w:color w:val="000000"/>
                      <w:sz w:val="16"/>
                      <w:szCs w:val="18"/>
                    </w:rPr>
                    <w:t>Zdroj: ŠÚ SR, MF SR</w:t>
                  </w:r>
                </w:p>
              </w:tc>
            </w:tr>
            <w:tr w:rsidR="000F6636" w:rsidRPr="00F119E3" w14:paraId="1014C051" w14:textId="77777777" w:rsidTr="00484DB0">
              <w:trPr>
                <w:gridAfter w:val="2"/>
                <w:wAfter w:w="567" w:type="dxa"/>
                <w:trHeight w:val="224"/>
              </w:trPr>
              <w:tc>
                <w:tcPr>
                  <w:tcW w:w="6847" w:type="dxa"/>
                  <w:gridSpan w:val="6"/>
                  <w:tcBorders>
                    <w:top w:val="nil"/>
                    <w:left w:val="nil"/>
                    <w:bottom w:val="nil"/>
                    <w:right w:val="nil"/>
                  </w:tcBorders>
                  <w:shd w:val="clear" w:color="auto" w:fill="auto"/>
                  <w:noWrap/>
                  <w:vAlign w:val="bottom"/>
                  <w:hideMark/>
                </w:tcPr>
                <w:p w14:paraId="4CCD48CF" w14:textId="77777777" w:rsidR="000F6636" w:rsidRPr="00F119E3" w:rsidRDefault="000F6636" w:rsidP="00484DB0">
                  <w:pPr>
                    <w:rPr>
                      <w:rFonts w:cs="Times New Roman"/>
                      <w:i/>
                      <w:color w:val="000000"/>
                      <w:sz w:val="16"/>
                      <w:szCs w:val="18"/>
                    </w:rPr>
                  </w:pPr>
                  <w:r>
                    <w:rPr>
                      <w:rFonts w:cs="Times New Roman"/>
                      <w:i/>
                      <w:color w:val="000000"/>
                      <w:sz w:val="16"/>
                      <w:szCs w:val="18"/>
                      <w:lang w:val="en-US"/>
                    </w:rPr>
                    <w:t>[</w:t>
                  </w:r>
                  <w:r w:rsidRPr="00F119E3">
                    <w:rPr>
                      <w:rFonts w:cs="Times New Roman"/>
                      <w:i/>
                      <w:color w:val="000000"/>
                      <w:sz w:val="16"/>
                      <w:szCs w:val="18"/>
                    </w:rPr>
                    <w:t>2] Podľa definície národných účtov.</w:t>
                  </w:r>
                </w:p>
              </w:tc>
              <w:tc>
                <w:tcPr>
                  <w:tcW w:w="1553" w:type="dxa"/>
                  <w:gridSpan w:val="3"/>
                  <w:tcBorders>
                    <w:top w:val="nil"/>
                    <w:left w:val="nil"/>
                    <w:bottom w:val="nil"/>
                    <w:right w:val="nil"/>
                  </w:tcBorders>
                  <w:shd w:val="clear" w:color="auto" w:fill="auto"/>
                  <w:noWrap/>
                  <w:vAlign w:val="bottom"/>
                  <w:hideMark/>
                </w:tcPr>
                <w:p w14:paraId="7A6F04B6" w14:textId="77777777" w:rsidR="000F6636" w:rsidRPr="00F119E3" w:rsidRDefault="000F6636" w:rsidP="00484DB0">
                  <w:pPr>
                    <w:rPr>
                      <w:rFonts w:cs="Times New Roman"/>
                      <w:i/>
                      <w:color w:val="000000"/>
                      <w:sz w:val="18"/>
                      <w:szCs w:val="18"/>
                    </w:rPr>
                  </w:pPr>
                </w:p>
              </w:tc>
            </w:tr>
            <w:tr w:rsidR="000F6636" w:rsidRPr="00F119E3" w14:paraId="37DA6951" w14:textId="77777777" w:rsidTr="00484DB0">
              <w:trPr>
                <w:gridAfter w:val="2"/>
                <w:wAfter w:w="567" w:type="dxa"/>
                <w:trHeight w:val="224"/>
              </w:trPr>
              <w:tc>
                <w:tcPr>
                  <w:tcW w:w="6847" w:type="dxa"/>
                  <w:gridSpan w:val="6"/>
                  <w:tcBorders>
                    <w:top w:val="nil"/>
                    <w:left w:val="nil"/>
                    <w:bottom w:val="nil"/>
                    <w:right w:val="nil"/>
                  </w:tcBorders>
                  <w:shd w:val="clear" w:color="auto" w:fill="auto"/>
                  <w:noWrap/>
                  <w:vAlign w:val="bottom"/>
                  <w:hideMark/>
                </w:tcPr>
                <w:p w14:paraId="0722A332" w14:textId="77777777" w:rsidR="000F6636" w:rsidRPr="00F119E3" w:rsidRDefault="000F6636" w:rsidP="00484DB0">
                  <w:pPr>
                    <w:rPr>
                      <w:rFonts w:cs="Times New Roman"/>
                      <w:i/>
                      <w:color w:val="000000"/>
                      <w:sz w:val="16"/>
                      <w:szCs w:val="18"/>
                    </w:rPr>
                  </w:pPr>
                  <w:r w:rsidRPr="00F119E3">
                    <w:rPr>
                      <w:rFonts w:cs="Times New Roman"/>
                      <w:i/>
                      <w:color w:val="000000"/>
                      <w:sz w:val="16"/>
                      <w:szCs w:val="18"/>
                    </w:rPr>
                    <w:t>[3] Harmonizovaná miera podľa Eurostatu.</w:t>
                  </w:r>
                </w:p>
              </w:tc>
              <w:tc>
                <w:tcPr>
                  <w:tcW w:w="1553" w:type="dxa"/>
                  <w:gridSpan w:val="3"/>
                  <w:tcBorders>
                    <w:top w:val="nil"/>
                    <w:left w:val="nil"/>
                    <w:bottom w:val="nil"/>
                    <w:right w:val="nil"/>
                  </w:tcBorders>
                  <w:shd w:val="clear" w:color="auto" w:fill="auto"/>
                  <w:noWrap/>
                  <w:vAlign w:val="bottom"/>
                  <w:hideMark/>
                </w:tcPr>
                <w:p w14:paraId="56DB5861" w14:textId="77777777" w:rsidR="000F6636" w:rsidRPr="00F119E3" w:rsidRDefault="000F6636" w:rsidP="00484DB0">
                  <w:pPr>
                    <w:rPr>
                      <w:rFonts w:cs="Times New Roman"/>
                      <w:i/>
                      <w:color w:val="000000"/>
                      <w:sz w:val="18"/>
                      <w:szCs w:val="18"/>
                    </w:rPr>
                  </w:pPr>
                </w:p>
              </w:tc>
            </w:tr>
            <w:tr w:rsidR="000F6636" w:rsidRPr="00F119E3" w14:paraId="78B82983" w14:textId="77777777" w:rsidTr="00484DB0">
              <w:trPr>
                <w:gridAfter w:val="2"/>
                <w:wAfter w:w="567" w:type="dxa"/>
                <w:trHeight w:val="224"/>
              </w:trPr>
              <w:tc>
                <w:tcPr>
                  <w:tcW w:w="6847" w:type="dxa"/>
                  <w:gridSpan w:val="6"/>
                  <w:tcBorders>
                    <w:top w:val="nil"/>
                    <w:left w:val="nil"/>
                    <w:bottom w:val="nil"/>
                    <w:right w:val="nil"/>
                  </w:tcBorders>
                  <w:shd w:val="clear" w:color="auto" w:fill="auto"/>
                  <w:noWrap/>
                  <w:vAlign w:val="bottom"/>
                  <w:hideMark/>
                </w:tcPr>
                <w:p w14:paraId="5107075D" w14:textId="77777777" w:rsidR="000F6636" w:rsidRPr="00F119E3" w:rsidRDefault="000F6636" w:rsidP="00484DB0">
                  <w:pPr>
                    <w:rPr>
                      <w:rFonts w:cs="Times New Roman"/>
                      <w:i/>
                      <w:color w:val="000000"/>
                      <w:sz w:val="16"/>
                      <w:szCs w:val="18"/>
                    </w:rPr>
                  </w:pPr>
                  <w:r w:rsidRPr="00F119E3">
                    <w:rPr>
                      <w:rFonts w:cs="Times New Roman"/>
                      <w:i/>
                      <w:color w:val="000000"/>
                      <w:sz w:val="16"/>
                      <w:szCs w:val="18"/>
                    </w:rPr>
                    <w:t>[4] Reálne HDP na zamestnanú osobu.</w:t>
                  </w:r>
                </w:p>
              </w:tc>
              <w:tc>
                <w:tcPr>
                  <w:tcW w:w="1553" w:type="dxa"/>
                  <w:gridSpan w:val="3"/>
                  <w:tcBorders>
                    <w:top w:val="nil"/>
                    <w:left w:val="nil"/>
                    <w:bottom w:val="nil"/>
                    <w:right w:val="nil"/>
                  </w:tcBorders>
                  <w:shd w:val="clear" w:color="auto" w:fill="auto"/>
                  <w:noWrap/>
                  <w:vAlign w:val="bottom"/>
                  <w:hideMark/>
                </w:tcPr>
                <w:p w14:paraId="15B26ACE" w14:textId="77777777" w:rsidR="000F6636" w:rsidRPr="00F119E3" w:rsidRDefault="000F6636" w:rsidP="00484DB0">
                  <w:pPr>
                    <w:rPr>
                      <w:rFonts w:cs="Times New Roman"/>
                      <w:i/>
                      <w:color w:val="000000"/>
                      <w:sz w:val="18"/>
                      <w:szCs w:val="18"/>
                    </w:rPr>
                  </w:pPr>
                </w:p>
              </w:tc>
            </w:tr>
            <w:tr w:rsidR="000F6636" w:rsidRPr="00F119E3" w14:paraId="24F3AA6B" w14:textId="77777777" w:rsidTr="00484DB0">
              <w:trPr>
                <w:gridAfter w:val="2"/>
                <w:wAfter w:w="567" w:type="dxa"/>
                <w:trHeight w:val="224"/>
              </w:trPr>
              <w:tc>
                <w:tcPr>
                  <w:tcW w:w="6847" w:type="dxa"/>
                  <w:gridSpan w:val="6"/>
                  <w:tcBorders>
                    <w:top w:val="nil"/>
                    <w:left w:val="nil"/>
                    <w:bottom w:val="nil"/>
                    <w:right w:val="nil"/>
                  </w:tcBorders>
                  <w:shd w:val="clear" w:color="auto" w:fill="auto"/>
                  <w:noWrap/>
                  <w:vAlign w:val="bottom"/>
                  <w:hideMark/>
                </w:tcPr>
                <w:p w14:paraId="4C1D8E22" w14:textId="77777777" w:rsidR="000F6636" w:rsidRPr="00F119E3" w:rsidRDefault="000F6636" w:rsidP="00484DB0">
                  <w:pPr>
                    <w:rPr>
                      <w:rFonts w:cs="Times New Roman"/>
                      <w:i/>
                      <w:color w:val="000000"/>
                      <w:sz w:val="16"/>
                      <w:szCs w:val="18"/>
                    </w:rPr>
                  </w:pPr>
                  <w:r w:rsidRPr="00F119E3">
                    <w:rPr>
                      <w:rFonts w:cs="Times New Roman"/>
                      <w:i/>
                      <w:color w:val="000000"/>
                      <w:sz w:val="16"/>
                      <w:szCs w:val="18"/>
                    </w:rPr>
                    <w:lastRenderedPageBreak/>
                    <w:t>[5] Reálne HDP na odpracovanú hodinu.</w:t>
                  </w:r>
                </w:p>
              </w:tc>
              <w:tc>
                <w:tcPr>
                  <w:tcW w:w="1553" w:type="dxa"/>
                  <w:gridSpan w:val="3"/>
                  <w:tcBorders>
                    <w:top w:val="nil"/>
                    <w:left w:val="nil"/>
                    <w:bottom w:val="nil"/>
                    <w:right w:val="nil"/>
                  </w:tcBorders>
                  <w:shd w:val="clear" w:color="auto" w:fill="auto"/>
                  <w:noWrap/>
                  <w:vAlign w:val="bottom"/>
                  <w:hideMark/>
                </w:tcPr>
                <w:p w14:paraId="24E29ED2" w14:textId="77777777" w:rsidR="000F6636" w:rsidRPr="00F119E3" w:rsidRDefault="000F6636" w:rsidP="00484DB0">
                  <w:pPr>
                    <w:rPr>
                      <w:rFonts w:cs="Times New Roman"/>
                      <w:i/>
                      <w:color w:val="000000"/>
                      <w:sz w:val="18"/>
                      <w:szCs w:val="18"/>
                    </w:rPr>
                  </w:pPr>
                </w:p>
              </w:tc>
            </w:tr>
          </w:tbl>
          <w:p w14:paraId="32DD9354" w14:textId="77777777" w:rsidR="000F6636" w:rsidRPr="00F119E3" w:rsidRDefault="000F6636" w:rsidP="00484DB0">
            <w:pPr>
              <w:rPr>
                <w:rFonts w:eastAsia="Calibri"/>
                <w:b/>
                <w:color w:val="2C9ADC"/>
                <w:sz w:val="18"/>
                <w:szCs w:val="18"/>
              </w:rPr>
            </w:pPr>
          </w:p>
          <w:tbl>
            <w:tblPr>
              <w:tblW w:w="9389" w:type="dxa"/>
              <w:tblLayout w:type="fixed"/>
              <w:tblCellMar>
                <w:left w:w="70" w:type="dxa"/>
                <w:right w:w="70" w:type="dxa"/>
              </w:tblCellMar>
              <w:tblLook w:val="04A0" w:firstRow="1" w:lastRow="0" w:firstColumn="1" w:lastColumn="0" w:noHBand="0" w:noVBand="1"/>
            </w:tblPr>
            <w:tblGrid>
              <w:gridCol w:w="4608"/>
              <w:gridCol w:w="722"/>
              <w:gridCol w:w="722"/>
              <w:gridCol w:w="725"/>
              <w:gridCol w:w="442"/>
              <w:gridCol w:w="283"/>
              <w:gridCol w:w="440"/>
              <w:gridCol w:w="283"/>
              <w:gridCol w:w="441"/>
              <w:gridCol w:w="283"/>
              <w:gridCol w:w="440"/>
            </w:tblGrid>
            <w:tr w:rsidR="000F6636" w:rsidRPr="00F119E3" w14:paraId="4A08F430" w14:textId="77777777" w:rsidTr="00484DB0">
              <w:trPr>
                <w:trHeight w:val="269"/>
              </w:trPr>
              <w:tc>
                <w:tcPr>
                  <w:tcW w:w="8666" w:type="dxa"/>
                  <w:gridSpan w:val="9"/>
                  <w:tcBorders>
                    <w:top w:val="nil"/>
                    <w:left w:val="nil"/>
                    <w:bottom w:val="single" w:sz="8" w:space="0" w:color="auto"/>
                    <w:right w:val="nil"/>
                  </w:tcBorders>
                  <w:shd w:val="clear" w:color="auto" w:fill="auto"/>
                  <w:noWrap/>
                  <w:vAlign w:val="center"/>
                  <w:hideMark/>
                </w:tcPr>
                <w:p w14:paraId="7969C9CA" w14:textId="77777777" w:rsidR="000F6636" w:rsidRPr="00F119E3" w:rsidRDefault="000F6636" w:rsidP="00484DB0">
                  <w:pPr>
                    <w:rPr>
                      <w:rFonts w:eastAsia="Calibri"/>
                      <w:b/>
                      <w:color w:val="2C9ADC"/>
                      <w:sz w:val="20"/>
                      <w:szCs w:val="20"/>
                    </w:rPr>
                  </w:pPr>
                  <w:bookmarkStart w:id="255" w:name="_Toc480905413"/>
                  <w:bookmarkStart w:id="256" w:name="_Toc6314220"/>
                  <w:bookmarkStart w:id="257" w:name="_Toc71622460"/>
                  <w:r w:rsidRPr="00F119E3">
                    <w:rPr>
                      <w:rFonts w:eastAsia="Calibri"/>
                      <w:b/>
                      <w:color w:val="2C9ADC"/>
                      <w:sz w:val="20"/>
                      <w:szCs w:val="20"/>
                    </w:rPr>
                    <w:t>Tabuľka 1d – Sektorová bilancia (ESA 2010, % HDP)</w:t>
                  </w:r>
                  <w:bookmarkEnd w:id="255"/>
                  <w:bookmarkEnd w:id="256"/>
                  <w:bookmarkEnd w:id="257"/>
                  <w:r w:rsidRPr="00F119E3">
                    <w:rPr>
                      <w:rFonts w:eastAsia="Calibri"/>
                      <w:b/>
                      <w:color w:val="2C9ADC"/>
                      <w:sz w:val="20"/>
                      <w:szCs w:val="20"/>
                    </w:rPr>
                    <w:t xml:space="preserve"> </w:t>
                  </w:r>
                </w:p>
              </w:tc>
              <w:tc>
                <w:tcPr>
                  <w:tcW w:w="723" w:type="dxa"/>
                  <w:gridSpan w:val="2"/>
                  <w:tcBorders>
                    <w:top w:val="nil"/>
                    <w:left w:val="nil"/>
                    <w:bottom w:val="nil"/>
                    <w:right w:val="nil"/>
                  </w:tcBorders>
                  <w:shd w:val="clear" w:color="auto" w:fill="auto"/>
                  <w:noWrap/>
                  <w:vAlign w:val="center"/>
                  <w:hideMark/>
                </w:tcPr>
                <w:p w14:paraId="6A6F4723" w14:textId="77777777" w:rsidR="000F6636" w:rsidRPr="00F119E3" w:rsidRDefault="000F6636" w:rsidP="00484DB0">
                  <w:pPr>
                    <w:rPr>
                      <w:rFonts w:eastAsia="Calibri"/>
                      <w:b/>
                      <w:color w:val="2C9ADC"/>
                      <w:sz w:val="18"/>
                      <w:szCs w:val="18"/>
                    </w:rPr>
                  </w:pPr>
                </w:p>
              </w:tc>
            </w:tr>
            <w:tr w:rsidR="000F6636" w:rsidRPr="00F119E3" w14:paraId="6C91D7B7" w14:textId="77777777" w:rsidTr="00484DB0">
              <w:trPr>
                <w:gridAfter w:val="1"/>
                <w:wAfter w:w="440" w:type="dxa"/>
                <w:trHeight w:val="269"/>
              </w:trPr>
              <w:tc>
                <w:tcPr>
                  <w:tcW w:w="4608" w:type="dxa"/>
                  <w:tcBorders>
                    <w:top w:val="nil"/>
                    <w:left w:val="nil"/>
                    <w:bottom w:val="single" w:sz="8" w:space="0" w:color="000000"/>
                    <w:right w:val="nil"/>
                  </w:tcBorders>
                  <w:shd w:val="clear" w:color="auto" w:fill="auto"/>
                  <w:vAlign w:val="bottom"/>
                  <w:hideMark/>
                </w:tcPr>
                <w:p w14:paraId="548CB38C" w14:textId="77777777" w:rsidR="000F6636" w:rsidRPr="00F119E3" w:rsidRDefault="000F6636" w:rsidP="00484DB0">
                  <w:pPr>
                    <w:rPr>
                      <w:rFonts w:cs="Times New Roman"/>
                      <w:sz w:val="18"/>
                      <w:szCs w:val="18"/>
                    </w:rPr>
                  </w:pPr>
                </w:p>
              </w:tc>
              <w:tc>
                <w:tcPr>
                  <w:tcW w:w="722" w:type="dxa"/>
                  <w:tcBorders>
                    <w:top w:val="nil"/>
                    <w:left w:val="nil"/>
                    <w:bottom w:val="single" w:sz="8" w:space="0" w:color="000000"/>
                    <w:right w:val="nil"/>
                  </w:tcBorders>
                  <w:shd w:val="clear" w:color="auto" w:fill="auto"/>
                  <w:vAlign w:val="center"/>
                  <w:hideMark/>
                </w:tcPr>
                <w:p w14:paraId="34D0E118" w14:textId="77777777" w:rsidR="000F6636" w:rsidRPr="00F119E3" w:rsidRDefault="000F6636" w:rsidP="00484DB0">
                  <w:pPr>
                    <w:jc w:val="center"/>
                    <w:rPr>
                      <w:rFonts w:cs="Times New Roman"/>
                      <w:color w:val="000000"/>
                      <w:sz w:val="18"/>
                      <w:szCs w:val="18"/>
                    </w:rPr>
                  </w:pPr>
                  <w:r w:rsidRPr="00F119E3">
                    <w:rPr>
                      <w:rFonts w:cs="Times New Roman"/>
                      <w:color w:val="000000"/>
                      <w:sz w:val="18"/>
                      <w:szCs w:val="18"/>
                    </w:rPr>
                    <w:t>ESA kód</w:t>
                  </w:r>
                </w:p>
              </w:tc>
              <w:tc>
                <w:tcPr>
                  <w:tcW w:w="722" w:type="dxa"/>
                  <w:tcBorders>
                    <w:top w:val="nil"/>
                    <w:left w:val="nil"/>
                    <w:bottom w:val="nil"/>
                    <w:right w:val="nil"/>
                  </w:tcBorders>
                  <w:shd w:val="clear" w:color="auto" w:fill="auto"/>
                  <w:vAlign w:val="center"/>
                  <w:hideMark/>
                </w:tcPr>
                <w:p w14:paraId="4C582A63" w14:textId="77777777" w:rsidR="000F6636" w:rsidRPr="00F119E3" w:rsidRDefault="000F6636" w:rsidP="00484DB0">
                  <w:pPr>
                    <w:jc w:val="center"/>
                    <w:rPr>
                      <w:rFonts w:cs="Times New Roman"/>
                      <w:b/>
                      <w:bCs/>
                      <w:color w:val="000000"/>
                      <w:sz w:val="18"/>
                      <w:szCs w:val="18"/>
                    </w:rPr>
                  </w:pPr>
                  <w:r w:rsidRPr="00F119E3">
                    <w:rPr>
                      <w:b/>
                      <w:bCs/>
                      <w:color w:val="000000"/>
                      <w:sz w:val="18"/>
                      <w:szCs w:val="18"/>
                    </w:rPr>
                    <w:t>2023</w:t>
                  </w:r>
                </w:p>
              </w:tc>
              <w:tc>
                <w:tcPr>
                  <w:tcW w:w="725" w:type="dxa"/>
                  <w:tcBorders>
                    <w:top w:val="single" w:sz="8" w:space="0" w:color="auto"/>
                    <w:left w:val="nil"/>
                    <w:bottom w:val="single" w:sz="8" w:space="0" w:color="auto"/>
                    <w:right w:val="nil"/>
                  </w:tcBorders>
                  <w:shd w:val="clear" w:color="auto" w:fill="auto"/>
                  <w:vAlign w:val="center"/>
                  <w:hideMark/>
                </w:tcPr>
                <w:p w14:paraId="6D5EFB8B" w14:textId="77777777" w:rsidR="000F6636" w:rsidRPr="00F119E3" w:rsidRDefault="000F6636" w:rsidP="00484DB0">
                  <w:pPr>
                    <w:jc w:val="center"/>
                    <w:rPr>
                      <w:b/>
                      <w:bCs/>
                      <w:color w:val="000000"/>
                      <w:sz w:val="18"/>
                      <w:szCs w:val="18"/>
                    </w:rPr>
                  </w:pPr>
                  <w:r w:rsidRPr="00F119E3">
                    <w:rPr>
                      <w:b/>
                      <w:bCs/>
                      <w:color w:val="000000"/>
                      <w:sz w:val="18"/>
                      <w:szCs w:val="18"/>
                    </w:rPr>
                    <w:t>2024</w:t>
                  </w:r>
                </w:p>
              </w:tc>
              <w:tc>
                <w:tcPr>
                  <w:tcW w:w="725" w:type="dxa"/>
                  <w:gridSpan w:val="2"/>
                  <w:tcBorders>
                    <w:top w:val="single" w:sz="8" w:space="0" w:color="auto"/>
                    <w:left w:val="nil"/>
                    <w:bottom w:val="single" w:sz="8" w:space="0" w:color="auto"/>
                    <w:right w:val="nil"/>
                  </w:tcBorders>
                  <w:shd w:val="clear" w:color="auto" w:fill="auto"/>
                  <w:vAlign w:val="center"/>
                  <w:hideMark/>
                </w:tcPr>
                <w:p w14:paraId="6FE4ECB1" w14:textId="77777777" w:rsidR="000F6636" w:rsidRPr="00F119E3" w:rsidRDefault="000F6636" w:rsidP="00484DB0">
                  <w:pPr>
                    <w:jc w:val="center"/>
                    <w:rPr>
                      <w:b/>
                      <w:bCs/>
                      <w:color w:val="000000"/>
                      <w:sz w:val="18"/>
                      <w:szCs w:val="18"/>
                    </w:rPr>
                  </w:pPr>
                  <w:r w:rsidRPr="00F119E3">
                    <w:rPr>
                      <w:b/>
                      <w:bCs/>
                      <w:color w:val="000000"/>
                      <w:sz w:val="18"/>
                      <w:szCs w:val="18"/>
                    </w:rPr>
                    <w:t>2025</w:t>
                  </w:r>
                </w:p>
              </w:tc>
              <w:tc>
                <w:tcPr>
                  <w:tcW w:w="723" w:type="dxa"/>
                  <w:gridSpan w:val="2"/>
                  <w:tcBorders>
                    <w:top w:val="single" w:sz="8" w:space="0" w:color="auto"/>
                    <w:left w:val="nil"/>
                    <w:bottom w:val="single" w:sz="8" w:space="0" w:color="auto"/>
                    <w:right w:val="nil"/>
                  </w:tcBorders>
                  <w:shd w:val="clear" w:color="auto" w:fill="auto"/>
                  <w:vAlign w:val="center"/>
                  <w:hideMark/>
                </w:tcPr>
                <w:p w14:paraId="3C594367" w14:textId="77777777" w:rsidR="000F6636" w:rsidRPr="00F119E3" w:rsidRDefault="000F6636" w:rsidP="00484DB0">
                  <w:pPr>
                    <w:jc w:val="center"/>
                    <w:rPr>
                      <w:b/>
                      <w:bCs/>
                      <w:color w:val="000000"/>
                      <w:sz w:val="18"/>
                      <w:szCs w:val="18"/>
                    </w:rPr>
                  </w:pPr>
                  <w:r w:rsidRPr="00F119E3">
                    <w:rPr>
                      <w:b/>
                      <w:bCs/>
                      <w:color w:val="000000"/>
                      <w:sz w:val="18"/>
                      <w:szCs w:val="18"/>
                    </w:rPr>
                    <w:t>2026</w:t>
                  </w:r>
                </w:p>
              </w:tc>
              <w:tc>
                <w:tcPr>
                  <w:tcW w:w="724" w:type="dxa"/>
                  <w:gridSpan w:val="2"/>
                  <w:tcBorders>
                    <w:top w:val="single" w:sz="8" w:space="0" w:color="auto"/>
                    <w:left w:val="nil"/>
                    <w:bottom w:val="nil"/>
                    <w:right w:val="nil"/>
                  </w:tcBorders>
                  <w:shd w:val="clear" w:color="auto" w:fill="auto"/>
                  <w:vAlign w:val="center"/>
                  <w:hideMark/>
                </w:tcPr>
                <w:p w14:paraId="477B9F0F" w14:textId="77777777" w:rsidR="000F6636" w:rsidRPr="00F119E3" w:rsidRDefault="000F6636" w:rsidP="00484DB0">
                  <w:pPr>
                    <w:jc w:val="center"/>
                    <w:rPr>
                      <w:b/>
                      <w:bCs/>
                      <w:color w:val="000000"/>
                      <w:sz w:val="18"/>
                      <w:szCs w:val="18"/>
                    </w:rPr>
                  </w:pPr>
                  <w:r w:rsidRPr="00F119E3">
                    <w:rPr>
                      <w:b/>
                      <w:bCs/>
                      <w:color w:val="000000"/>
                      <w:sz w:val="18"/>
                      <w:szCs w:val="18"/>
                    </w:rPr>
                    <w:t>2027</w:t>
                  </w:r>
                </w:p>
              </w:tc>
            </w:tr>
            <w:tr w:rsidR="000F6636" w:rsidRPr="00F119E3" w14:paraId="5CDD913B" w14:textId="77777777" w:rsidTr="00484DB0">
              <w:trPr>
                <w:gridAfter w:val="1"/>
                <w:wAfter w:w="440" w:type="dxa"/>
                <w:trHeight w:val="269"/>
              </w:trPr>
              <w:tc>
                <w:tcPr>
                  <w:tcW w:w="4608" w:type="dxa"/>
                  <w:tcBorders>
                    <w:top w:val="single" w:sz="8" w:space="0" w:color="000000"/>
                    <w:left w:val="nil"/>
                    <w:bottom w:val="nil"/>
                    <w:right w:val="nil"/>
                  </w:tcBorders>
                  <w:shd w:val="clear" w:color="auto" w:fill="auto"/>
                  <w:vAlign w:val="center"/>
                  <w:hideMark/>
                </w:tcPr>
                <w:p w14:paraId="320D7C72" w14:textId="77777777" w:rsidR="000F6636" w:rsidRPr="00F119E3" w:rsidRDefault="000F6636" w:rsidP="00484DB0">
                  <w:pPr>
                    <w:rPr>
                      <w:rFonts w:cs="Times New Roman"/>
                      <w:color w:val="000000"/>
                      <w:sz w:val="18"/>
                      <w:szCs w:val="18"/>
                    </w:rPr>
                  </w:pPr>
                  <w:r w:rsidRPr="00F119E3">
                    <w:rPr>
                      <w:rFonts w:cs="Times New Roman"/>
                      <w:color w:val="000000"/>
                      <w:sz w:val="18"/>
                      <w:szCs w:val="18"/>
                    </w:rPr>
                    <w:t>1. Čisté pôžičky poskytnuté / prijaté od zvyšku sveta</w:t>
                  </w:r>
                </w:p>
              </w:tc>
              <w:tc>
                <w:tcPr>
                  <w:tcW w:w="722" w:type="dxa"/>
                  <w:tcBorders>
                    <w:top w:val="single" w:sz="8" w:space="0" w:color="000000"/>
                    <w:left w:val="nil"/>
                    <w:bottom w:val="nil"/>
                    <w:right w:val="nil"/>
                  </w:tcBorders>
                  <w:shd w:val="clear" w:color="auto" w:fill="auto"/>
                  <w:vAlign w:val="center"/>
                  <w:hideMark/>
                </w:tcPr>
                <w:p w14:paraId="4A6BE9B8" w14:textId="77777777" w:rsidR="000F6636" w:rsidRPr="00F119E3" w:rsidRDefault="000F6636" w:rsidP="00484DB0">
                  <w:pPr>
                    <w:jc w:val="center"/>
                    <w:rPr>
                      <w:rFonts w:cs="Times New Roman"/>
                      <w:color w:val="000000"/>
                      <w:sz w:val="18"/>
                      <w:szCs w:val="18"/>
                    </w:rPr>
                  </w:pPr>
                  <w:r w:rsidRPr="00F119E3">
                    <w:rPr>
                      <w:rFonts w:cs="Times New Roman"/>
                      <w:color w:val="000000"/>
                      <w:sz w:val="18"/>
                      <w:szCs w:val="18"/>
                    </w:rPr>
                    <w:t>B.9</w:t>
                  </w:r>
                </w:p>
              </w:tc>
              <w:tc>
                <w:tcPr>
                  <w:tcW w:w="722" w:type="dxa"/>
                  <w:tcBorders>
                    <w:top w:val="single" w:sz="8" w:space="0" w:color="auto"/>
                    <w:left w:val="nil"/>
                    <w:bottom w:val="nil"/>
                    <w:right w:val="nil"/>
                  </w:tcBorders>
                  <w:shd w:val="clear" w:color="auto" w:fill="auto"/>
                  <w:vAlign w:val="bottom"/>
                  <w:hideMark/>
                </w:tcPr>
                <w:p w14:paraId="28F21C8D" w14:textId="77777777" w:rsidR="000F6636" w:rsidRPr="00F119E3" w:rsidRDefault="000F6636" w:rsidP="00484DB0">
                  <w:pPr>
                    <w:jc w:val="center"/>
                    <w:rPr>
                      <w:color w:val="000000"/>
                      <w:sz w:val="18"/>
                      <w:szCs w:val="18"/>
                    </w:rPr>
                  </w:pPr>
                  <w:r w:rsidRPr="00F119E3">
                    <w:rPr>
                      <w:color w:val="000000"/>
                      <w:sz w:val="18"/>
                      <w:szCs w:val="18"/>
                    </w:rPr>
                    <w:t>-1,6</w:t>
                  </w:r>
                </w:p>
              </w:tc>
              <w:tc>
                <w:tcPr>
                  <w:tcW w:w="725" w:type="dxa"/>
                  <w:tcBorders>
                    <w:top w:val="nil"/>
                    <w:left w:val="nil"/>
                    <w:bottom w:val="nil"/>
                    <w:right w:val="nil"/>
                  </w:tcBorders>
                  <w:shd w:val="clear" w:color="auto" w:fill="auto"/>
                  <w:vAlign w:val="bottom"/>
                  <w:hideMark/>
                </w:tcPr>
                <w:p w14:paraId="6B3E057E" w14:textId="77777777" w:rsidR="000F6636" w:rsidRPr="00F119E3" w:rsidRDefault="000F6636" w:rsidP="00484DB0">
                  <w:pPr>
                    <w:jc w:val="center"/>
                    <w:rPr>
                      <w:color w:val="000000"/>
                      <w:sz w:val="18"/>
                      <w:szCs w:val="18"/>
                    </w:rPr>
                  </w:pPr>
                  <w:r w:rsidRPr="00F119E3">
                    <w:rPr>
                      <w:color w:val="000000"/>
                      <w:sz w:val="18"/>
                      <w:szCs w:val="18"/>
                    </w:rPr>
                    <w:t>-3,2</w:t>
                  </w:r>
                </w:p>
              </w:tc>
              <w:tc>
                <w:tcPr>
                  <w:tcW w:w="725" w:type="dxa"/>
                  <w:gridSpan w:val="2"/>
                  <w:tcBorders>
                    <w:top w:val="nil"/>
                    <w:left w:val="nil"/>
                    <w:bottom w:val="nil"/>
                    <w:right w:val="nil"/>
                  </w:tcBorders>
                  <w:shd w:val="clear" w:color="auto" w:fill="auto"/>
                  <w:vAlign w:val="bottom"/>
                  <w:hideMark/>
                </w:tcPr>
                <w:p w14:paraId="45659C6C" w14:textId="77777777" w:rsidR="000F6636" w:rsidRPr="00F119E3" w:rsidRDefault="000F6636" w:rsidP="00484DB0">
                  <w:pPr>
                    <w:jc w:val="center"/>
                    <w:rPr>
                      <w:color w:val="000000"/>
                      <w:sz w:val="18"/>
                      <w:szCs w:val="18"/>
                    </w:rPr>
                  </w:pPr>
                  <w:r w:rsidRPr="00F119E3">
                    <w:rPr>
                      <w:color w:val="000000"/>
                      <w:sz w:val="18"/>
                      <w:szCs w:val="18"/>
                    </w:rPr>
                    <w:t>-3,9</w:t>
                  </w:r>
                </w:p>
              </w:tc>
              <w:tc>
                <w:tcPr>
                  <w:tcW w:w="723" w:type="dxa"/>
                  <w:gridSpan w:val="2"/>
                  <w:tcBorders>
                    <w:top w:val="nil"/>
                    <w:left w:val="nil"/>
                    <w:bottom w:val="nil"/>
                    <w:right w:val="nil"/>
                  </w:tcBorders>
                  <w:shd w:val="clear" w:color="auto" w:fill="auto"/>
                  <w:vAlign w:val="bottom"/>
                  <w:hideMark/>
                </w:tcPr>
                <w:p w14:paraId="662EB991" w14:textId="77777777" w:rsidR="000F6636" w:rsidRPr="00F119E3" w:rsidRDefault="000F6636" w:rsidP="00484DB0">
                  <w:pPr>
                    <w:jc w:val="center"/>
                    <w:rPr>
                      <w:color w:val="000000"/>
                      <w:sz w:val="18"/>
                      <w:szCs w:val="18"/>
                    </w:rPr>
                  </w:pPr>
                  <w:r w:rsidRPr="00F119E3">
                    <w:rPr>
                      <w:color w:val="000000"/>
                      <w:sz w:val="18"/>
                      <w:szCs w:val="18"/>
                    </w:rPr>
                    <w:t>-3,2</w:t>
                  </w:r>
                </w:p>
              </w:tc>
              <w:tc>
                <w:tcPr>
                  <w:tcW w:w="724" w:type="dxa"/>
                  <w:gridSpan w:val="2"/>
                  <w:tcBorders>
                    <w:top w:val="single" w:sz="8" w:space="0" w:color="auto"/>
                    <w:left w:val="nil"/>
                    <w:bottom w:val="nil"/>
                    <w:right w:val="nil"/>
                  </w:tcBorders>
                  <w:shd w:val="clear" w:color="auto" w:fill="auto"/>
                  <w:vAlign w:val="bottom"/>
                  <w:hideMark/>
                </w:tcPr>
                <w:p w14:paraId="2991E3D1" w14:textId="77777777" w:rsidR="000F6636" w:rsidRPr="00F119E3" w:rsidRDefault="000F6636" w:rsidP="00484DB0">
                  <w:pPr>
                    <w:jc w:val="center"/>
                    <w:rPr>
                      <w:color w:val="000000"/>
                      <w:sz w:val="18"/>
                      <w:szCs w:val="18"/>
                    </w:rPr>
                  </w:pPr>
                  <w:r w:rsidRPr="00F119E3">
                    <w:rPr>
                      <w:color w:val="000000"/>
                      <w:sz w:val="18"/>
                      <w:szCs w:val="18"/>
                    </w:rPr>
                    <w:t>-2,5</w:t>
                  </w:r>
                </w:p>
              </w:tc>
            </w:tr>
            <w:tr w:rsidR="000F6636" w:rsidRPr="00F119E3" w14:paraId="63FD74FF" w14:textId="77777777" w:rsidTr="00484DB0">
              <w:trPr>
                <w:gridAfter w:val="1"/>
                <w:wAfter w:w="440" w:type="dxa"/>
                <w:trHeight w:val="269"/>
              </w:trPr>
              <w:tc>
                <w:tcPr>
                  <w:tcW w:w="4608" w:type="dxa"/>
                  <w:tcBorders>
                    <w:top w:val="nil"/>
                    <w:left w:val="nil"/>
                    <w:bottom w:val="nil"/>
                    <w:right w:val="nil"/>
                  </w:tcBorders>
                  <w:shd w:val="clear" w:color="auto" w:fill="auto"/>
                  <w:vAlign w:val="center"/>
                  <w:hideMark/>
                </w:tcPr>
                <w:p w14:paraId="3B196923"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     z toho:</w:t>
                  </w:r>
                </w:p>
              </w:tc>
              <w:tc>
                <w:tcPr>
                  <w:tcW w:w="722" w:type="dxa"/>
                  <w:tcBorders>
                    <w:top w:val="nil"/>
                    <w:left w:val="nil"/>
                    <w:bottom w:val="nil"/>
                    <w:right w:val="nil"/>
                  </w:tcBorders>
                  <w:shd w:val="clear" w:color="auto" w:fill="auto"/>
                  <w:vAlign w:val="center"/>
                  <w:hideMark/>
                </w:tcPr>
                <w:p w14:paraId="58E34259" w14:textId="77777777" w:rsidR="000F6636" w:rsidRPr="00F119E3" w:rsidRDefault="000F6636" w:rsidP="00484DB0">
                  <w:pPr>
                    <w:jc w:val="center"/>
                    <w:rPr>
                      <w:rFonts w:cs="Times New Roman"/>
                      <w:color w:val="000000"/>
                      <w:sz w:val="18"/>
                      <w:szCs w:val="18"/>
                    </w:rPr>
                  </w:pPr>
                </w:p>
              </w:tc>
              <w:tc>
                <w:tcPr>
                  <w:tcW w:w="722" w:type="dxa"/>
                  <w:tcBorders>
                    <w:top w:val="nil"/>
                    <w:left w:val="nil"/>
                    <w:bottom w:val="nil"/>
                    <w:right w:val="nil"/>
                  </w:tcBorders>
                  <w:shd w:val="clear" w:color="auto" w:fill="auto"/>
                  <w:vAlign w:val="bottom"/>
                  <w:hideMark/>
                </w:tcPr>
                <w:p w14:paraId="217539FC" w14:textId="77777777" w:rsidR="000F6636" w:rsidRPr="00F119E3" w:rsidRDefault="000F6636" w:rsidP="00484DB0">
                  <w:pPr>
                    <w:jc w:val="center"/>
                    <w:rPr>
                      <w:color w:val="000000"/>
                      <w:sz w:val="18"/>
                      <w:szCs w:val="18"/>
                    </w:rPr>
                  </w:pPr>
                </w:p>
              </w:tc>
              <w:tc>
                <w:tcPr>
                  <w:tcW w:w="725" w:type="dxa"/>
                  <w:tcBorders>
                    <w:top w:val="nil"/>
                    <w:left w:val="nil"/>
                    <w:bottom w:val="nil"/>
                    <w:right w:val="nil"/>
                  </w:tcBorders>
                  <w:shd w:val="clear" w:color="auto" w:fill="auto"/>
                  <w:vAlign w:val="bottom"/>
                  <w:hideMark/>
                </w:tcPr>
                <w:p w14:paraId="293E305F" w14:textId="77777777" w:rsidR="000F6636" w:rsidRPr="00F119E3" w:rsidRDefault="000F6636" w:rsidP="00484DB0">
                  <w:pPr>
                    <w:jc w:val="center"/>
                    <w:rPr>
                      <w:sz w:val="18"/>
                      <w:szCs w:val="18"/>
                    </w:rPr>
                  </w:pPr>
                </w:p>
              </w:tc>
              <w:tc>
                <w:tcPr>
                  <w:tcW w:w="725" w:type="dxa"/>
                  <w:gridSpan w:val="2"/>
                  <w:tcBorders>
                    <w:top w:val="nil"/>
                    <w:left w:val="nil"/>
                    <w:bottom w:val="nil"/>
                    <w:right w:val="nil"/>
                  </w:tcBorders>
                  <w:shd w:val="clear" w:color="auto" w:fill="auto"/>
                  <w:vAlign w:val="bottom"/>
                  <w:hideMark/>
                </w:tcPr>
                <w:p w14:paraId="51D26C5A" w14:textId="77777777" w:rsidR="000F6636" w:rsidRPr="00F119E3" w:rsidRDefault="000F6636" w:rsidP="00484DB0">
                  <w:pPr>
                    <w:jc w:val="center"/>
                    <w:rPr>
                      <w:sz w:val="18"/>
                      <w:szCs w:val="18"/>
                    </w:rPr>
                  </w:pPr>
                </w:p>
              </w:tc>
              <w:tc>
                <w:tcPr>
                  <w:tcW w:w="723" w:type="dxa"/>
                  <w:gridSpan w:val="2"/>
                  <w:tcBorders>
                    <w:top w:val="nil"/>
                    <w:left w:val="nil"/>
                    <w:bottom w:val="nil"/>
                    <w:right w:val="nil"/>
                  </w:tcBorders>
                  <w:shd w:val="clear" w:color="auto" w:fill="auto"/>
                  <w:vAlign w:val="bottom"/>
                  <w:hideMark/>
                </w:tcPr>
                <w:p w14:paraId="1093893F" w14:textId="77777777" w:rsidR="000F6636" w:rsidRPr="00F119E3" w:rsidRDefault="000F6636" w:rsidP="00484DB0">
                  <w:pPr>
                    <w:jc w:val="center"/>
                    <w:rPr>
                      <w:sz w:val="18"/>
                      <w:szCs w:val="18"/>
                    </w:rPr>
                  </w:pPr>
                </w:p>
              </w:tc>
              <w:tc>
                <w:tcPr>
                  <w:tcW w:w="724" w:type="dxa"/>
                  <w:gridSpan w:val="2"/>
                  <w:tcBorders>
                    <w:top w:val="nil"/>
                    <w:left w:val="nil"/>
                    <w:bottom w:val="nil"/>
                    <w:right w:val="nil"/>
                  </w:tcBorders>
                  <w:shd w:val="clear" w:color="auto" w:fill="auto"/>
                  <w:vAlign w:val="bottom"/>
                  <w:hideMark/>
                </w:tcPr>
                <w:p w14:paraId="0704F37B" w14:textId="77777777" w:rsidR="000F6636" w:rsidRPr="00F119E3" w:rsidRDefault="000F6636" w:rsidP="00484DB0">
                  <w:pPr>
                    <w:jc w:val="center"/>
                    <w:rPr>
                      <w:sz w:val="18"/>
                      <w:szCs w:val="18"/>
                    </w:rPr>
                  </w:pPr>
                </w:p>
              </w:tc>
            </w:tr>
            <w:tr w:rsidR="000F6636" w:rsidRPr="00F119E3" w14:paraId="30BB5345" w14:textId="77777777" w:rsidTr="00484DB0">
              <w:trPr>
                <w:gridAfter w:val="1"/>
                <w:wAfter w:w="440" w:type="dxa"/>
                <w:trHeight w:val="269"/>
              </w:trPr>
              <w:tc>
                <w:tcPr>
                  <w:tcW w:w="4608" w:type="dxa"/>
                  <w:tcBorders>
                    <w:top w:val="nil"/>
                    <w:left w:val="nil"/>
                    <w:bottom w:val="nil"/>
                    <w:right w:val="nil"/>
                  </w:tcBorders>
                  <w:shd w:val="clear" w:color="auto" w:fill="auto"/>
                  <w:vAlign w:val="center"/>
                  <w:hideMark/>
                </w:tcPr>
                <w:p w14:paraId="0D7E4723"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     - Tovary a služby</w:t>
                  </w:r>
                </w:p>
              </w:tc>
              <w:tc>
                <w:tcPr>
                  <w:tcW w:w="722" w:type="dxa"/>
                  <w:tcBorders>
                    <w:top w:val="nil"/>
                    <w:left w:val="nil"/>
                    <w:bottom w:val="nil"/>
                    <w:right w:val="nil"/>
                  </w:tcBorders>
                  <w:shd w:val="clear" w:color="auto" w:fill="auto"/>
                  <w:vAlign w:val="center"/>
                  <w:hideMark/>
                </w:tcPr>
                <w:p w14:paraId="407BBDCA" w14:textId="77777777" w:rsidR="000F6636" w:rsidRPr="00F119E3" w:rsidRDefault="000F6636" w:rsidP="00484DB0">
                  <w:pPr>
                    <w:jc w:val="center"/>
                    <w:rPr>
                      <w:rFonts w:cs="Times New Roman"/>
                      <w:color w:val="000000"/>
                      <w:sz w:val="18"/>
                      <w:szCs w:val="18"/>
                    </w:rPr>
                  </w:pPr>
                </w:p>
              </w:tc>
              <w:tc>
                <w:tcPr>
                  <w:tcW w:w="722" w:type="dxa"/>
                  <w:tcBorders>
                    <w:top w:val="nil"/>
                    <w:left w:val="nil"/>
                    <w:bottom w:val="nil"/>
                    <w:right w:val="nil"/>
                  </w:tcBorders>
                  <w:shd w:val="clear" w:color="auto" w:fill="auto"/>
                  <w:vAlign w:val="bottom"/>
                  <w:hideMark/>
                </w:tcPr>
                <w:p w14:paraId="662CD170" w14:textId="77777777" w:rsidR="000F6636" w:rsidRPr="00F119E3" w:rsidRDefault="000F6636" w:rsidP="00484DB0">
                  <w:pPr>
                    <w:jc w:val="center"/>
                    <w:rPr>
                      <w:color w:val="000000"/>
                      <w:sz w:val="18"/>
                      <w:szCs w:val="18"/>
                    </w:rPr>
                  </w:pPr>
                  <w:r w:rsidRPr="00F119E3">
                    <w:rPr>
                      <w:color w:val="000000"/>
                      <w:sz w:val="18"/>
                      <w:szCs w:val="18"/>
                    </w:rPr>
                    <w:t>1,8</w:t>
                  </w:r>
                </w:p>
              </w:tc>
              <w:tc>
                <w:tcPr>
                  <w:tcW w:w="725" w:type="dxa"/>
                  <w:tcBorders>
                    <w:top w:val="nil"/>
                    <w:left w:val="nil"/>
                    <w:bottom w:val="nil"/>
                    <w:right w:val="nil"/>
                  </w:tcBorders>
                  <w:shd w:val="clear" w:color="auto" w:fill="auto"/>
                  <w:vAlign w:val="bottom"/>
                  <w:hideMark/>
                </w:tcPr>
                <w:p w14:paraId="606B9478" w14:textId="77777777" w:rsidR="000F6636" w:rsidRPr="00F119E3" w:rsidRDefault="000F6636" w:rsidP="00484DB0">
                  <w:pPr>
                    <w:jc w:val="center"/>
                    <w:rPr>
                      <w:color w:val="000000"/>
                      <w:sz w:val="18"/>
                      <w:szCs w:val="18"/>
                    </w:rPr>
                  </w:pPr>
                  <w:r w:rsidRPr="00F119E3">
                    <w:rPr>
                      <w:color w:val="000000"/>
                      <w:sz w:val="18"/>
                      <w:szCs w:val="18"/>
                    </w:rPr>
                    <w:t>-0,8</w:t>
                  </w:r>
                </w:p>
              </w:tc>
              <w:tc>
                <w:tcPr>
                  <w:tcW w:w="725" w:type="dxa"/>
                  <w:gridSpan w:val="2"/>
                  <w:tcBorders>
                    <w:top w:val="nil"/>
                    <w:left w:val="nil"/>
                    <w:bottom w:val="nil"/>
                    <w:right w:val="nil"/>
                  </w:tcBorders>
                  <w:shd w:val="clear" w:color="auto" w:fill="auto"/>
                  <w:vAlign w:val="bottom"/>
                  <w:hideMark/>
                </w:tcPr>
                <w:p w14:paraId="1A2BB72F" w14:textId="77777777" w:rsidR="000F6636" w:rsidRPr="00F119E3" w:rsidRDefault="000F6636" w:rsidP="00484DB0">
                  <w:pPr>
                    <w:jc w:val="center"/>
                    <w:rPr>
                      <w:color w:val="000000"/>
                      <w:sz w:val="18"/>
                      <w:szCs w:val="18"/>
                    </w:rPr>
                  </w:pPr>
                  <w:r w:rsidRPr="00F119E3">
                    <w:rPr>
                      <w:color w:val="000000"/>
                      <w:sz w:val="18"/>
                      <w:szCs w:val="18"/>
                    </w:rPr>
                    <w:t>-2,4</w:t>
                  </w:r>
                </w:p>
              </w:tc>
              <w:tc>
                <w:tcPr>
                  <w:tcW w:w="723" w:type="dxa"/>
                  <w:gridSpan w:val="2"/>
                  <w:tcBorders>
                    <w:top w:val="nil"/>
                    <w:left w:val="nil"/>
                    <w:bottom w:val="nil"/>
                    <w:right w:val="nil"/>
                  </w:tcBorders>
                  <w:shd w:val="clear" w:color="auto" w:fill="auto"/>
                  <w:vAlign w:val="bottom"/>
                  <w:hideMark/>
                </w:tcPr>
                <w:p w14:paraId="1A1F35A8" w14:textId="77777777" w:rsidR="000F6636" w:rsidRPr="00F119E3" w:rsidRDefault="000F6636" w:rsidP="00484DB0">
                  <w:pPr>
                    <w:jc w:val="center"/>
                    <w:rPr>
                      <w:color w:val="000000"/>
                      <w:sz w:val="18"/>
                      <w:szCs w:val="18"/>
                    </w:rPr>
                  </w:pPr>
                  <w:r w:rsidRPr="00F119E3">
                    <w:rPr>
                      <w:color w:val="000000"/>
                      <w:sz w:val="18"/>
                      <w:szCs w:val="18"/>
                    </w:rPr>
                    <w:t>-1,4</w:t>
                  </w:r>
                </w:p>
              </w:tc>
              <w:tc>
                <w:tcPr>
                  <w:tcW w:w="724" w:type="dxa"/>
                  <w:gridSpan w:val="2"/>
                  <w:tcBorders>
                    <w:top w:val="nil"/>
                    <w:left w:val="nil"/>
                    <w:bottom w:val="nil"/>
                    <w:right w:val="nil"/>
                  </w:tcBorders>
                  <w:shd w:val="clear" w:color="auto" w:fill="auto"/>
                  <w:vAlign w:val="bottom"/>
                  <w:hideMark/>
                </w:tcPr>
                <w:p w14:paraId="3A5A2E9F" w14:textId="77777777" w:rsidR="000F6636" w:rsidRPr="00F119E3" w:rsidRDefault="000F6636" w:rsidP="00484DB0">
                  <w:pPr>
                    <w:jc w:val="center"/>
                    <w:rPr>
                      <w:color w:val="000000"/>
                      <w:sz w:val="18"/>
                      <w:szCs w:val="18"/>
                    </w:rPr>
                  </w:pPr>
                  <w:r w:rsidRPr="00F119E3">
                    <w:rPr>
                      <w:color w:val="000000"/>
                      <w:sz w:val="18"/>
                      <w:szCs w:val="18"/>
                    </w:rPr>
                    <w:t>-0,2</w:t>
                  </w:r>
                </w:p>
              </w:tc>
            </w:tr>
            <w:tr w:rsidR="000F6636" w:rsidRPr="00F119E3" w14:paraId="375CA85A" w14:textId="77777777" w:rsidTr="00484DB0">
              <w:trPr>
                <w:gridAfter w:val="1"/>
                <w:wAfter w:w="440" w:type="dxa"/>
                <w:trHeight w:val="269"/>
              </w:trPr>
              <w:tc>
                <w:tcPr>
                  <w:tcW w:w="4608" w:type="dxa"/>
                  <w:tcBorders>
                    <w:top w:val="nil"/>
                    <w:left w:val="nil"/>
                    <w:bottom w:val="nil"/>
                    <w:right w:val="nil"/>
                  </w:tcBorders>
                  <w:shd w:val="clear" w:color="auto" w:fill="auto"/>
                  <w:noWrap/>
                  <w:vAlign w:val="center"/>
                  <w:hideMark/>
                </w:tcPr>
                <w:p w14:paraId="1D7638D0"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     - Primárne príjmy a transfery</w:t>
                  </w:r>
                </w:p>
              </w:tc>
              <w:tc>
                <w:tcPr>
                  <w:tcW w:w="722" w:type="dxa"/>
                  <w:tcBorders>
                    <w:top w:val="nil"/>
                    <w:left w:val="nil"/>
                    <w:bottom w:val="nil"/>
                    <w:right w:val="nil"/>
                  </w:tcBorders>
                  <w:shd w:val="clear" w:color="auto" w:fill="auto"/>
                  <w:vAlign w:val="center"/>
                  <w:hideMark/>
                </w:tcPr>
                <w:p w14:paraId="5B6E469F" w14:textId="77777777" w:rsidR="000F6636" w:rsidRPr="00F119E3" w:rsidRDefault="000F6636" w:rsidP="00484DB0">
                  <w:pPr>
                    <w:jc w:val="center"/>
                    <w:rPr>
                      <w:rFonts w:cs="Times New Roman"/>
                      <w:color w:val="000000"/>
                      <w:sz w:val="18"/>
                      <w:szCs w:val="18"/>
                    </w:rPr>
                  </w:pPr>
                </w:p>
              </w:tc>
              <w:tc>
                <w:tcPr>
                  <w:tcW w:w="722" w:type="dxa"/>
                  <w:tcBorders>
                    <w:top w:val="nil"/>
                    <w:left w:val="nil"/>
                    <w:bottom w:val="nil"/>
                    <w:right w:val="nil"/>
                  </w:tcBorders>
                  <w:shd w:val="clear" w:color="auto" w:fill="auto"/>
                  <w:vAlign w:val="bottom"/>
                  <w:hideMark/>
                </w:tcPr>
                <w:p w14:paraId="30983168" w14:textId="77777777" w:rsidR="000F6636" w:rsidRPr="00F119E3" w:rsidRDefault="000F6636" w:rsidP="00484DB0">
                  <w:pPr>
                    <w:jc w:val="center"/>
                    <w:rPr>
                      <w:color w:val="000000"/>
                      <w:sz w:val="18"/>
                      <w:szCs w:val="18"/>
                    </w:rPr>
                  </w:pPr>
                  <w:r w:rsidRPr="00F119E3">
                    <w:rPr>
                      <w:color w:val="000000"/>
                      <w:sz w:val="18"/>
                      <w:szCs w:val="18"/>
                    </w:rPr>
                    <w:t>-2,6</w:t>
                  </w:r>
                </w:p>
              </w:tc>
              <w:tc>
                <w:tcPr>
                  <w:tcW w:w="725" w:type="dxa"/>
                  <w:tcBorders>
                    <w:top w:val="nil"/>
                    <w:left w:val="nil"/>
                    <w:bottom w:val="nil"/>
                    <w:right w:val="nil"/>
                  </w:tcBorders>
                  <w:shd w:val="clear" w:color="auto" w:fill="auto"/>
                  <w:vAlign w:val="bottom"/>
                  <w:hideMark/>
                </w:tcPr>
                <w:p w14:paraId="59AC2EFB" w14:textId="77777777" w:rsidR="000F6636" w:rsidRPr="00F119E3" w:rsidRDefault="000F6636" w:rsidP="00484DB0">
                  <w:pPr>
                    <w:jc w:val="center"/>
                    <w:rPr>
                      <w:color w:val="000000"/>
                      <w:sz w:val="18"/>
                      <w:szCs w:val="18"/>
                    </w:rPr>
                  </w:pPr>
                  <w:r w:rsidRPr="00F119E3">
                    <w:rPr>
                      <w:color w:val="000000"/>
                      <w:sz w:val="18"/>
                      <w:szCs w:val="18"/>
                    </w:rPr>
                    <w:t>-1,9</w:t>
                  </w:r>
                </w:p>
              </w:tc>
              <w:tc>
                <w:tcPr>
                  <w:tcW w:w="725" w:type="dxa"/>
                  <w:gridSpan w:val="2"/>
                  <w:tcBorders>
                    <w:top w:val="nil"/>
                    <w:left w:val="nil"/>
                    <w:bottom w:val="nil"/>
                    <w:right w:val="nil"/>
                  </w:tcBorders>
                  <w:shd w:val="clear" w:color="auto" w:fill="auto"/>
                  <w:vAlign w:val="bottom"/>
                  <w:hideMark/>
                </w:tcPr>
                <w:p w14:paraId="3D9348F9" w14:textId="77777777" w:rsidR="000F6636" w:rsidRPr="00F119E3" w:rsidRDefault="000F6636" w:rsidP="00484DB0">
                  <w:pPr>
                    <w:jc w:val="center"/>
                    <w:rPr>
                      <w:color w:val="000000"/>
                      <w:sz w:val="18"/>
                      <w:szCs w:val="18"/>
                    </w:rPr>
                  </w:pPr>
                  <w:r w:rsidRPr="00F119E3">
                    <w:rPr>
                      <w:color w:val="000000"/>
                      <w:sz w:val="18"/>
                      <w:szCs w:val="18"/>
                    </w:rPr>
                    <w:t>-1,4</w:t>
                  </w:r>
                </w:p>
              </w:tc>
              <w:tc>
                <w:tcPr>
                  <w:tcW w:w="723" w:type="dxa"/>
                  <w:gridSpan w:val="2"/>
                  <w:tcBorders>
                    <w:top w:val="nil"/>
                    <w:left w:val="nil"/>
                    <w:bottom w:val="nil"/>
                    <w:right w:val="nil"/>
                  </w:tcBorders>
                  <w:shd w:val="clear" w:color="auto" w:fill="auto"/>
                  <w:vAlign w:val="bottom"/>
                  <w:hideMark/>
                </w:tcPr>
                <w:p w14:paraId="5663409D" w14:textId="77777777" w:rsidR="000F6636" w:rsidRPr="00F119E3" w:rsidRDefault="000F6636" w:rsidP="00484DB0">
                  <w:pPr>
                    <w:jc w:val="center"/>
                    <w:rPr>
                      <w:color w:val="000000"/>
                      <w:sz w:val="18"/>
                      <w:szCs w:val="18"/>
                    </w:rPr>
                  </w:pPr>
                  <w:r w:rsidRPr="00F119E3">
                    <w:rPr>
                      <w:color w:val="000000"/>
                      <w:sz w:val="18"/>
                      <w:szCs w:val="18"/>
                    </w:rPr>
                    <w:t>-1,6</w:t>
                  </w:r>
                </w:p>
              </w:tc>
              <w:tc>
                <w:tcPr>
                  <w:tcW w:w="724" w:type="dxa"/>
                  <w:gridSpan w:val="2"/>
                  <w:tcBorders>
                    <w:top w:val="nil"/>
                    <w:left w:val="nil"/>
                    <w:bottom w:val="nil"/>
                    <w:right w:val="nil"/>
                  </w:tcBorders>
                  <w:shd w:val="clear" w:color="auto" w:fill="auto"/>
                  <w:vAlign w:val="bottom"/>
                  <w:hideMark/>
                </w:tcPr>
                <w:p w14:paraId="38B29DCE" w14:textId="77777777" w:rsidR="000F6636" w:rsidRPr="00F119E3" w:rsidRDefault="000F6636" w:rsidP="00484DB0">
                  <w:pPr>
                    <w:jc w:val="center"/>
                    <w:rPr>
                      <w:color w:val="000000"/>
                      <w:sz w:val="18"/>
                      <w:szCs w:val="18"/>
                    </w:rPr>
                  </w:pPr>
                  <w:r w:rsidRPr="00F119E3">
                    <w:rPr>
                      <w:color w:val="000000"/>
                      <w:sz w:val="18"/>
                      <w:szCs w:val="18"/>
                    </w:rPr>
                    <w:t>-1,8</w:t>
                  </w:r>
                </w:p>
              </w:tc>
            </w:tr>
            <w:tr w:rsidR="000F6636" w:rsidRPr="00F119E3" w14:paraId="68AE658A" w14:textId="77777777" w:rsidTr="00484DB0">
              <w:trPr>
                <w:gridAfter w:val="1"/>
                <w:wAfter w:w="440" w:type="dxa"/>
                <w:trHeight w:val="269"/>
              </w:trPr>
              <w:tc>
                <w:tcPr>
                  <w:tcW w:w="4608" w:type="dxa"/>
                  <w:tcBorders>
                    <w:top w:val="nil"/>
                    <w:left w:val="nil"/>
                    <w:bottom w:val="nil"/>
                    <w:right w:val="nil"/>
                  </w:tcBorders>
                  <w:shd w:val="clear" w:color="auto" w:fill="auto"/>
                  <w:vAlign w:val="center"/>
                  <w:hideMark/>
                </w:tcPr>
                <w:p w14:paraId="78B3473A"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     - Kapitálový účet</w:t>
                  </w:r>
                </w:p>
              </w:tc>
              <w:tc>
                <w:tcPr>
                  <w:tcW w:w="722" w:type="dxa"/>
                  <w:tcBorders>
                    <w:top w:val="nil"/>
                    <w:left w:val="nil"/>
                    <w:bottom w:val="nil"/>
                    <w:right w:val="nil"/>
                  </w:tcBorders>
                  <w:shd w:val="clear" w:color="auto" w:fill="auto"/>
                  <w:vAlign w:val="center"/>
                  <w:hideMark/>
                </w:tcPr>
                <w:p w14:paraId="10C087AA" w14:textId="77777777" w:rsidR="000F6636" w:rsidRPr="00F119E3" w:rsidRDefault="000F6636" w:rsidP="00484DB0">
                  <w:pPr>
                    <w:jc w:val="center"/>
                    <w:rPr>
                      <w:rFonts w:cs="Times New Roman"/>
                      <w:color w:val="000000"/>
                      <w:sz w:val="18"/>
                      <w:szCs w:val="18"/>
                    </w:rPr>
                  </w:pPr>
                </w:p>
              </w:tc>
              <w:tc>
                <w:tcPr>
                  <w:tcW w:w="722" w:type="dxa"/>
                  <w:tcBorders>
                    <w:top w:val="nil"/>
                    <w:left w:val="nil"/>
                    <w:bottom w:val="nil"/>
                    <w:right w:val="nil"/>
                  </w:tcBorders>
                  <w:shd w:val="clear" w:color="auto" w:fill="auto"/>
                  <w:vAlign w:val="bottom"/>
                  <w:hideMark/>
                </w:tcPr>
                <w:p w14:paraId="45214785" w14:textId="77777777" w:rsidR="000F6636" w:rsidRPr="00F119E3" w:rsidRDefault="000F6636" w:rsidP="00484DB0">
                  <w:pPr>
                    <w:jc w:val="center"/>
                    <w:rPr>
                      <w:color w:val="000000"/>
                      <w:sz w:val="18"/>
                      <w:szCs w:val="18"/>
                    </w:rPr>
                  </w:pPr>
                  <w:r w:rsidRPr="00F119E3">
                    <w:rPr>
                      <w:color w:val="000000"/>
                      <w:sz w:val="18"/>
                      <w:szCs w:val="18"/>
                    </w:rPr>
                    <w:t>-0,8</w:t>
                  </w:r>
                </w:p>
              </w:tc>
              <w:tc>
                <w:tcPr>
                  <w:tcW w:w="725" w:type="dxa"/>
                  <w:tcBorders>
                    <w:top w:val="nil"/>
                    <w:left w:val="nil"/>
                    <w:bottom w:val="nil"/>
                    <w:right w:val="nil"/>
                  </w:tcBorders>
                  <w:shd w:val="clear" w:color="auto" w:fill="auto"/>
                  <w:vAlign w:val="bottom"/>
                  <w:hideMark/>
                </w:tcPr>
                <w:p w14:paraId="28C18D17" w14:textId="77777777" w:rsidR="000F6636" w:rsidRPr="00F119E3" w:rsidRDefault="000F6636" w:rsidP="00484DB0">
                  <w:pPr>
                    <w:jc w:val="center"/>
                    <w:rPr>
                      <w:color w:val="000000"/>
                      <w:sz w:val="18"/>
                      <w:szCs w:val="18"/>
                    </w:rPr>
                  </w:pPr>
                  <w:r w:rsidRPr="00F119E3">
                    <w:rPr>
                      <w:color w:val="000000"/>
                      <w:sz w:val="18"/>
                      <w:szCs w:val="18"/>
                    </w:rPr>
                    <w:t>-0,4</w:t>
                  </w:r>
                </w:p>
              </w:tc>
              <w:tc>
                <w:tcPr>
                  <w:tcW w:w="725" w:type="dxa"/>
                  <w:gridSpan w:val="2"/>
                  <w:tcBorders>
                    <w:top w:val="nil"/>
                    <w:left w:val="nil"/>
                    <w:bottom w:val="nil"/>
                    <w:right w:val="nil"/>
                  </w:tcBorders>
                  <w:shd w:val="clear" w:color="auto" w:fill="auto"/>
                  <w:vAlign w:val="bottom"/>
                  <w:hideMark/>
                </w:tcPr>
                <w:p w14:paraId="244E61AE" w14:textId="77777777" w:rsidR="000F6636" w:rsidRPr="00F119E3" w:rsidRDefault="000F6636" w:rsidP="00484DB0">
                  <w:pPr>
                    <w:jc w:val="center"/>
                    <w:rPr>
                      <w:color w:val="000000"/>
                      <w:sz w:val="18"/>
                      <w:szCs w:val="18"/>
                    </w:rPr>
                  </w:pPr>
                  <w:r w:rsidRPr="00F119E3">
                    <w:rPr>
                      <w:color w:val="000000"/>
                      <w:sz w:val="18"/>
                      <w:szCs w:val="18"/>
                    </w:rPr>
                    <w:t>-0,1</w:t>
                  </w:r>
                </w:p>
              </w:tc>
              <w:tc>
                <w:tcPr>
                  <w:tcW w:w="723" w:type="dxa"/>
                  <w:gridSpan w:val="2"/>
                  <w:tcBorders>
                    <w:top w:val="nil"/>
                    <w:left w:val="nil"/>
                    <w:bottom w:val="nil"/>
                    <w:right w:val="nil"/>
                  </w:tcBorders>
                  <w:shd w:val="clear" w:color="auto" w:fill="auto"/>
                  <w:vAlign w:val="bottom"/>
                  <w:hideMark/>
                </w:tcPr>
                <w:p w14:paraId="6E061E22" w14:textId="77777777" w:rsidR="000F6636" w:rsidRPr="00F119E3" w:rsidRDefault="000F6636" w:rsidP="00484DB0">
                  <w:pPr>
                    <w:jc w:val="center"/>
                    <w:rPr>
                      <w:color w:val="000000"/>
                      <w:sz w:val="18"/>
                      <w:szCs w:val="18"/>
                    </w:rPr>
                  </w:pPr>
                  <w:r w:rsidRPr="00F119E3">
                    <w:rPr>
                      <w:color w:val="000000"/>
                      <w:sz w:val="18"/>
                      <w:szCs w:val="18"/>
                    </w:rPr>
                    <w:t>-0,2</w:t>
                  </w:r>
                </w:p>
              </w:tc>
              <w:tc>
                <w:tcPr>
                  <w:tcW w:w="724" w:type="dxa"/>
                  <w:gridSpan w:val="2"/>
                  <w:tcBorders>
                    <w:top w:val="nil"/>
                    <w:left w:val="nil"/>
                    <w:bottom w:val="nil"/>
                    <w:right w:val="nil"/>
                  </w:tcBorders>
                  <w:shd w:val="clear" w:color="auto" w:fill="auto"/>
                  <w:vAlign w:val="bottom"/>
                  <w:hideMark/>
                </w:tcPr>
                <w:p w14:paraId="7BBEFAF4" w14:textId="77777777" w:rsidR="000F6636" w:rsidRPr="00F119E3" w:rsidRDefault="000F6636" w:rsidP="00484DB0">
                  <w:pPr>
                    <w:jc w:val="center"/>
                    <w:rPr>
                      <w:color w:val="000000"/>
                      <w:sz w:val="18"/>
                      <w:szCs w:val="18"/>
                    </w:rPr>
                  </w:pPr>
                  <w:r w:rsidRPr="00F119E3">
                    <w:rPr>
                      <w:color w:val="000000"/>
                      <w:sz w:val="18"/>
                      <w:szCs w:val="18"/>
                    </w:rPr>
                    <w:t>-0,5</w:t>
                  </w:r>
                </w:p>
              </w:tc>
            </w:tr>
            <w:tr w:rsidR="000F6636" w:rsidRPr="00F119E3" w14:paraId="24552BEA" w14:textId="77777777" w:rsidTr="00484DB0">
              <w:trPr>
                <w:gridAfter w:val="1"/>
                <w:wAfter w:w="440" w:type="dxa"/>
                <w:trHeight w:val="269"/>
              </w:trPr>
              <w:tc>
                <w:tcPr>
                  <w:tcW w:w="4608" w:type="dxa"/>
                  <w:tcBorders>
                    <w:top w:val="nil"/>
                    <w:left w:val="nil"/>
                    <w:bottom w:val="nil"/>
                    <w:right w:val="nil"/>
                  </w:tcBorders>
                  <w:shd w:val="clear" w:color="auto" w:fill="auto"/>
                  <w:noWrap/>
                  <w:vAlign w:val="center"/>
                  <w:hideMark/>
                </w:tcPr>
                <w:p w14:paraId="057A4590" w14:textId="77777777" w:rsidR="000F6636" w:rsidRPr="00F119E3" w:rsidRDefault="000F6636" w:rsidP="00484DB0">
                  <w:pPr>
                    <w:rPr>
                      <w:rFonts w:cs="Times New Roman"/>
                      <w:color w:val="000000"/>
                      <w:sz w:val="18"/>
                      <w:szCs w:val="18"/>
                    </w:rPr>
                  </w:pPr>
                  <w:r w:rsidRPr="00F119E3">
                    <w:rPr>
                      <w:rFonts w:cs="Times New Roman"/>
                      <w:color w:val="000000"/>
                      <w:sz w:val="18"/>
                      <w:szCs w:val="18"/>
                    </w:rPr>
                    <w:t>2. Čisté pôžičky poskytnuté / prijaté ostatných sektorov</w:t>
                  </w:r>
                </w:p>
              </w:tc>
              <w:tc>
                <w:tcPr>
                  <w:tcW w:w="722" w:type="dxa"/>
                  <w:tcBorders>
                    <w:top w:val="nil"/>
                    <w:left w:val="nil"/>
                    <w:bottom w:val="nil"/>
                    <w:right w:val="nil"/>
                  </w:tcBorders>
                  <w:shd w:val="clear" w:color="auto" w:fill="auto"/>
                  <w:vAlign w:val="center"/>
                  <w:hideMark/>
                </w:tcPr>
                <w:p w14:paraId="3ECB6467" w14:textId="77777777" w:rsidR="000F6636" w:rsidRPr="00F119E3" w:rsidRDefault="000F6636" w:rsidP="00484DB0">
                  <w:pPr>
                    <w:jc w:val="center"/>
                    <w:rPr>
                      <w:rFonts w:cs="Times New Roman"/>
                      <w:color w:val="000000"/>
                      <w:sz w:val="18"/>
                      <w:szCs w:val="18"/>
                    </w:rPr>
                  </w:pPr>
                  <w:r w:rsidRPr="00F119E3">
                    <w:rPr>
                      <w:rFonts w:cs="Times New Roman"/>
                      <w:color w:val="000000"/>
                      <w:sz w:val="18"/>
                      <w:szCs w:val="18"/>
                    </w:rPr>
                    <w:t>B.9</w:t>
                  </w:r>
                </w:p>
              </w:tc>
              <w:tc>
                <w:tcPr>
                  <w:tcW w:w="722" w:type="dxa"/>
                  <w:tcBorders>
                    <w:top w:val="nil"/>
                    <w:left w:val="nil"/>
                    <w:bottom w:val="nil"/>
                    <w:right w:val="nil"/>
                  </w:tcBorders>
                  <w:shd w:val="clear" w:color="auto" w:fill="auto"/>
                  <w:vAlign w:val="bottom"/>
                </w:tcPr>
                <w:p w14:paraId="1BD79B03" w14:textId="77777777" w:rsidR="000F6636" w:rsidRPr="00F119E3" w:rsidRDefault="000F6636" w:rsidP="00484DB0">
                  <w:pPr>
                    <w:jc w:val="center"/>
                    <w:rPr>
                      <w:color w:val="000000"/>
                      <w:sz w:val="18"/>
                      <w:szCs w:val="18"/>
                    </w:rPr>
                  </w:pPr>
                  <w:r w:rsidRPr="00F119E3">
                    <w:rPr>
                      <w:color w:val="000000"/>
                      <w:sz w:val="18"/>
                      <w:szCs w:val="18"/>
                    </w:rPr>
                    <w:t>-4,9</w:t>
                  </w:r>
                </w:p>
              </w:tc>
              <w:tc>
                <w:tcPr>
                  <w:tcW w:w="725" w:type="dxa"/>
                  <w:tcBorders>
                    <w:top w:val="nil"/>
                    <w:left w:val="nil"/>
                    <w:bottom w:val="nil"/>
                    <w:right w:val="nil"/>
                  </w:tcBorders>
                  <w:shd w:val="clear" w:color="auto" w:fill="auto"/>
                  <w:vAlign w:val="bottom"/>
                </w:tcPr>
                <w:p w14:paraId="39628287" w14:textId="77777777" w:rsidR="000F6636" w:rsidRPr="00F119E3" w:rsidRDefault="000F6636" w:rsidP="00484DB0">
                  <w:pPr>
                    <w:jc w:val="center"/>
                    <w:rPr>
                      <w:color w:val="000000"/>
                      <w:sz w:val="18"/>
                      <w:szCs w:val="18"/>
                    </w:rPr>
                  </w:pPr>
                  <w:r w:rsidRPr="00F119E3">
                    <w:rPr>
                      <w:color w:val="000000"/>
                      <w:sz w:val="18"/>
                      <w:szCs w:val="18"/>
                    </w:rPr>
                    <w:t>-5,9</w:t>
                  </w:r>
                </w:p>
              </w:tc>
              <w:tc>
                <w:tcPr>
                  <w:tcW w:w="725" w:type="dxa"/>
                  <w:gridSpan w:val="2"/>
                  <w:tcBorders>
                    <w:top w:val="nil"/>
                    <w:left w:val="nil"/>
                    <w:bottom w:val="nil"/>
                    <w:right w:val="nil"/>
                  </w:tcBorders>
                  <w:shd w:val="clear" w:color="auto" w:fill="auto"/>
                  <w:vAlign w:val="bottom"/>
                </w:tcPr>
                <w:p w14:paraId="133656FA" w14:textId="77777777" w:rsidR="000F6636" w:rsidRPr="00F119E3" w:rsidRDefault="000F6636" w:rsidP="00484DB0">
                  <w:pPr>
                    <w:jc w:val="center"/>
                    <w:rPr>
                      <w:color w:val="000000"/>
                      <w:sz w:val="18"/>
                      <w:szCs w:val="18"/>
                    </w:rPr>
                  </w:pPr>
                  <w:r w:rsidRPr="00F119E3">
                    <w:rPr>
                      <w:color w:val="000000"/>
                      <w:sz w:val="18"/>
                      <w:szCs w:val="18"/>
                    </w:rPr>
                    <w:t>-5,4</w:t>
                  </w:r>
                </w:p>
              </w:tc>
              <w:tc>
                <w:tcPr>
                  <w:tcW w:w="723" w:type="dxa"/>
                  <w:gridSpan w:val="2"/>
                  <w:tcBorders>
                    <w:top w:val="nil"/>
                    <w:left w:val="nil"/>
                    <w:bottom w:val="nil"/>
                    <w:right w:val="nil"/>
                  </w:tcBorders>
                  <w:shd w:val="clear" w:color="auto" w:fill="auto"/>
                  <w:vAlign w:val="bottom"/>
                </w:tcPr>
                <w:p w14:paraId="26B377CF" w14:textId="77777777" w:rsidR="000F6636" w:rsidRPr="00F119E3" w:rsidRDefault="000F6636" w:rsidP="00484DB0">
                  <w:pPr>
                    <w:jc w:val="center"/>
                    <w:rPr>
                      <w:color w:val="000000"/>
                      <w:sz w:val="18"/>
                      <w:szCs w:val="18"/>
                    </w:rPr>
                  </w:pPr>
                  <w:r w:rsidRPr="00F119E3">
                    <w:rPr>
                      <w:color w:val="000000"/>
                      <w:sz w:val="18"/>
                      <w:szCs w:val="18"/>
                    </w:rPr>
                    <w:t>-5,2</w:t>
                  </w:r>
                </w:p>
              </w:tc>
              <w:tc>
                <w:tcPr>
                  <w:tcW w:w="724" w:type="dxa"/>
                  <w:gridSpan w:val="2"/>
                  <w:tcBorders>
                    <w:top w:val="nil"/>
                    <w:left w:val="nil"/>
                    <w:bottom w:val="nil"/>
                    <w:right w:val="nil"/>
                  </w:tcBorders>
                  <w:shd w:val="clear" w:color="auto" w:fill="auto"/>
                  <w:vAlign w:val="bottom"/>
                </w:tcPr>
                <w:p w14:paraId="4E080283" w14:textId="77777777" w:rsidR="000F6636" w:rsidRPr="00F119E3" w:rsidRDefault="000F6636" w:rsidP="00484DB0">
                  <w:pPr>
                    <w:jc w:val="center"/>
                    <w:rPr>
                      <w:color w:val="000000"/>
                      <w:sz w:val="18"/>
                      <w:szCs w:val="18"/>
                    </w:rPr>
                  </w:pPr>
                  <w:r w:rsidRPr="00F119E3">
                    <w:rPr>
                      <w:color w:val="000000"/>
                      <w:sz w:val="18"/>
                      <w:szCs w:val="18"/>
                    </w:rPr>
                    <w:t>-5,5</w:t>
                  </w:r>
                </w:p>
              </w:tc>
            </w:tr>
            <w:tr w:rsidR="000F6636" w:rsidRPr="00F119E3" w14:paraId="7AF11DFB" w14:textId="77777777" w:rsidTr="00484DB0">
              <w:trPr>
                <w:gridAfter w:val="1"/>
                <w:wAfter w:w="440" w:type="dxa"/>
                <w:trHeight w:val="269"/>
              </w:trPr>
              <w:tc>
                <w:tcPr>
                  <w:tcW w:w="4608" w:type="dxa"/>
                  <w:tcBorders>
                    <w:top w:val="nil"/>
                    <w:left w:val="nil"/>
                    <w:bottom w:val="nil"/>
                    <w:right w:val="nil"/>
                  </w:tcBorders>
                  <w:shd w:val="clear" w:color="auto" w:fill="auto"/>
                  <w:vAlign w:val="center"/>
                  <w:hideMark/>
                </w:tcPr>
                <w:p w14:paraId="72827F0E" w14:textId="77777777" w:rsidR="000F6636" w:rsidRPr="00F119E3" w:rsidRDefault="000F6636" w:rsidP="00484DB0">
                  <w:pPr>
                    <w:rPr>
                      <w:rFonts w:cs="Times New Roman"/>
                      <w:color w:val="000000"/>
                      <w:sz w:val="18"/>
                      <w:szCs w:val="18"/>
                    </w:rPr>
                  </w:pPr>
                  <w:r w:rsidRPr="00F119E3">
                    <w:rPr>
                      <w:rFonts w:cs="Times New Roman"/>
                      <w:color w:val="000000"/>
                      <w:sz w:val="18"/>
                      <w:szCs w:val="18"/>
                    </w:rPr>
                    <w:t xml:space="preserve">3. Čisté pôžičky poskytnuté / prijaté verejnej správy (ciele </w:t>
                  </w:r>
                  <w:r>
                    <w:rPr>
                      <w:rFonts w:cs="Times New Roman"/>
                      <w:color w:val="000000"/>
                      <w:sz w:val="18"/>
                      <w:szCs w:val="18"/>
                    </w:rPr>
                    <w:t>Programu stability</w:t>
                  </w:r>
                  <w:r w:rsidRPr="00F119E3">
                    <w:rPr>
                      <w:rFonts w:cs="Times New Roman"/>
                      <w:color w:val="000000"/>
                      <w:sz w:val="18"/>
                      <w:szCs w:val="18"/>
                    </w:rPr>
                    <w:t>)</w:t>
                  </w:r>
                </w:p>
              </w:tc>
              <w:tc>
                <w:tcPr>
                  <w:tcW w:w="722" w:type="dxa"/>
                  <w:tcBorders>
                    <w:top w:val="nil"/>
                    <w:left w:val="nil"/>
                    <w:bottom w:val="nil"/>
                    <w:right w:val="nil"/>
                  </w:tcBorders>
                  <w:shd w:val="clear" w:color="auto" w:fill="auto"/>
                  <w:vAlign w:val="center"/>
                  <w:hideMark/>
                </w:tcPr>
                <w:p w14:paraId="13512E21" w14:textId="77777777" w:rsidR="000F6636" w:rsidRPr="00F119E3" w:rsidRDefault="000F6636" w:rsidP="00484DB0">
                  <w:pPr>
                    <w:jc w:val="center"/>
                    <w:rPr>
                      <w:rFonts w:cs="Times New Roman"/>
                      <w:color w:val="000000"/>
                      <w:sz w:val="18"/>
                      <w:szCs w:val="18"/>
                    </w:rPr>
                  </w:pPr>
                  <w:r>
                    <w:rPr>
                      <w:rFonts w:cs="Times New Roman"/>
                      <w:color w:val="000000"/>
                      <w:sz w:val="18"/>
                      <w:szCs w:val="18"/>
                    </w:rPr>
                    <w:t xml:space="preserve">EDP </w:t>
                  </w:r>
                  <w:r w:rsidRPr="00F119E3">
                    <w:rPr>
                      <w:rFonts w:cs="Times New Roman"/>
                      <w:color w:val="000000"/>
                      <w:sz w:val="18"/>
                      <w:szCs w:val="18"/>
                    </w:rPr>
                    <w:t>B.9</w:t>
                  </w:r>
                </w:p>
              </w:tc>
              <w:tc>
                <w:tcPr>
                  <w:tcW w:w="722" w:type="dxa"/>
                  <w:tcBorders>
                    <w:top w:val="nil"/>
                    <w:left w:val="nil"/>
                    <w:bottom w:val="nil"/>
                    <w:right w:val="nil"/>
                  </w:tcBorders>
                  <w:shd w:val="clear" w:color="auto" w:fill="auto"/>
                  <w:vAlign w:val="bottom"/>
                  <w:hideMark/>
                </w:tcPr>
                <w:p w14:paraId="2C636D26" w14:textId="77777777" w:rsidR="000F6636" w:rsidRPr="00F119E3" w:rsidRDefault="000F6636" w:rsidP="00484DB0">
                  <w:pPr>
                    <w:jc w:val="center"/>
                    <w:rPr>
                      <w:rFonts w:cs="Times New Roman"/>
                      <w:color w:val="000000"/>
                      <w:sz w:val="18"/>
                      <w:szCs w:val="18"/>
                    </w:rPr>
                  </w:pPr>
                  <w:r w:rsidRPr="00F119E3">
                    <w:rPr>
                      <w:color w:val="000000"/>
                      <w:sz w:val="18"/>
                      <w:szCs w:val="18"/>
                    </w:rPr>
                    <w:t>-2,0</w:t>
                  </w:r>
                </w:p>
              </w:tc>
              <w:tc>
                <w:tcPr>
                  <w:tcW w:w="725" w:type="dxa"/>
                  <w:tcBorders>
                    <w:top w:val="nil"/>
                    <w:left w:val="nil"/>
                    <w:bottom w:val="nil"/>
                    <w:right w:val="nil"/>
                  </w:tcBorders>
                  <w:shd w:val="clear" w:color="auto" w:fill="auto"/>
                  <w:vAlign w:val="bottom"/>
                  <w:hideMark/>
                </w:tcPr>
                <w:p w14:paraId="7D5F1761" w14:textId="77777777" w:rsidR="000F6636" w:rsidRPr="00F119E3" w:rsidRDefault="000F6636" w:rsidP="00484DB0">
                  <w:pPr>
                    <w:jc w:val="center"/>
                    <w:rPr>
                      <w:rFonts w:cs="Times New Roman"/>
                      <w:color w:val="000000"/>
                      <w:sz w:val="18"/>
                      <w:szCs w:val="18"/>
                    </w:rPr>
                  </w:pPr>
                  <w:r w:rsidRPr="00F119E3">
                    <w:rPr>
                      <w:color w:val="000000"/>
                      <w:sz w:val="18"/>
                      <w:szCs w:val="18"/>
                    </w:rPr>
                    <w:t>-6,3</w:t>
                  </w:r>
                </w:p>
              </w:tc>
              <w:tc>
                <w:tcPr>
                  <w:tcW w:w="725" w:type="dxa"/>
                  <w:gridSpan w:val="2"/>
                  <w:tcBorders>
                    <w:top w:val="nil"/>
                    <w:left w:val="nil"/>
                    <w:bottom w:val="nil"/>
                    <w:right w:val="nil"/>
                  </w:tcBorders>
                  <w:shd w:val="clear" w:color="auto" w:fill="auto"/>
                  <w:vAlign w:val="bottom"/>
                  <w:hideMark/>
                </w:tcPr>
                <w:p w14:paraId="4410D681" w14:textId="77777777" w:rsidR="000F6636" w:rsidRPr="00F119E3" w:rsidRDefault="000F6636" w:rsidP="00484DB0">
                  <w:pPr>
                    <w:jc w:val="center"/>
                    <w:rPr>
                      <w:rFonts w:cs="Times New Roman"/>
                      <w:color w:val="000000"/>
                      <w:sz w:val="18"/>
                      <w:szCs w:val="18"/>
                    </w:rPr>
                  </w:pPr>
                  <w:r w:rsidRPr="00F119E3">
                    <w:rPr>
                      <w:color w:val="000000"/>
                      <w:sz w:val="18"/>
                      <w:szCs w:val="18"/>
                    </w:rPr>
                    <w:t>-3,9</w:t>
                  </w:r>
                </w:p>
              </w:tc>
              <w:tc>
                <w:tcPr>
                  <w:tcW w:w="723" w:type="dxa"/>
                  <w:gridSpan w:val="2"/>
                  <w:tcBorders>
                    <w:top w:val="nil"/>
                    <w:left w:val="nil"/>
                    <w:bottom w:val="nil"/>
                    <w:right w:val="nil"/>
                  </w:tcBorders>
                  <w:shd w:val="clear" w:color="auto" w:fill="auto"/>
                  <w:vAlign w:val="bottom"/>
                  <w:hideMark/>
                </w:tcPr>
                <w:p w14:paraId="5501ECDA" w14:textId="77777777" w:rsidR="000F6636" w:rsidRPr="00F119E3" w:rsidRDefault="000F6636" w:rsidP="00484DB0">
                  <w:pPr>
                    <w:jc w:val="center"/>
                    <w:rPr>
                      <w:rFonts w:cs="Times New Roman"/>
                      <w:color w:val="000000"/>
                      <w:sz w:val="18"/>
                      <w:szCs w:val="18"/>
                    </w:rPr>
                  </w:pPr>
                  <w:r w:rsidRPr="00F119E3">
                    <w:rPr>
                      <w:color w:val="000000"/>
                      <w:sz w:val="18"/>
                      <w:szCs w:val="18"/>
                    </w:rPr>
                    <w:t>-3,2</w:t>
                  </w:r>
                </w:p>
              </w:tc>
              <w:tc>
                <w:tcPr>
                  <w:tcW w:w="724" w:type="dxa"/>
                  <w:gridSpan w:val="2"/>
                  <w:tcBorders>
                    <w:top w:val="nil"/>
                    <w:left w:val="nil"/>
                    <w:bottom w:val="nil"/>
                    <w:right w:val="nil"/>
                  </w:tcBorders>
                  <w:shd w:val="clear" w:color="auto" w:fill="auto"/>
                  <w:vAlign w:val="bottom"/>
                  <w:hideMark/>
                </w:tcPr>
                <w:p w14:paraId="45E846CE" w14:textId="77777777" w:rsidR="000F6636" w:rsidRPr="00F119E3" w:rsidRDefault="000F6636" w:rsidP="00484DB0">
                  <w:pPr>
                    <w:jc w:val="center"/>
                    <w:rPr>
                      <w:rFonts w:cs="Times New Roman"/>
                      <w:color w:val="000000"/>
                      <w:sz w:val="18"/>
                      <w:szCs w:val="18"/>
                    </w:rPr>
                  </w:pPr>
                  <w:r w:rsidRPr="00F119E3">
                    <w:rPr>
                      <w:color w:val="000000"/>
                      <w:sz w:val="18"/>
                      <w:szCs w:val="18"/>
                    </w:rPr>
                    <w:t>-2,2</w:t>
                  </w:r>
                </w:p>
              </w:tc>
            </w:tr>
            <w:tr w:rsidR="000F6636" w:rsidRPr="00F119E3" w14:paraId="098C6EFD" w14:textId="77777777" w:rsidTr="00484DB0">
              <w:trPr>
                <w:gridAfter w:val="1"/>
                <w:wAfter w:w="440" w:type="dxa"/>
                <w:trHeight w:val="269"/>
              </w:trPr>
              <w:tc>
                <w:tcPr>
                  <w:tcW w:w="4608" w:type="dxa"/>
                  <w:tcBorders>
                    <w:top w:val="nil"/>
                    <w:left w:val="nil"/>
                    <w:bottom w:val="single" w:sz="8" w:space="0" w:color="auto"/>
                    <w:right w:val="nil"/>
                  </w:tcBorders>
                  <w:shd w:val="clear" w:color="auto" w:fill="auto"/>
                  <w:vAlign w:val="center"/>
                  <w:hideMark/>
                </w:tcPr>
                <w:p w14:paraId="0F181B86" w14:textId="77777777" w:rsidR="000F6636" w:rsidRPr="00F119E3" w:rsidRDefault="000F6636" w:rsidP="00484DB0">
                  <w:pPr>
                    <w:rPr>
                      <w:rFonts w:cs="Times New Roman"/>
                      <w:color w:val="000000"/>
                      <w:sz w:val="18"/>
                      <w:szCs w:val="18"/>
                    </w:rPr>
                  </w:pPr>
                  <w:r w:rsidRPr="00F119E3">
                    <w:rPr>
                      <w:rFonts w:cs="Times New Roman"/>
                      <w:color w:val="000000"/>
                      <w:sz w:val="18"/>
                      <w:szCs w:val="18"/>
                    </w:rPr>
                    <w:t>4. Štatistický rozdiel</w:t>
                  </w:r>
                </w:p>
              </w:tc>
              <w:tc>
                <w:tcPr>
                  <w:tcW w:w="722" w:type="dxa"/>
                  <w:tcBorders>
                    <w:top w:val="nil"/>
                    <w:left w:val="nil"/>
                    <w:bottom w:val="single" w:sz="8" w:space="0" w:color="auto"/>
                    <w:right w:val="nil"/>
                  </w:tcBorders>
                  <w:shd w:val="clear" w:color="auto" w:fill="auto"/>
                  <w:vAlign w:val="center"/>
                  <w:hideMark/>
                </w:tcPr>
                <w:p w14:paraId="2AE4A88A" w14:textId="77777777" w:rsidR="000F6636" w:rsidRPr="00F119E3" w:rsidRDefault="000F6636" w:rsidP="00484DB0">
                  <w:pPr>
                    <w:jc w:val="center"/>
                    <w:rPr>
                      <w:rFonts w:cs="Times New Roman"/>
                      <w:color w:val="000000"/>
                      <w:sz w:val="18"/>
                      <w:szCs w:val="18"/>
                    </w:rPr>
                  </w:pPr>
                </w:p>
              </w:tc>
              <w:tc>
                <w:tcPr>
                  <w:tcW w:w="722" w:type="dxa"/>
                  <w:tcBorders>
                    <w:top w:val="nil"/>
                    <w:left w:val="nil"/>
                    <w:bottom w:val="single" w:sz="8" w:space="0" w:color="auto"/>
                    <w:right w:val="nil"/>
                  </w:tcBorders>
                  <w:shd w:val="clear" w:color="auto" w:fill="auto"/>
                  <w:hideMark/>
                </w:tcPr>
                <w:p w14:paraId="21228D34" w14:textId="77777777" w:rsidR="000F6636" w:rsidRPr="00F119E3" w:rsidRDefault="000F6636" w:rsidP="00484DB0">
                  <w:pPr>
                    <w:jc w:val="center"/>
                    <w:rPr>
                      <w:rFonts w:cs="Times New Roman"/>
                      <w:color w:val="000000"/>
                      <w:sz w:val="18"/>
                      <w:szCs w:val="18"/>
                    </w:rPr>
                  </w:pPr>
                  <w:r w:rsidRPr="00F119E3">
                    <w:rPr>
                      <w:sz w:val="18"/>
                      <w:szCs w:val="18"/>
                    </w:rPr>
                    <w:t xml:space="preserve"> -     </w:t>
                  </w:r>
                </w:p>
              </w:tc>
              <w:tc>
                <w:tcPr>
                  <w:tcW w:w="725" w:type="dxa"/>
                  <w:tcBorders>
                    <w:top w:val="nil"/>
                    <w:left w:val="nil"/>
                    <w:bottom w:val="single" w:sz="8" w:space="0" w:color="auto"/>
                    <w:right w:val="nil"/>
                  </w:tcBorders>
                  <w:shd w:val="clear" w:color="auto" w:fill="auto"/>
                  <w:hideMark/>
                </w:tcPr>
                <w:p w14:paraId="458FB9EA" w14:textId="77777777" w:rsidR="000F6636" w:rsidRPr="00F119E3" w:rsidRDefault="000F6636" w:rsidP="00484DB0">
                  <w:pPr>
                    <w:jc w:val="center"/>
                    <w:rPr>
                      <w:rFonts w:cs="Times New Roman"/>
                      <w:color w:val="000000"/>
                      <w:sz w:val="18"/>
                      <w:szCs w:val="18"/>
                    </w:rPr>
                  </w:pPr>
                  <w:r w:rsidRPr="00F119E3">
                    <w:rPr>
                      <w:sz w:val="18"/>
                      <w:szCs w:val="18"/>
                    </w:rPr>
                    <w:t xml:space="preserve"> -     </w:t>
                  </w:r>
                </w:p>
              </w:tc>
              <w:tc>
                <w:tcPr>
                  <w:tcW w:w="725" w:type="dxa"/>
                  <w:gridSpan w:val="2"/>
                  <w:tcBorders>
                    <w:top w:val="nil"/>
                    <w:left w:val="nil"/>
                    <w:bottom w:val="single" w:sz="8" w:space="0" w:color="auto"/>
                    <w:right w:val="nil"/>
                  </w:tcBorders>
                  <w:shd w:val="clear" w:color="auto" w:fill="auto"/>
                  <w:hideMark/>
                </w:tcPr>
                <w:p w14:paraId="35DC1E6D" w14:textId="77777777" w:rsidR="000F6636" w:rsidRPr="00F119E3" w:rsidRDefault="000F6636" w:rsidP="00484DB0">
                  <w:pPr>
                    <w:jc w:val="center"/>
                    <w:rPr>
                      <w:rFonts w:cs="Times New Roman"/>
                      <w:color w:val="000000"/>
                      <w:sz w:val="18"/>
                      <w:szCs w:val="18"/>
                    </w:rPr>
                  </w:pPr>
                  <w:r w:rsidRPr="00F119E3">
                    <w:rPr>
                      <w:sz w:val="18"/>
                      <w:szCs w:val="18"/>
                    </w:rPr>
                    <w:t xml:space="preserve"> -     </w:t>
                  </w:r>
                </w:p>
              </w:tc>
              <w:tc>
                <w:tcPr>
                  <w:tcW w:w="723" w:type="dxa"/>
                  <w:gridSpan w:val="2"/>
                  <w:tcBorders>
                    <w:top w:val="nil"/>
                    <w:left w:val="nil"/>
                    <w:bottom w:val="single" w:sz="8" w:space="0" w:color="auto"/>
                    <w:right w:val="nil"/>
                  </w:tcBorders>
                  <w:shd w:val="clear" w:color="auto" w:fill="auto"/>
                  <w:hideMark/>
                </w:tcPr>
                <w:p w14:paraId="5887FBF6" w14:textId="77777777" w:rsidR="000F6636" w:rsidRPr="00F119E3" w:rsidRDefault="000F6636" w:rsidP="00484DB0">
                  <w:pPr>
                    <w:jc w:val="center"/>
                    <w:rPr>
                      <w:rFonts w:cs="Times New Roman"/>
                      <w:color w:val="000000"/>
                      <w:sz w:val="18"/>
                      <w:szCs w:val="18"/>
                    </w:rPr>
                  </w:pPr>
                  <w:r w:rsidRPr="00F119E3">
                    <w:rPr>
                      <w:sz w:val="18"/>
                      <w:szCs w:val="18"/>
                    </w:rPr>
                    <w:t xml:space="preserve"> -     </w:t>
                  </w:r>
                </w:p>
              </w:tc>
              <w:tc>
                <w:tcPr>
                  <w:tcW w:w="724" w:type="dxa"/>
                  <w:gridSpan w:val="2"/>
                  <w:tcBorders>
                    <w:top w:val="nil"/>
                    <w:left w:val="nil"/>
                    <w:bottom w:val="single" w:sz="8" w:space="0" w:color="auto"/>
                    <w:right w:val="nil"/>
                  </w:tcBorders>
                  <w:shd w:val="clear" w:color="auto" w:fill="auto"/>
                  <w:hideMark/>
                </w:tcPr>
                <w:p w14:paraId="73D9E754" w14:textId="77777777" w:rsidR="000F6636" w:rsidRPr="00F119E3" w:rsidRDefault="000F6636" w:rsidP="00484DB0">
                  <w:pPr>
                    <w:jc w:val="center"/>
                    <w:rPr>
                      <w:rFonts w:cs="Times New Roman"/>
                      <w:color w:val="000000"/>
                      <w:sz w:val="18"/>
                      <w:szCs w:val="18"/>
                    </w:rPr>
                  </w:pPr>
                  <w:r w:rsidRPr="00F119E3">
                    <w:rPr>
                      <w:sz w:val="18"/>
                      <w:szCs w:val="18"/>
                    </w:rPr>
                    <w:t xml:space="preserve"> -     </w:t>
                  </w:r>
                </w:p>
              </w:tc>
            </w:tr>
            <w:tr w:rsidR="000F6636" w:rsidRPr="00F119E3" w14:paraId="51753BDF" w14:textId="77777777" w:rsidTr="00484DB0">
              <w:trPr>
                <w:trHeight w:val="269"/>
              </w:trPr>
              <w:tc>
                <w:tcPr>
                  <w:tcW w:w="7219" w:type="dxa"/>
                  <w:gridSpan w:val="5"/>
                  <w:tcBorders>
                    <w:top w:val="single" w:sz="8" w:space="0" w:color="auto"/>
                    <w:left w:val="nil"/>
                    <w:bottom w:val="nil"/>
                    <w:right w:val="nil"/>
                  </w:tcBorders>
                  <w:shd w:val="clear" w:color="auto" w:fill="auto"/>
                  <w:noWrap/>
                  <w:vAlign w:val="center"/>
                  <w:hideMark/>
                </w:tcPr>
                <w:p w14:paraId="6B8AA1EB" w14:textId="77777777" w:rsidR="000F6636" w:rsidRPr="00F119E3" w:rsidRDefault="000F6636" w:rsidP="00484DB0">
                  <w:pPr>
                    <w:rPr>
                      <w:rFonts w:cs="Times New Roman"/>
                      <w:color w:val="000000"/>
                      <w:sz w:val="18"/>
                      <w:szCs w:val="18"/>
                    </w:rPr>
                  </w:pPr>
                </w:p>
              </w:tc>
              <w:tc>
                <w:tcPr>
                  <w:tcW w:w="723" w:type="dxa"/>
                  <w:gridSpan w:val="2"/>
                  <w:tcBorders>
                    <w:top w:val="nil"/>
                    <w:left w:val="nil"/>
                    <w:bottom w:val="nil"/>
                    <w:right w:val="nil"/>
                  </w:tcBorders>
                  <w:shd w:val="clear" w:color="auto" w:fill="auto"/>
                  <w:noWrap/>
                  <w:vAlign w:val="center"/>
                  <w:hideMark/>
                </w:tcPr>
                <w:p w14:paraId="4072B58C" w14:textId="77777777" w:rsidR="000F6636" w:rsidRPr="00F119E3" w:rsidRDefault="000F6636" w:rsidP="00484DB0">
                  <w:pPr>
                    <w:jc w:val="right"/>
                    <w:rPr>
                      <w:rFonts w:cs="Times New Roman"/>
                      <w:color w:val="000000"/>
                      <w:sz w:val="18"/>
                      <w:szCs w:val="18"/>
                    </w:rPr>
                  </w:pPr>
                </w:p>
              </w:tc>
              <w:tc>
                <w:tcPr>
                  <w:tcW w:w="1447" w:type="dxa"/>
                  <w:gridSpan w:val="4"/>
                  <w:tcBorders>
                    <w:top w:val="nil"/>
                    <w:left w:val="nil"/>
                    <w:bottom w:val="nil"/>
                    <w:right w:val="nil"/>
                  </w:tcBorders>
                  <w:shd w:val="clear" w:color="auto" w:fill="auto"/>
                  <w:noWrap/>
                  <w:vAlign w:val="center"/>
                  <w:hideMark/>
                </w:tcPr>
                <w:p w14:paraId="0BAB9B65" w14:textId="77777777" w:rsidR="000F6636" w:rsidRPr="00F119E3" w:rsidRDefault="000F6636" w:rsidP="00484DB0">
                  <w:pPr>
                    <w:rPr>
                      <w:rFonts w:cs="Times New Roman"/>
                      <w:i/>
                      <w:iCs/>
                      <w:color w:val="000000"/>
                      <w:sz w:val="18"/>
                      <w:szCs w:val="18"/>
                    </w:rPr>
                  </w:pPr>
                  <w:r w:rsidRPr="00F119E3">
                    <w:rPr>
                      <w:rFonts w:cs="Times New Roman"/>
                      <w:i/>
                      <w:iCs/>
                      <w:color w:val="000000"/>
                      <w:sz w:val="16"/>
                      <w:szCs w:val="18"/>
                    </w:rPr>
                    <w:t>Zdroj: MF SR</w:t>
                  </w:r>
                </w:p>
              </w:tc>
            </w:tr>
          </w:tbl>
          <w:p w14:paraId="1986AD1C" w14:textId="77777777" w:rsidR="000F6636" w:rsidRPr="00F119E3" w:rsidRDefault="000F6636" w:rsidP="00484DB0">
            <w:pPr>
              <w:rPr>
                <w:rFonts w:eastAsia="Calibri"/>
                <w:b/>
                <w:color w:val="2C9ADC"/>
                <w:sz w:val="18"/>
                <w:szCs w:val="18"/>
              </w:rPr>
            </w:pPr>
          </w:p>
          <w:p w14:paraId="5EABCF81" w14:textId="77777777" w:rsidR="000F6636" w:rsidRPr="00F119E3" w:rsidRDefault="000F6636" w:rsidP="00484DB0">
            <w:pPr>
              <w:rPr>
                <w:rFonts w:eastAsia="Calibri"/>
                <w:b/>
                <w:color w:val="2C9ADC"/>
                <w:sz w:val="20"/>
                <w:szCs w:val="20"/>
              </w:rPr>
            </w:pPr>
            <w:bookmarkStart w:id="258" w:name="_Toc71622461"/>
            <w:r w:rsidRPr="00F119E3">
              <w:rPr>
                <w:rFonts w:eastAsia="Calibri"/>
                <w:b/>
                <w:color w:val="2C9ADC"/>
                <w:sz w:val="20"/>
                <w:szCs w:val="20"/>
              </w:rPr>
              <w:t>Tabuľka 2a – Vývoj rozpočtov verejnej správy</w:t>
            </w:r>
            <w:bookmarkEnd w:id="250"/>
            <w:bookmarkEnd w:id="251"/>
            <w:bookmarkEnd w:id="258"/>
          </w:p>
        </w:tc>
      </w:tr>
      <w:tr w:rsidR="000F6636" w:rsidRPr="00F119E3" w14:paraId="7687551C" w14:textId="77777777" w:rsidTr="00484DB0">
        <w:trPr>
          <w:gridAfter w:val="3"/>
          <w:wAfter w:w="524" w:type="dxa"/>
          <w:trHeight w:val="279"/>
        </w:trPr>
        <w:tc>
          <w:tcPr>
            <w:tcW w:w="3540" w:type="dxa"/>
            <w:gridSpan w:val="3"/>
            <w:tcBorders>
              <w:top w:val="single" w:sz="8" w:space="0" w:color="auto"/>
              <w:left w:val="nil"/>
              <w:bottom w:val="nil"/>
              <w:right w:val="nil"/>
            </w:tcBorders>
            <w:shd w:val="clear" w:color="auto" w:fill="auto"/>
            <w:hideMark/>
          </w:tcPr>
          <w:p w14:paraId="5E2ADC9C" w14:textId="77777777" w:rsidR="000F6636" w:rsidRPr="00F119E3" w:rsidRDefault="000F6636" w:rsidP="00484DB0">
            <w:pPr>
              <w:rPr>
                <w:rFonts w:cs="Times New Roman"/>
                <w:sz w:val="18"/>
                <w:szCs w:val="18"/>
              </w:rPr>
            </w:pPr>
            <w:r w:rsidRPr="00F119E3">
              <w:rPr>
                <w:rFonts w:cs="Times New Roman"/>
                <w:sz w:val="18"/>
                <w:szCs w:val="18"/>
              </w:rPr>
              <w:lastRenderedPageBreak/>
              <w:t> </w:t>
            </w:r>
          </w:p>
        </w:tc>
        <w:tc>
          <w:tcPr>
            <w:tcW w:w="933" w:type="dxa"/>
            <w:gridSpan w:val="2"/>
            <w:vMerge w:val="restart"/>
            <w:tcBorders>
              <w:top w:val="single" w:sz="8" w:space="0" w:color="auto"/>
              <w:left w:val="nil"/>
              <w:right w:val="nil"/>
            </w:tcBorders>
            <w:shd w:val="clear" w:color="auto" w:fill="auto"/>
            <w:vAlign w:val="center"/>
            <w:hideMark/>
          </w:tcPr>
          <w:p w14:paraId="2D5E2278" w14:textId="77777777" w:rsidR="000F6636" w:rsidRPr="00F119E3" w:rsidRDefault="000F6636" w:rsidP="00484DB0">
            <w:pPr>
              <w:jc w:val="center"/>
              <w:rPr>
                <w:rFonts w:cs="Times New Roman"/>
                <w:sz w:val="18"/>
                <w:szCs w:val="18"/>
              </w:rPr>
            </w:pPr>
            <w:r w:rsidRPr="00F119E3">
              <w:rPr>
                <w:rFonts w:cs="Times New Roman"/>
                <w:sz w:val="18"/>
                <w:szCs w:val="18"/>
              </w:rPr>
              <w:t>ESA kód</w:t>
            </w:r>
          </w:p>
        </w:tc>
        <w:tc>
          <w:tcPr>
            <w:tcW w:w="845" w:type="dxa"/>
            <w:gridSpan w:val="2"/>
            <w:tcBorders>
              <w:top w:val="single" w:sz="8" w:space="0" w:color="auto"/>
              <w:left w:val="nil"/>
              <w:bottom w:val="nil"/>
              <w:right w:val="nil"/>
            </w:tcBorders>
            <w:shd w:val="clear" w:color="auto" w:fill="auto"/>
            <w:hideMark/>
          </w:tcPr>
          <w:p w14:paraId="0F5D16A3" w14:textId="77777777" w:rsidR="000F6636" w:rsidRPr="00F119E3" w:rsidRDefault="000F6636" w:rsidP="00484DB0">
            <w:pPr>
              <w:jc w:val="center"/>
              <w:rPr>
                <w:rFonts w:cs="Times New Roman"/>
                <w:b/>
                <w:bCs/>
                <w:sz w:val="18"/>
                <w:szCs w:val="18"/>
              </w:rPr>
            </w:pPr>
            <w:r w:rsidRPr="00F119E3">
              <w:rPr>
                <w:b/>
                <w:bCs/>
                <w:sz w:val="18"/>
                <w:szCs w:val="18"/>
              </w:rPr>
              <w:t>2023</w:t>
            </w:r>
          </w:p>
        </w:tc>
        <w:tc>
          <w:tcPr>
            <w:tcW w:w="795" w:type="dxa"/>
            <w:gridSpan w:val="3"/>
            <w:tcBorders>
              <w:top w:val="single" w:sz="8" w:space="0" w:color="auto"/>
              <w:left w:val="nil"/>
              <w:bottom w:val="nil"/>
              <w:right w:val="nil"/>
            </w:tcBorders>
            <w:shd w:val="clear" w:color="auto" w:fill="auto"/>
            <w:vAlign w:val="center"/>
            <w:hideMark/>
          </w:tcPr>
          <w:p w14:paraId="013A11CF" w14:textId="77777777" w:rsidR="000F6636" w:rsidRPr="00F119E3" w:rsidRDefault="000F6636" w:rsidP="00484DB0">
            <w:pPr>
              <w:jc w:val="center"/>
              <w:rPr>
                <w:rFonts w:cs="Times New Roman"/>
                <w:b/>
                <w:bCs/>
                <w:sz w:val="18"/>
                <w:szCs w:val="18"/>
              </w:rPr>
            </w:pPr>
            <w:r w:rsidRPr="00F119E3">
              <w:rPr>
                <w:b/>
                <w:bCs/>
                <w:color w:val="000000"/>
                <w:sz w:val="18"/>
                <w:szCs w:val="18"/>
              </w:rPr>
              <w:t>2023</w:t>
            </w:r>
          </w:p>
        </w:tc>
        <w:tc>
          <w:tcPr>
            <w:tcW w:w="872" w:type="dxa"/>
            <w:gridSpan w:val="2"/>
            <w:tcBorders>
              <w:top w:val="single" w:sz="8" w:space="0" w:color="auto"/>
              <w:left w:val="nil"/>
              <w:bottom w:val="nil"/>
              <w:right w:val="nil"/>
            </w:tcBorders>
            <w:shd w:val="clear" w:color="auto" w:fill="auto"/>
            <w:vAlign w:val="center"/>
            <w:hideMark/>
          </w:tcPr>
          <w:p w14:paraId="2BC9D438" w14:textId="77777777" w:rsidR="000F6636" w:rsidRPr="00F119E3" w:rsidRDefault="000F6636" w:rsidP="00484DB0">
            <w:pPr>
              <w:jc w:val="center"/>
              <w:rPr>
                <w:rFonts w:cs="Times New Roman"/>
                <w:b/>
                <w:bCs/>
                <w:sz w:val="18"/>
                <w:szCs w:val="18"/>
              </w:rPr>
            </w:pPr>
            <w:r w:rsidRPr="00F119E3">
              <w:rPr>
                <w:b/>
                <w:bCs/>
                <w:color w:val="000000"/>
                <w:sz w:val="18"/>
                <w:szCs w:val="18"/>
              </w:rPr>
              <w:t>2024</w:t>
            </w:r>
          </w:p>
        </w:tc>
        <w:tc>
          <w:tcPr>
            <w:tcW w:w="728" w:type="dxa"/>
            <w:gridSpan w:val="3"/>
            <w:tcBorders>
              <w:top w:val="single" w:sz="8" w:space="0" w:color="auto"/>
              <w:left w:val="nil"/>
              <w:bottom w:val="nil"/>
              <w:right w:val="nil"/>
            </w:tcBorders>
            <w:shd w:val="clear" w:color="auto" w:fill="auto"/>
            <w:vAlign w:val="center"/>
            <w:hideMark/>
          </w:tcPr>
          <w:p w14:paraId="78DF2DA7" w14:textId="77777777" w:rsidR="000F6636" w:rsidRPr="00F119E3" w:rsidRDefault="000F6636" w:rsidP="00484DB0">
            <w:pPr>
              <w:jc w:val="center"/>
              <w:rPr>
                <w:rFonts w:cs="Times New Roman"/>
                <w:b/>
                <w:bCs/>
                <w:sz w:val="18"/>
                <w:szCs w:val="18"/>
              </w:rPr>
            </w:pPr>
            <w:r w:rsidRPr="00F119E3">
              <w:rPr>
                <w:b/>
                <w:bCs/>
                <w:color w:val="000000"/>
                <w:sz w:val="18"/>
                <w:szCs w:val="18"/>
              </w:rPr>
              <w:t>2025</w:t>
            </w:r>
          </w:p>
        </w:tc>
        <w:tc>
          <w:tcPr>
            <w:tcW w:w="651" w:type="dxa"/>
            <w:gridSpan w:val="2"/>
            <w:tcBorders>
              <w:top w:val="single" w:sz="8" w:space="0" w:color="auto"/>
              <w:left w:val="nil"/>
              <w:bottom w:val="nil"/>
              <w:right w:val="nil"/>
            </w:tcBorders>
            <w:shd w:val="clear" w:color="auto" w:fill="auto"/>
            <w:vAlign w:val="center"/>
            <w:hideMark/>
          </w:tcPr>
          <w:p w14:paraId="24E745AF" w14:textId="77777777" w:rsidR="000F6636" w:rsidRPr="00F119E3" w:rsidRDefault="000F6636" w:rsidP="00484DB0">
            <w:pPr>
              <w:jc w:val="center"/>
              <w:rPr>
                <w:rFonts w:cs="Times New Roman"/>
                <w:b/>
                <w:bCs/>
                <w:sz w:val="18"/>
                <w:szCs w:val="18"/>
              </w:rPr>
            </w:pPr>
            <w:r w:rsidRPr="00F119E3">
              <w:rPr>
                <w:b/>
                <w:bCs/>
                <w:color w:val="000000"/>
                <w:sz w:val="18"/>
                <w:szCs w:val="18"/>
              </w:rPr>
              <w:t>2026</w:t>
            </w:r>
          </w:p>
        </w:tc>
        <w:tc>
          <w:tcPr>
            <w:tcW w:w="641" w:type="dxa"/>
            <w:tcBorders>
              <w:top w:val="single" w:sz="8" w:space="0" w:color="auto"/>
              <w:left w:val="nil"/>
              <w:bottom w:val="nil"/>
              <w:right w:val="nil"/>
            </w:tcBorders>
            <w:shd w:val="clear" w:color="auto" w:fill="auto"/>
            <w:vAlign w:val="center"/>
            <w:hideMark/>
          </w:tcPr>
          <w:p w14:paraId="57691CEB" w14:textId="77777777" w:rsidR="000F6636" w:rsidRPr="00F119E3" w:rsidRDefault="000F6636" w:rsidP="00484DB0">
            <w:pPr>
              <w:jc w:val="center"/>
              <w:rPr>
                <w:rFonts w:cs="Times New Roman"/>
                <w:b/>
                <w:bCs/>
                <w:sz w:val="18"/>
                <w:szCs w:val="18"/>
              </w:rPr>
            </w:pPr>
            <w:r w:rsidRPr="00F119E3">
              <w:rPr>
                <w:b/>
                <w:bCs/>
                <w:color w:val="000000"/>
                <w:sz w:val="18"/>
                <w:szCs w:val="18"/>
              </w:rPr>
              <w:t>2027</w:t>
            </w:r>
          </w:p>
        </w:tc>
      </w:tr>
      <w:tr w:rsidR="000F6636" w:rsidRPr="00F119E3" w14:paraId="528B2A83" w14:textId="77777777" w:rsidTr="00484DB0">
        <w:trPr>
          <w:gridAfter w:val="3"/>
          <w:wAfter w:w="524" w:type="dxa"/>
          <w:trHeight w:val="279"/>
        </w:trPr>
        <w:tc>
          <w:tcPr>
            <w:tcW w:w="3540" w:type="dxa"/>
            <w:gridSpan w:val="3"/>
            <w:tcBorders>
              <w:top w:val="nil"/>
              <w:left w:val="nil"/>
              <w:bottom w:val="single" w:sz="4" w:space="0" w:color="auto"/>
              <w:right w:val="nil"/>
            </w:tcBorders>
            <w:shd w:val="clear" w:color="auto" w:fill="auto"/>
            <w:hideMark/>
          </w:tcPr>
          <w:p w14:paraId="40D90909" w14:textId="77777777" w:rsidR="000F6636" w:rsidRPr="00F119E3" w:rsidRDefault="000F6636" w:rsidP="00484DB0">
            <w:pPr>
              <w:tabs>
                <w:tab w:val="left" w:pos="2500"/>
              </w:tabs>
              <w:rPr>
                <w:rFonts w:cs="Times New Roman"/>
                <w:sz w:val="18"/>
                <w:szCs w:val="18"/>
              </w:rPr>
            </w:pPr>
            <w:r w:rsidRPr="00F119E3">
              <w:rPr>
                <w:rFonts w:cs="Times New Roman"/>
                <w:sz w:val="18"/>
                <w:szCs w:val="18"/>
              </w:rPr>
              <w:t> </w:t>
            </w:r>
            <w:r w:rsidRPr="00F119E3">
              <w:rPr>
                <w:rFonts w:cs="Times New Roman"/>
                <w:sz w:val="18"/>
                <w:szCs w:val="18"/>
              </w:rPr>
              <w:tab/>
            </w:r>
          </w:p>
        </w:tc>
        <w:tc>
          <w:tcPr>
            <w:tcW w:w="933" w:type="dxa"/>
            <w:gridSpan w:val="2"/>
            <w:vMerge/>
            <w:tcBorders>
              <w:left w:val="nil"/>
              <w:bottom w:val="single" w:sz="4" w:space="0" w:color="auto"/>
              <w:right w:val="nil"/>
            </w:tcBorders>
            <w:shd w:val="clear" w:color="auto" w:fill="auto"/>
            <w:vAlign w:val="center"/>
            <w:hideMark/>
          </w:tcPr>
          <w:p w14:paraId="613C6D78" w14:textId="77777777" w:rsidR="000F6636" w:rsidRPr="00F119E3" w:rsidRDefault="000F6636" w:rsidP="00484DB0">
            <w:pPr>
              <w:rPr>
                <w:rFonts w:cs="Times New Roman"/>
                <w:sz w:val="18"/>
                <w:szCs w:val="18"/>
              </w:rPr>
            </w:pPr>
          </w:p>
        </w:tc>
        <w:tc>
          <w:tcPr>
            <w:tcW w:w="845" w:type="dxa"/>
            <w:gridSpan w:val="2"/>
            <w:tcBorders>
              <w:top w:val="nil"/>
              <w:left w:val="nil"/>
              <w:bottom w:val="single" w:sz="4" w:space="0" w:color="auto"/>
              <w:right w:val="nil"/>
            </w:tcBorders>
            <w:shd w:val="clear" w:color="auto" w:fill="auto"/>
            <w:hideMark/>
          </w:tcPr>
          <w:p w14:paraId="66406E35" w14:textId="77777777" w:rsidR="000F6636" w:rsidRPr="00F119E3" w:rsidRDefault="000F6636" w:rsidP="00484DB0">
            <w:pPr>
              <w:jc w:val="center"/>
              <w:rPr>
                <w:rFonts w:cs="Times New Roman"/>
                <w:sz w:val="18"/>
                <w:szCs w:val="18"/>
              </w:rPr>
            </w:pPr>
            <w:r w:rsidRPr="00F119E3">
              <w:rPr>
                <w:sz w:val="18"/>
                <w:szCs w:val="18"/>
              </w:rPr>
              <w:t>level</w:t>
            </w:r>
          </w:p>
        </w:tc>
        <w:tc>
          <w:tcPr>
            <w:tcW w:w="795" w:type="dxa"/>
            <w:gridSpan w:val="3"/>
            <w:tcBorders>
              <w:top w:val="nil"/>
              <w:left w:val="nil"/>
              <w:bottom w:val="single" w:sz="4" w:space="0" w:color="auto"/>
              <w:right w:val="nil"/>
            </w:tcBorders>
            <w:shd w:val="clear" w:color="auto" w:fill="auto"/>
            <w:hideMark/>
          </w:tcPr>
          <w:p w14:paraId="50D0CA62" w14:textId="77777777" w:rsidR="000F6636" w:rsidRPr="00F119E3" w:rsidRDefault="000F6636" w:rsidP="00484DB0">
            <w:pPr>
              <w:jc w:val="center"/>
              <w:rPr>
                <w:rFonts w:cs="Times New Roman"/>
                <w:sz w:val="18"/>
                <w:szCs w:val="18"/>
              </w:rPr>
            </w:pPr>
            <w:r w:rsidRPr="00F119E3">
              <w:rPr>
                <w:sz w:val="18"/>
                <w:szCs w:val="18"/>
              </w:rPr>
              <w:t>% HDP</w:t>
            </w:r>
          </w:p>
        </w:tc>
        <w:tc>
          <w:tcPr>
            <w:tcW w:w="872" w:type="dxa"/>
            <w:gridSpan w:val="2"/>
            <w:tcBorders>
              <w:top w:val="nil"/>
              <w:left w:val="nil"/>
              <w:bottom w:val="single" w:sz="4" w:space="0" w:color="auto"/>
              <w:right w:val="nil"/>
            </w:tcBorders>
            <w:shd w:val="clear" w:color="auto" w:fill="auto"/>
            <w:hideMark/>
          </w:tcPr>
          <w:p w14:paraId="74F0F75A" w14:textId="77777777" w:rsidR="000F6636" w:rsidRPr="00F119E3" w:rsidRDefault="000F6636" w:rsidP="00484DB0">
            <w:pPr>
              <w:jc w:val="center"/>
              <w:rPr>
                <w:rFonts w:cs="Times New Roman"/>
                <w:sz w:val="18"/>
                <w:szCs w:val="18"/>
              </w:rPr>
            </w:pPr>
            <w:r w:rsidRPr="00F119E3">
              <w:rPr>
                <w:sz w:val="18"/>
                <w:szCs w:val="18"/>
              </w:rPr>
              <w:t>% HDP</w:t>
            </w:r>
          </w:p>
        </w:tc>
        <w:tc>
          <w:tcPr>
            <w:tcW w:w="728" w:type="dxa"/>
            <w:gridSpan w:val="3"/>
            <w:tcBorders>
              <w:top w:val="nil"/>
              <w:left w:val="nil"/>
              <w:bottom w:val="single" w:sz="4" w:space="0" w:color="auto"/>
              <w:right w:val="nil"/>
            </w:tcBorders>
            <w:shd w:val="clear" w:color="auto" w:fill="auto"/>
            <w:hideMark/>
          </w:tcPr>
          <w:p w14:paraId="5B4E2B29" w14:textId="77777777" w:rsidR="000F6636" w:rsidRPr="00F119E3" w:rsidRDefault="000F6636" w:rsidP="00484DB0">
            <w:pPr>
              <w:jc w:val="center"/>
              <w:rPr>
                <w:rFonts w:cs="Times New Roman"/>
                <w:sz w:val="18"/>
                <w:szCs w:val="18"/>
              </w:rPr>
            </w:pPr>
            <w:r w:rsidRPr="00F119E3">
              <w:rPr>
                <w:sz w:val="18"/>
                <w:szCs w:val="18"/>
              </w:rPr>
              <w:t>% HDP</w:t>
            </w:r>
          </w:p>
        </w:tc>
        <w:tc>
          <w:tcPr>
            <w:tcW w:w="651" w:type="dxa"/>
            <w:gridSpan w:val="2"/>
            <w:tcBorders>
              <w:top w:val="nil"/>
              <w:left w:val="nil"/>
              <w:bottom w:val="single" w:sz="4" w:space="0" w:color="auto"/>
              <w:right w:val="nil"/>
            </w:tcBorders>
            <w:shd w:val="clear" w:color="auto" w:fill="auto"/>
            <w:hideMark/>
          </w:tcPr>
          <w:p w14:paraId="60DA9A49" w14:textId="77777777" w:rsidR="000F6636" w:rsidRPr="00F119E3" w:rsidRDefault="000F6636" w:rsidP="00484DB0">
            <w:pPr>
              <w:jc w:val="center"/>
              <w:rPr>
                <w:rFonts w:cs="Times New Roman"/>
                <w:sz w:val="18"/>
                <w:szCs w:val="18"/>
              </w:rPr>
            </w:pPr>
            <w:r w:rsidRPr="00F119E3">
              <w:rPr>
                <w:sz w:val="18"/>
                <w:szCs w:val="18"/>
              </w:rPr>
              <w:t>% HDP</w:t>
            </w:r>
          </w:p>
        </w:tc>
        <w:tc>
          <w:tcPr>
            <w:tcW w:w="641" w:type="dxa"/>
            <w:tcBorders>
              <w:top w:val="nil"/>
              <w:left w:val="nil"/>
              <w:bottom w:val="single" w:sz="4" w:space="0" w:color="auto"/>
              <w:right w:val="nil"/>
            </w:tcBorders>
            <w:shd w:val="clear" w:color="auto" w:fill="auto"/>
            <w:hideMark/>
          </w:tcPr>
          <w:p w14:paraId="3D5DCCEB" w14:textId="77777777" w:rsidR="000F6636" w:rsidRPr="00F119E3" w:rsidRDefault="000F6636" w:rsidP="00484DB0">
            <w:pPr>
              <w:jc w:val="center"/>
              <w:rPr>
                <w:rFonts w:cs="Times New Roman"/>
                <w:sz w:val="18"/>
                <w:szCs w:val="18"/>
              </w:rPr>
            </w:pPr>
            <w:r w:rsidRPr="00F119E3">
              <w:rPr>
                <w:sz w:val="18"/>
                <w:szCs w:val="18"/>
              </w:rPr>
              <w:t>%HDP</w:t>
            </w:r>
          </w:p>
        </w:tc>
      </w:tr>
      <w:tr w:rsidR="000F6636" w:rsidRPr="00F119E3" w14:paraId="2CDF0636" w14:textId="77777777" w:rsidTr="00484DB0">
        <w:trPr>
          <w:gridAfter w:val="3"/>
          <w:wAfter w:w="524" w:type="dxa"/>
          <w:trHeight w:val="279"/>
        </w:trPr>
        <w:tc>
          <w:tcPr>
            <w:tcW w:w="9005" w:type="dxa"/>
            <w:gridSpan w:val="18"/>
            <w:tcBorders>
              <w:top w:val="single" w:sz="4" w:space="0" w:color="auto"/>
              <w:left w:val="nil"/>
              <w:bottom w:val="single" w:sz="6" w:space="0" w:color="auto"/>
              <w:right w:val="nil"/>
            </w:tcBorders>
            <w:shd w:val="clear" w:color="auto" w:fill="auto"/>
            <w:vAlign w:val="center"/>
            <w:hideMark/>
          </w:tcPr>
          <w:p w14:paraId="3FEAC6F2" w14:textId="77777777" w:rsidR="000F6636" w:rsidRPr="00F119E3" w:rsidRDefault="000F6636" w:rsidP="00484DB0">
            <w:pPr>
              <w:jc w:val="center"/>
              <w:rPr>
                <w:rFonts w:cs="Times New Roman"/>
                <w:b/>
                <w:bCs/>
                <w:sz w:val="18"/>
                <w:szCs w:val="18"/>
              </w:rPr>
            </w:pPr>
            <w:r w:rsidRPr="00F119E3">
              <w:rPr>
                <w:rFonts w:cs="Times New Roman"/>
                <w:b/>
                <w:bCs/>
                <w:sz w:val="18"/>
                <w:szCs w:val="18"/>
              </w:rPr>
              <w:t>Čisté pôžičky (B.9) podsektorov verejnej správy</w:t>
            </w:r>
          </w:p>
        </w:tc>
      </w:tr>
      <w:tr w:rsidR="000F6636" w:rsidRPr="00F119E3" w14:paraId="4625CB03" w14:textId="77777777" w:rsidTr="00484DB0">
        <w:trPr>
          <w:gridAfter w:val="3"/>
          <w:wAfter w:w="524" w:type="dxa"/>
          <w:trHeight w:val="279"/>
        </w:trPr>
        <w:tc>
          <w:tcPr>
            <w:tcW w:w="3540" w:type="dxa"/>
            <w:gridSpan w:val="3"/>
            <w:tcBorders>
              <w:top w:val="single" w:sz="6" w:space="0" w:color="auto"/>
              <w:left w:val="nil"/>
              <w:bottom w:val="nil"/>
              <w:right w:val="nil"/>
            </w:tcBorders>
            <w:shd w:val="clear" w:color="auto" w:fill="auto"/>
            <w:vAlign w:val="center"/>
            <w:hideMark/>
          </w:tcPr>
          <w:p w14:paraId="02FE065C" w14:textId="77777777" w:rsidR="000F6636" w:rsidRPr="00F119E3" w:rsidRDefault="000F6636" w:rsidP="00484DB0">
            <w:pPr>
              <w:rPr>
                <w:rFonts w:cs="Times New Roman"/>
                <w:sz w:val="18"/>
                <w:szCs w:val="18"/>
              </w:rPr>
            </w:pPr>
            <w:r w:rsidRPr="00F119E3">
              <w:rPr>
                <w:rFonts w:cs="Times New Roman"/>
                <w:sz w:val="18"/>
                <w:szCs w:val="18"/>
              </w:rPr>
              <w:t>1. Verejná správa</w:t>
            </w:r>
          </w:p>
        </w:tc>
        <w:tc>
          <w:tcPr>
            <w:tcW w:w="933" w:type="dxa"/>
            <w:gridSpan w:val="2"/>
            <w:tcBorders>
              <w:top w:val="single" w:sz="6" w:space="0" w:color="auto"/>
              <w:left w:val="nil"/>
              <w:bottom w:val="nil"/>
              <w:right w:val="nil"/>
            </w:tcBorders>
            <w:shd w:val="clear" w:color="auto" w:fill="auto"/>
            <w:vAlign w:val="center"/>
            <w:hideMark/>
          </w:tcPr>
          <w:p w14:paraId="6646A87F" w14:textId="77777777" w:rsidR="000F6636" w:rsidRPr="00F119E3" w:rsidRDefault="000F6636" w:rsidP="00484DB0">
            <w:pPr>
              <w:jc w:val="center"/>
              <w:rPr>
                <w:rFonts w:cs="Times New Roman"/>
                <w:sz w:val="18"/>
                <w:szCs w:val="18"/>
              </w:rPr>
            </w:pPr>
            <w:r w:rsidRPr="00F119E3">
              <w:rPr>
                <w:rFonts w:cs="Times New Roman"/>
                <w:sz w:val="18"/>
                <w:szCs w:val="18"/>
              </w:rPr>
              <w:t>S.13</w:t>
            </w:r>
          </w:p>
        </w:tc>
        <w:tc>
          <w:tcPr>
            <w:tcW w:w="845" w:type="dxa"/>
            <w:gridSpan w:val="2"/>
            <w:tcBorders>
              <w:top w:val="nil"/>
              <w:left w:val="nil"/>
              <w:bottom w:val="nil"/>
              <w:right w:val="nil"/>
            </w:tcBorders>
            <w:shd w:val="clear" w:color="auto" w:fill="auto"/>
            <w:vAlign w:val="center"/>
          </w:tcPr>
          <w:p w14:paraId="3FBB0F5E" w14:textId="77777777" w:rsidR="000F6636" w:rsidRPr="00F119E3" w:rsidRDefault="000F6636" w:rsidP="00484DB0">
            <w:pPr>
              <w:jc w:val="center"/>
              <w:rPr>
                <w:rFonts w:cs="Times New Roman"/>
                <w:sz w:val="18"/>
                <w:szCs w:val="18"/>
              </w:rPr>
            </w:pPr>
            <w:r w:rsidRPr="00F119E3">
              <w:rPr>
                <w:sz w:val="18"/>
                <w:szCs w:val="18"/>
              </w:rPr>
              <w:t>-6 010</w:t>
            </w:r>
          </w:p>
        </w:tc>
        <w:tc>
          <w:tcPr>
            <w:tcW w:w="795" w:type="dxa"/>
            <w:gridSpan w:val="3"/>
            <w:tcBorders>
              <w:top w:val="nil"/>
              <w:left w:val="nil"/>
              <w:bottom w:val="nil"/>
              <w:right w:val="nil"/>
            </w:tcBorders>
            <w:shd w:val="clear" w:color="auto" w:fill="auto"/>
            <w:vAlign w:val="center"/>
          </w:tcPr>
          <w:p w14:paraId="064963F7" w14:textId="77777777" w:rsidR="000F6636" w:rsidRPr="00F119E3" w:rsidRDefault="000F6636" w:rsidP="00484DB0">
            <w:pPr>
              <w:jc w:val="center"/>
              <w:rPr>
                <w:rFonts w:cs="Times New Roman"/>
                <w:sz w:val="18"/>
                <w:szCs w:val="18"/>
              </w:rPr>
            </w:pPr>
            <w:r w:rsidRPr="00F119E3">
              <w:rPr>
                <w:sz w:val="18"/>
                <w:szCs w:val="18"/>
              </w:rPr>
              <w:t>-4,9</w:t>
            </w:r>
          </w:p>
        </w:tc>
        <w:tc>
          <w:tcPr>
            <w:tcW w:w="872" w:type="dxa"/>
            <w:gridSpan w:val="2"/>
            <w:tcBorders>
              <w:top w:val="nil"/>
              <w:left w:val="nil"/>
              <w:bottom w:val="nil"/>
              <w:right w:val="nil"/>
            </w:tcBorders>
            <w:shd w:val="clear" w:color="auto" w:fill="auto"/>
            <w:vAlign w:val="center"/>
          </w:tcPr>
          <w:p w14:paraId="488CB3E7" w14:textId="77777777" w:rsidR="000F6636" w:rsidRPr="00F119E3" w:rsidRDefault="000F6636" w:rsidP="00484DB0">
            <w:pPr>
              <w:jc w:val="center"/>
              <w:rPr>
                <w:rFonts w:cs="Times New Roman"/>
                <w:sz w:val="18"/>
                <w:szCs w:val="18"/>
              </w:rPr>
            </w:pPr>
            <w:r w:rsidRPr="00F119E3">
              <w:rPr>
                <w:sz w:val="18"/>
                <w:szCs w:val="18"/>
              </w:rPr>
              <w:t>-5,9</w:t>
            </w:r>
          </w:p>
        </w:tc>
        <w:tc>
          <w:tcPr>
            <w:tcW w:w="728" w:type="dxa"/>
            <w:gridSpan w:val="3"/>
            <w:tcBorders>
              <w:top w:val="nil"/>
              <w:left w:val="nil"/>
              <w:bottom w:val="nil"/>
              <w:right w:val="nil"/>
            </w:tcBorders>
            <w:shd w:val="clear" w:color="auto" w:fill="auto"/>
            <w:vAlign w:val="center"/>
          </w:tcPr>
          <w:p w14:paraId="58DE6F19" w14:textId="77777777" w:rsidR="000F6636" w:rsidRPr="00F119E3" w:rsidRDefault="000F6636" w:rsidP="00484DB0">
            <w:pPr>
              <w:jc w:val="center"/>
              <w:rPr>
                <w:rFonts w:cs="Times New Roman"/>
                <w:sz w:val="18"/>
                <w:szCs w:val="18"/>
              </w:rPr>
            </w:pPr>
            <w:r w:rsidRPr="00F119E3">
              <w:rPr>
                <w:sz w:val="18"/>
                <w:szCs w:val="18"/>
              </w:rPr>
              <w:t>-5,4</w:t>
            </w:r>
          </w:p>
        </w:tc>
        <w:tc>
          <w:tcPr>
            <w:tcW w:w="651" w:type="dxa"/>
            <w:gridSpan w:val="2"/>
            <w:tcBorders>
              <w:top w:val="nil"/>
              <w:left w:val="nil"/>
              <w:bottom w:val="nil"/>
              <w:right w:val="nil"/>
            </w:tcBorders>
            <w:shd w:val="clear" w:color="auto" w:fill="auto"/>
            <w:vAlign w:val="center"/>
          </w:tcPr>
          <w:p w14:paraId="6858E52D" w14:textId="77777777" w:rsidR="000F6636" w:rsidRPr="00F119E3" w:rsidRDefault="000F6636" w:rsidP="00484DB0">
            <w:pPr>
              <w:jc w:val="center"/>
              <w:rPr>
                <w:rFonts w:cs="Times New Roman"/>
                <w:sz w:val="18"/>
                <w:szCs w:val="18"/>
              </w:rPr>
            </w:pPr>
            <w:r w:rsidRPr="00F119E3">
              <w:rPr>
                <w:sz w:val="18"/>
                <w:szCs w:val="18"/>
              </w:rPr>
              <w:t>-5,2</w:t>
            </w:r>
          </w:p>
        </w:tc>
        <w:tc>
          <w:tcPr>
            <w:tcW w:w="641" w:type="dxa"/>
            <w:tcBorders>
              <w:top w:val="nil"/>
              <w:left w:val="nil"/>
              <w:bottom w:val="nil"/>
              <w:right w:val="nil"/>
            </w:tcBorders>
            <w:shd w:val="clear" w:color="auto" w:fill="auto"/>
            <w:vAlign w:val="center"/>
          </w:tcPr>
          <w:p w14:paraId="355CDA0C" w14:textId="77777777" w:rsidR="000F6636" w:rsidRPr="00F119E3" w:rsidRDefault="000F6636" w:rsidP="00484DB0">
            <w:pPr>
              <w:jc w:val="center"/>
              <w:rPr>
                <w:rFonts w:cs="Times New Roman"/>
                <w:sz w:val="18"/>
                <w:szCs w:val="18"/>
              </w:rPr>
            </w:pPr>
            <w:r w:rsidRPr="00F119E3">
              <w:rPr>
                <w:sz w:val="18"/>
                <w:szCs w:val="18"/>
              </w:rPr>
              <w:t>-5,5</w:t>
            </w:r>
          </w:p>
        </w:tc>
      </w:tr>
      <w:tr w:rsidR="000F6636" w:rsidRPr="00F119E3" w14:paraId="11E43A64"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32EA04F6" w14:textId="77777777" w:rsidR="000F6636" w:rsidRPr="00F119E3" w:rsidRDefault="000F6636" w:rsidP="00484DB0">
            <w:pPr>
              <w:rPr>
                <w:rFonts w:cs="Times New Roman"/>
                <w:sz w:val="18"/>
                <w:szCs w:val="18"/>
              </w:rPr>
            </w:pPr>
            <w:r w:rsidRPr="00F119E3">
              <w:rPr>
                <w:rFonts w:cs="Times New Roman"/>
                <w:sz w:val="18"/>
                <w:szCs w:val="18"/>
              </w:rPr>
              <w:t>2. Ústredná štátna správa</w:t>
            </w:r>
          </w:p>
        </w:tc>
        <w:tc>
          <w:tcPr>
            <w:tcW w:w="933" w:type="dxa"/>
            <w:gridSpan w:val="2"/>
            <w:tcBorders>
              <w:top w:val="nil"/>
              <w:left w:val="nil"/>
              <w:bottom w:val="nil"/>
              <w:right w:val="nil"/>
            </w:tcBorders>
            <w:shd w:val="clear" w:color="auto" w:fill="auto"/>
            <w:hideMark/>
          </w:tcPr>
          <w:p w14:paraId="56CD2729" w14:textId="77777777" w:rsidR="000F6636" w:rsidRPr="00F119E3" w:rsidRDefault="000F6636" w:rsidP="00484DB0">
            <w:pPr>
              <w:jc w:val="center"/>
              <w:rPr>
                <w:rFonts w:cs="Times New Roman"/>
                <w:sz w:val="18"/>
                <w:szCs w:val="18"/>
              </w:rPr>
            </w:pPr>
            <w:r w:rsidRPr="00F119E3">
              <w:rPr>
                <w:rFonts w:cs="Times New Roman"/>
                <w:sz w:val="18"/>
                <w:szCs w:val="18"/>
              </w:rPr>
              <w:t>S.1311</w:t>
            </w:r>
          </w:p>
        </w:tc>
        <w:tc>
          <w:tcPr>
            <w:tcW w:w="845" w:type="dxa"/>
            <w:gridSpan w:val="2"/>
            <w:tcBorders>
              <w:top w:val="nil"/>
              <w:left w:val="nil"/>
              <w:bottom w:val="nil"/>
              <w:right w:val="nil"/>
            </w:tcBorders>
            <w:shd w:val="clear" w:color="auto" w:fill="auto"/>
            <w:vAlign w:val="center"/>
          </w:tcPr>
          <w:p w14:paraId="176428EA" w14:textId="77777777" w:rsidR="000F6636" w:rsidRPr="00F119E3" w:rsidRDefault="000F6636" w:rsidP="00484DB0">
            <w:pPr>
              <w:jc w:val="center"/>
              <w:rPr>
                <w:rFonts w:cs="Times New Roman"/>
                <w:sz w:val="18"/>
                <w:szCs w:val="18"/>
              </w:rPr>
            </w:pPr>
            <w:r w:rsidRPr="00F119E3">
              <w:rPr>
                <w:sz w:val="18"/>
                <w:szCs w:val="18"/>
              </w:rPr>
              <w:t>-6 382</w:t>
            </w:r>
          </w:p>
        </w:tc>
        <w:tc>
          <w:tcPr>
            <w:tcW w:w="795" w:type="dxa"/>
            <w:gridSpan w:val="3"/>
            <w:tcBorders>
              <w:top w:val="nil"/>
              <w:left w:val="nil"/>
              <w:bottom w:val="nil"/>
              <w:right w:val="nil"/>
            </w:tcBorders>
            <w:shd w:val="clear" w:color="auto" w:fill="auto"/>
            <w:vAlign w:val="center"/>
          </w:tcPr>
          <w:p w14:paraId="78824463" w14:textId="77777777" w:rsidR="000F6636" w:rsidRPr="00F119E3" w:rsidRDefault="000F6636" w:rsidP="00484DB0">
            <w:pPr>
              <w:jc w:val="center"/>
              <w:rPr>
                <w:rFonts w:cs="Times New Roman"/>
                <w:sz w:val="18"/>
                <w:szCs w:val="18"/>
              </w:rPr>
            </w:pPr>
            <w:r w:rsidRPr="00F119E3">
              <w:rPr>
                <w:sz w:val="18"/>
                <w:szCs w:val="18"/>
              </w:rPr>
              <w:t>-5,2</w:t>
            </w:r>
          </w:p>
        </w:tc>
        <w:tc>
          <w:tcPr>
            <w:tcW w:w="872" w:type="dxa"/>
            <w:gridSpan w:val="2"/>
            <w:tcBorders>
              <w:top w:val="nil"/>
              <w:left w:val="nil"/>
              <w:bottom w:val="nil"/>
              <w:right w:val="nil"/>
            </w:tcBorders>
            <w:shd w:val="clear" w:color="auto" w:fill="auto"/>
            <w:vAlign w:val="center"/>
          </w:tcPr>
          <w:p w14:paraId="388690B0" w14:textId="77777777" w:rsidR="000F6636" w:rsidRPr="00F119E3" w:rsidRDefault="000F6636" w:rsidP="00484DB0">
            <w:pPr>
              <w:jc w:val="center"/>
              <w:rPr>
                <w:rFonts w:cs="Times New Roman"/>
                <w:sz w:val="18"/>
                <w:szCs w:val="18"/>
              </w:rPr>
            </w:pPr>
            <w:r w:rsidRPr="00F119E3">
              <w:rPr>
                <w:sz w:val="18"/>
                <w:szCs w:val="18"/>
              </w:rPr>
              <w:t>-5,8</w:t>
            </w:r>
          </w:p>
        </w:tc>
        <w:tc>
          <w:tcPr>
            <w:tcW w:w="728" w:type="dxa"/>
            <w:gridSpan w:val="3"/>
            <w:tcBorders>
              <w:top w:val="nil"/>
              <w:left w:val="nil"/>
              <w:bottom w:val="nil"/>
              <w:right w:val="nil"/>
            </w:tcBorders>
            <w:shd w:val="clear" w:color="auto" w:fill="auto"/>
            <w:vAlign w:val="center"/>
          </w:tcPr>
          <w:p w14:paraId="1D697A32" w14:textId="77777777" w:rsidR="000F6636" w:rsidRPr="00F119E3" w:rsidRDefault="000F6636" w:rsidP="00484DB0">
            <w:pPr>
              <w:jc w:val="center"/>
              <w:rPr>
                <w:rFonts w:cs="Times New Roman"/>
                <w:sz w:val="18"/>
                <w:szCs w:val="18"/>
              </w:rPr>
            </w:pPr>
            <w:r w:rsidRPr="00F119E3">
              <w:rPr>
                <w:sz w:val="18"/>
                <w:szCs w:val="18"/>
              </w:rPr>
              <w:t>-5,4</w:t>
            </w:r>
          </w:p>
        </w:tc>
        <w:tc>
          <w:tcPr>
            <w:tcW w:w="651" w:type="dxa"/>
            <w:gridSpan w:val="2"/>
            <w:tcBorders>
              <w:top w:val="nil"/>
              <w:left w:val="nil"/>
              <w:bottom w:val="nil"/>
              <w:right w:val="nil"/>
            </w:tcBorders>
            <w:shd w:val="clear" w:color="auto" w:fill="auto"/>
            <w:vAlign w:val="center"/>
          </w:tcPr>
          <w:p w14:paraId="728183DD" w14:textId="77777777" w:rsidR="000F6636" w:rsidRPr="00F119E3" w:rsidRDefault="000F6636" w:rsidP="00484DB0">
            <w:pPr>
              <w:jc w:val="center"/>
              <w:rPr>
                <w:rFonts w:cs="Times New Roman"/>
                <w:sz w:val="18"/>
                <w:szCs w:val="18"/>
              </w:rPr>
            </w:pPr>
            <w:r w:rsidRPr="00F119E3">
              <w:rPr>
                <w:sz w:val="18"/>
                <w:szCs w:val="18"/>
              </w:rPr>
              <w:t>-5,6</w:t>
            </w:r>
          </w:p>
        </w:tc>
        <w:tc>
          <w:tcPr>
            <w:tcW w:w="641" w:type="dxa"/>
            <w:tcBorders>
              <w:top w:val="nil"/>
              <w:left w:val="nil"/>
              <w:bottom w:val="nil"/>
              <w:right w:val="nil"/>
            </w:tcBorders>
            <w:shd w:val="clear" w:color="auto" w:fill="auto"/>
            <w:vAlign w:val="center"/>
          </w:tcPr>
          <w:p w14:paraId="6DAC9BDC" w14:textId="77777777" w:rsidR="000F6636" w:rsidRPr="00F119E3" w:rsidRDefault="000F6636" w:rsidP="00484DB0">
            <w:pPr>
              <w:jc w:val="center"/>
              <w:rPr>
                <w:rFonts w:cs="Times New Roman"/>
                <w:sz w:val="18"/>
                <w:szCs w:val="18"/>
              </w:rPr>
            </w:pPr>
            <w:r w:rsidRPr="00F119E3">
              <w:rPr>
                <w:sz w:val="18"/>
                <w:szCs w:val="18"/>
              </w:rPr>
              <w:t>-5,9</w:t>
            </w:r>
          </w:p>
        </w:tc>
      </w:tr>
      <w:tr w:rsidR="000F6636" w:rsidRPr="00F119E3" w14:paraId="43972C47"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7BA0BE5B" w14:textId="77777777" w:rsidR="000F6636" w:rsidRPr="00F119E3" w:rsidRDefault="000F6636" w:rsidP="00484DB0">
            <w:pPr>
              <w:rPr>
                <w:rFonts w:cs="Times New Roman"/>
                <w:sz w:val="18"/>
                <w:szCs w:val="18"/>
              </w:rPr>
            </w:pPr>
            <w:r w:rsidRPr="00F119E3">
              <w:rPr>
                <w:rFonts w:cs="Times New Roman"/>
                <w:sz w:val="18"/>
                <w:szCs w:val="18"/>
              </w:rPr>
              <w:t>3. Regionálna štátna správa</w:t>
            </w:r>
          </w:p>
        </w:tc>
        <w:tc>
          <w:tcPr>
            <w:tcW w:w="933" w:type="dxa"/>
            <w:gridSpan w:val="2"/>
            <w:tcBorders>
              <w:top w:val="nil"/>
              <w:left w:val="nil"/>
              <w:bottom w:val="nil"/>
              <w:right w:val="nil"/>
            </w:tcBorders>
            <w:shd w:val="clear" w:color="auto" w:fill="auto"/>
            <w:hideMark/>
          </w:tcPr>
          <w:p w14:paraId="60B39375" w14:textId="77777777" w:rsidR="000F6636" w:rsidRPr="00F119E3" w:rsidRDefault="000F6636" w:rsidP="00484DB0">
            <w:pPr>
              <w:jc w:val="center"/>
              <w:rPr>
                <w:rFonts w:cs="Times New Roman"/>
                <w:sz w:val="18"/>
                <w:szCs w:val="18"/>
              </w:rPr>
            </w:pPr>
            <w:r w:rsidRPr="00F119E3">
              <w:rPr>
                <w:rFonts w:cs="Times New Roman"/>
                <w:sz w:val="18"/>
                <w:szCs w:val="18"/>
              </w:rPr>
              <w:t>S.1312</w:t>
            </w:r>
          </w:p>
        </w:tc>
        <w:tc>
          <w:tcPr>
            <w:tcW w:w="845" w:type="dxa"/>
            <w:gridSpan w:val="2"/>
            <w:tcBorders>
              <w:top w:val="nil"/>
              <w:left w:val="nil"/>
              <w:bottom w:val="nil"/>
              <w:right w:val="nil"/>
            </w:tcBorders>
            <w:shd w:val="clear" w:color="auto" w:fill="auto"/>
            <w:vAlign w:val="center"/>
          </w:tcPr>
          <w:p w14:paraId="642CC6A5" w14:textId="77777777" w:rsidR="000F6636" w:rsidRPr="00F119E3" w:rsidRDefault="000F6636" w:rsidP="00484DB0">
            <w:pPr>
              <w:jc w:val="center"/>
              <w:rPr>
                <w:rFonts w:cs="Times New Roman"/>
                <w:sz w:val="18"/>
                <w:szCs w:val="18"/>
              </w:rPr>
            </w:pPr>
          </w:p>
        </w:tc>
        <w:tc>
          <w:tcPr>
            <w:tcW w:w="795" w:type="dxa"/>
            <w:gridSpan w:val="3"/>
            <w:tcBorders>
              <w:top w:val="nil"/>
              <w:left w:val="nil"/>
              <w:bottom w:val="nil"/>
              <w:right w:val="nil"/>
            </w:tcBorders>
            <w:shd w:val="clear" w:color="auto" w:fill="auto"/>
            <w:vAlign w:val="center"/>
          </w:tcPr>
          <w:p w14:paraId="24CD8B4C" w14:textId="77777777" w:rsidR="000F6636" w:rsidRPr="00F119E3" w:rsidRDefault="000F6636" w:rsidP="00484DB0">
            <w:pPr>
              <w:jc w:val="center"/>
              <w:rPr>
                <w:rFonts w:cs="Times New Roman"/>
                <w:sz w:val="18"/>
                <w:szCs w:val="18"/>
              </w:rPr>
            </w:pPr>
          </w:p>
        </w:tc>
        <w:tc>
          <w:tcPr>
            <w:tcW w:w="872" w:type="dxa"/>
            <w:gridSpan w:val="2"/>
            <w:tcBorders>
              <w:top w:val="nil"/>
              <w:left w:val="nil"/>
              <w:bottom w:val="nil"/>
              <w:right w:val="nil"/>
            </w:tcBorders>
            <w:shd w:val="clear" w:color="auto" w:fill="auto"/>
            <w:vAlign w:val="center"/>
          </w:tcPr>
          <w:p w14:paraId="7C65B6E6" w14:textId="77777777" w:rsidR="000F6636" w:rsidRPr="00F119E3" w:rsidRDefault="000F6636" w:rsidP="00484DB0">
            <w:pPr>
              <w:jc w:val="center"/>
              <w:rPr>
                <w:rFonts w:cs="Times New Roman"/>
                <w:sz w:val="18"/>
                <w:szCs w:val="18"/>
              </w:rPr>
            </w:pPr>
          </w:p>
        </w:tc>
        <w:tc>
          <w:tcPr>
            <w:tcW w:w="728" w:type="dxa"/>
            <w:gridSpan w:val="3"/>
            <w:tcBorders>
              <w:top w:val="nil"/>
              <w:left w:val="nil"/>
              <w:bottom w:val="nil"/>
              <w:right w:val="nil"/>
            </w:tcBorders>
            <w:shd w:val="clear" w:color="auto" w:fill="auto"/>
            <w:vAlign w:val="center"/>
          </w:tcPr>
          <w:p w14:paraId="6526A304" w14:textId="77777777" w:rsidR="000F6636" w:rsidRPr="00F119E3" w:rsidRDefault="000F6636" w:rsidP="00484DB0">
            <w:pPr>
              <w:jc w:val="center"/>
              <w:rPr>
                <w:rFonts w:cs="Times New Roman"/>
                <w:sz w:val="18"/>
                <w:szCs w:val="18"/>
              </w:rPr>
            </w:pPr>
          </w:p>
        </w:tc>
        <w:tc>
          <w:tcPr>
            <w:tcW w:w="651" w:type="dxa"/>
            <w:gridSpan w:val="2"/>
            <w:tcBorders>
              <w:top w:val="nil"/>
              <w:left w:val="nil"/>
              <w:bottom w:val="nil"/>
              <w:right w:val="nil"/>
            </w:tcBorders>
            <w:shd w:val="clear" w:color="auto" w:fill="auto"/>
            <w:vAlign w:val="center"/>
          </w:tcPr>
          <w:p w14:paraId="1648CE43" w14:textId="77777777" w:rsidR="000F6636" w:rsidRPr="00F119E3" w:rsidRDefault="000F6636" w:rsidP="00484DB0">
            <w:pPr>
              <w:jc w:val="center"/>
              <w:rPr>
                <w:rFonts w:cs="Times New Roman"/>
                <w:sz w:val="18"/>
                <w:szCs w:val="18"/>
              </w:rPr>
            </w:pPr>
          </w:p>
        </w:tc>
        <w:tc>
          <w:tcPr>
            <w:tcW w:w="641" w:type="dxa"/>
            <w:tcBorders>
              <w:top w:val="nil"/>
              <w:left w:val="nil"/>
              <w:bottom w:val="nil"/>
              <w:right w:val="nil"/>
            </w:tcBorders>
            <w:shd w:val="clear" w:color="auto" w:fill="auto"/>
            <w:vAlign w:val="center"/>
          </w:tcPr>
          <w:p w14:paraId="021D92D8" w14:textId="77777777" w:rsidR="000F6636" w:rsidRPr="00F119E3" w:rsidRDefault="000F6636" w:rsidP="00484DB0">
            <w:pPr>
              <w:jc w:val="center"/>
              <w:rPr>
                <w:rFonts w:cs="Times New Roman"/>
                <w:sz w:val="18"/>
                <w:szCs w:val="18"/>
              </w:rPr>
            </w:pPr>
          </w:p>
        </w:tc>
      </w:tr>
      <w:tr w:rsidR="000F6636" w:rsidRPr="00F119E3" w14:paraId="3609D5AC"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198A8866" w14:textId="77777777" w:rsidR="000F6636" w:rsidRPr="00F119E3" w:rsidRDefault="000F6636" w:rsidP="00484DB0">
            <w:pPr>
              <w:rPr>
                <w:rFonts w:cs="Times New Roman"/>
                <w:sz w:val="18"/>
                <w:szCs w:val="18"/>
              </w:rPr>
            </w:pPr>
            <w:r w:rsidRPr="00F119E3">
              <w:rPr>
                <w:rFonts w:cs="Times New Roman"/>
                <w:sz w:val="18"/>
                <w:szCs w:val="18"/>
              </w:rPr>
              <w:t>4. Miestna štátna správa</w:t>
            </w:r>
          </w:p>
        </w:tc>
        <w:tc>
          <w:tcPr>
            <w:tcW w:w="933" w:type="dxa"/>
            <w:gridSpan w:val="2"/>
            <w:tcBorders>
              <w:top w:val="nil"/>
              <w:left w:val="nil"/>
              <w:bottom w:val="nil"/>
              <w:right w:val="nil"/>
            </w:tcBorders>
            <w:shd w:val="clear" w:color="auto" w:fill="auto"/>
            <w:hideMark/>
          </w:tcPr>
          <w:p w14:paraId="729F6B0C" w14:textId="77777777" w:rsidR="000F6636" w:rsidRPr="00F119E3" w:rsidRDefault="000F6636" w:rsidP="00484DB0">
            <w:pPr>
              <w:jc w:val="center"/>
              <w:rPr>
                <w:rFonts w:cs="Times New Roman"/>
                <w:sz w:val="18"/>
                <w:szCs w:val="18"/>
              </w:rPr>
            </w:pPr>
            <w:r w:rsidRPr="00F119E3">
              <w:rPr>
                <w:rFonts w:cs="Times New Roman"/>
                <w:sz w:val="18"/>
                <w:szCs w:val="18"/>
              </w:rPr>
              <w:t>S.1313</w:t>
            </w:r>
          </w:p>
        </w:tc>
        <w:tc>
          <w:tcPr>
            <w:tcW w:w="845" w:type="dxa"/>
            <w:gridSpan w:val="2"/>
            <w:tcBorders>
              <w:top w:val="nil"/>
              <w:left w:val="nil"/>
              <w:bottom w:val="nil"/>
              <w:right w:val="nil"/>
            </w:tcBorders>
            <w:shd w:val="clear" w:color="auto" w:fill="auto"/>
            <w:vAlign w:val="center"/>
          </w:tcPr>
          <w:p w14:paraId="68DA9BD3" w14:textId="77777777" w:rsidR="000F6636" w:rsidRPr="00F119E3" w:rsidRDefault="000F6636" w:rsidP="00484DB0">
            <w:pPr>
              <w:jc w:val="center"/>
              <w:rPr>
                <w:rFonts w:cs="Times New Roman"/>
                <w:sz w:val="18"/>
                <w:szCs w:val="18"/>
              </w:rPr>
            </w:pPr>
            <w:r w:rsidRPr="00F119E3">
              <w:rPr>
                <w:sz w:val="18"/>
                <w:szCs w:val="18"/>
              </w:rPr>
              <w:t>98</w:t>
            </w:r>
          </w:p>
        </w:tc>
        <w:tc>
          <w:tcPr>
            <w:tcW w:w="795" w:type="dxa"/>
            <w:gridSpan w:val="3"/>
            <w:tcBorders>
              <w:top w:val="nil"/>
              <w:left w:val="nil"/>
              <w:bottom w:val="nil"/>
              <w:right w:val="nil"/>
            </w:tcBorders>
            <w:shd w:val="clear" w:color="auto" w:fill="auto"/>
            <w:vAlign w:val="center"/>
          </w:tcPr>
          <w:p w14:paraId="2598E038" w14:textId="77777777" w:rsidR="000F6636" w:rsidRPr="00F119E3" w:rsidRDefault="000F6636" w:rsidP="00484DB0">
            <w:pPr>
              <w:jc w:val="center"/>
              <w:rPr>
                <w:rFonts w:cs="Times New Roman"/>
                <w:sz w:val="18"/>
                <w:szCs w:val="18"/>
              </w:rPr>
            </w:pPr>
            <w:r w:rsidRPr="00F119E3">
              <w:rPr>
                <w:sz w:val="18"/>
                <w:szCs w:val="18"/>
              </w:rPr>
              <w:t>0,1</w:t>
            </w:r>
          </w:p>
        </w:tc>
        <w:tc>
          <w:tcPr>
            <w:tcW w:w="872" w:type="dxa"/>
            <w:gridSpan w:val="2"/>
            <w:tcBorders>
              <w:top w:val="nil"/>
              <w:left w:val="nil"/>
              <w:bottom w:val="nil"/>
              <w:right w:val="nil"/>
            </w:tcBorders>
            <w:shd w:val="clear" w:color="auto" w:fill="auto"/>
            <w:vAlign w:val="center"/>
          </w:tcPr>
          <w:p w14:paraId="74DE93C4" w14:textId="77777777" w:rsidR="000F6636" w:rsidRPr="00F119E3" w:rsidRDefault="000F6636" w:rsidP="00484DB0">
            <w:pPr>
              <w:jc w:val="center"/>
              <w:rPr>
                <w:rFonts w:cs="Times New Roman"/>
                <w:sz w:val="18"/>
                <w:szCs w:val="18"/>
              </w:rPr>
            </w:pPr>
            <w:r w:rsidRPr="00F119E3">
              <w:rPr>
                <w:sz w:val="18"/>
                <w:szCs w:val="18"/>
              </w:rPr>
              <w:t>-0,2</w:t>
            </w:r>
          </w:p>
        </w:tc>
        <w:tc>
          <w:tcPr>
            <w:tcW w:w="728" w:type="dxa"/>
            <w:gridSpan w:val="3"/>
            <w:tcBorders>
              <w:top w:val="nil"/>
              <w:left w:val="nil"/>
              <w:bottom w:val="nil"/>
              <w:right w:val="nil"/>
            </w:tcBorders>
            <w:shd w:val="clear" w:color="auto" w:fill="auto"/>
            <w:vAlign w:val="center"/>
          </w:tcPr>
          <w:p w14:paraId="19D7B4BA" w14:textId="77777777" w:rsidR="000F6636" w:rsidRPr="00F119E3" w:rsidRDefault="000F6636" w:rsidP="00484DB0">
            <w:pPr>
              <w:jc w:val="center"/>
              <w:rPr>
                <w:rFonts w:cs="Times New Roman"/>
                <w:sz w:val="18"/>
                <w:szCs w:val="18"/>
              </w:rPr>
            </w:pPr>
            <w:r w:rsidRPr="00F119E3">
              <w:rPr>
                <w:sz w:val="18"/>
                <w:szCs w:val="18"/>
              </w:rPr>
              <w:t>-0,2</w:t>
            </w:r>
          </w:p>
        </w:tc>
        <w:tc>
          <w:tcPr>
            <w:tcW w:w="651" w:type="dxa"/>
            <w:gridSpan w:val="2"/>
            <w:tcBorders>
              <w:top w:val="nil"/>
              <w:left w:val="nil"/>
              <w:bottom w:val="nil"/>
              <w:right w:val="nil"/>
            </w:tcBorders>
            <w:shd w:val="clear" w:color="auto" w:fill="auto"/>
            <w:vAlign w:val="center"/>
          </w:tcPr>
          <w:p w14:paraId="033CF40E" w14:textId="77777777" w:rsidR="000F6636" w:rsidRPr="00F119E3" w:rsidRDefault="000F6636" w:rsidP="00484DB0">
            <w:pPr>
              <w:jc w:val="center"/>
              <w:rPr>
                <w:rFonts w:cs="Times New Roman"/>
                <w:sz w:val="18"/>
                <w:szCs w:val="18"/>
              </w:rPr>
            </w:pPr>
            <w:r w:rsidRPr="00F119E3">
              <w:rPr>
                <w:sz w:val="18"/>
                <w:szCs w:val="18"/>
              </w:rPr>
              <w:t>0,0</w:t>
            </w:r>
          </w:p>
        </w:tc>
        <w:tc>
          <w:tcPr>
            <w:tcW w:w="641" w:type="dxa"/>
            <w:tcBorders>
              <w:top w:val="nil"/>
              <w:left w:val="nil"/>
              <w:bottom w:val="nil"/>
              <w:right w:val="nil"/>
            </w:tcBorders>
            <w:shd w:val="clear" w:color="auto" w:fill="auto"/>
            <w:vAlign w:val="center"/>
          </w:tcPr>
          <w:p w14:paraId="546B5E34" w14:textId="77777777" w:rsidR="000F6636" w:rsidRPr="00F119E3" w:rsidRDefault="000F6636" w:rsidP="00484DB0">
            <w:pPr>
              <w:jc w:val="center"/>
              <w:rPr>
                <w:rFonts w:cs="Times New Roman"/>
                <w:sz w:val="18"/>
                <w:szCs w:val="18"/>
              </w:rPr>
            </w:pPr>
            <w:r w:rsidRPr="00F119E3">
              <w:rPr>
                <w:sz w:val="18"/>
                <w:szCs w:val="18"/>
              </w:rPr>
              <w:t>0,0</w:t>
            </w:r>
          </w:p>
        </w:tc>
      </w:tr>
      <w:tr w:rsidR="000F6636" w:rsidRPr="00F119E3" w14:paraId="71508B53" w14:textId="77777777" w:rsidTr="00484DB0">
        <w:trPr>
          <w:gridAfter w:val="3"/>
          <w:wAfter w:w="524" w:type="dxa"/>
          <w:trHeight w:val="279"/>
        </w:trPr>
        <w:tc>
          <w:tcPr>
            <w:tcW w:w="3540" w:type="dxa"/>
            <w:gridSpan w:val="3"/>
            <w:tcBorders>
              <w:top w:val="nil"/>
              <w:left w:val="nil"/>
              <w:bottom w:val="single" w:sz="4" w:space="0" w:color="auto"/>
              <w:right w:val="nil"/>
            </w:tcBorders>
            <w:shd w:val="clear" w:color="auto" w:fill="auto"/>
            <w:vAlign w:val="center"/>
            <w:hideMark/>
          </w:tcPr>
          <w:p w14:paraId="3256FDBA" w14:textId="77777777" w:rsidR="000F6636" w:rsidRPr="00F119E3" w:rsidRDefault="000F6636" w:rsidP="00484DB0">
            <w:pPr>
              <w:rPr>
                <w:rFonts w:cs="Times New Roman"/>
                <w:sz w:val="18"/>
                <w:szCs w:val="18"/>
              </w:rPr>
            </w:pPr>
            <w:r w:rsidRPr="00F119E3">
              <w:rPr>
                <w:rFonts w:cs="Times New Roman"/>
                <w:sz w:val="18"/>
                <w:szCs w:val="18"/>
              </w:rPr>
              <w:t>5. Fondy sociálneho zabezpečenia</w:t>
            </w:r>
          </w:p>
        </w:tc>
        <w:tc>
          <w:tcPr>
            <w:tcW w:w="933" w:type="dxa"/>
            <w:gridSpan w:val="2"/>
            <w:tcBorders>
              <w:top w:val="nil"/>
              <w:left w:val="nil"/>
              <w:bottom w:val="single" w:sz="4" w:space="0" w:color="auto"/>
              <w:right w:val="nil"/>
            </w:tcBorders>
            <w:shd w:val="clear" w:color="auto" w:fill="auto"/>
            <w:hideMark/>
          </w:tcPr>
          <w:p w14:paraId="4E50A508" w14:textId="77777777" w:rsidR="000F6636" w:rsidRPr="00F119E3" w:rsidRDefault="000F6636" w:rsidP="00484DB0">
            <w:pPr>
              <w:jc w:val="center"/>
              <w:rPr>
                <w:rFonts w:cs="Times New Roman"/>
                <w:sz w:val="18"/>
                <w:szCs w:val="18"/>
              </w:rPr>
            </w:pPr>
            <w:r w:rsidRPr="00F119E3">
              <w:rPr>
                <w:rFonts w:cs="Times New Roman"/>
                <w:sz w:val="18"/>
                <w:szCs w:val="18"/>
              </w:rPr>
              <w:t>S.1314</w:t>
            </w:r>
          </w:p>
        </w:tc>
        <w:tc>
          <w:tcPr>
            <w:tcW w:w="845" w:type="dxa"/>
            <w:gridSpan w:val="2"/>
            <w:tcBorders>
              <w:top w:val="nil"/>
              <w:left w:val="nil"/>
              <w:bottom w:val="nil"/>
              <w:right w:val="nil"/>
            </w:tcBorders>
            <w:shd w:val="clear" w:color="auto" w:fill="auto"/>
            <w:vAlign w:val="center"/>
          </w:tcPr>
          <w:p w14:paraId="06D8034B" w14:textId="77777777" w:rsidR="000F6636" w:rsidRPr="00F119E3" w:rsidRDefault="000F6636" w:rsidP="00484DB0">
            <w:pPr>
              <w:jc w:val="center"/>
              <w:rPr>
                <w:rFonts w:cs="Times New Roman"/>
                <w:sz w:val="18"/>
                <w:szCs w:val="18"/>
              </w:rPr>
            </w:pPr>
            <w:r w:rsidRPr="00F119E3">
              <w:rPr>
                <w:sz w:val="18"/>
                <w:szCs w:val="18"/>
              </w:rPr>
              <w:t>274</w:t>
            </w:r>
          </w:p>
        </w:tc>
        <w:tc>
          <w:tcPr>
            <w:tcW w:w="795" w:type="dxa"/>
            <w:gridSpan w:val="3"/>
            <w:tcBorders>
              <w:top w:val="nil"/>
              <w:left w:val="nil"/>
              <w:bottom w:val="nil"/>
              <w:right w:val="nil"/>
            </w:tcBorders>
            <w:shd w:val="clear" w:color="auto" w:fill="auto"/>
            <w:vAlign w:val="center"/>
          </w:tcPr>
          <w:p w14:paraId="2803107D" w14:textId="77777777" w:rsidR="000F6636" w:rsidRPr="00F119E3" w:rsidRDefault="000F6636" w:rsidP="00484DB0">
            <w:pPr>
              <w:jc w:val="center"/>
              <w:rPr>
                <w:rFonts w:cs="Times New Roman"/>
                <w:sz w:val="18"/>
                <w:szCs w:val="18"/>
              </w:rPr>
            </w:pPr>
            <w:r w:rsidRPr="00F119E3">
              <w:rPr>
                <w:sz w:val="18"/>
                <w:szCs w:val="18"/>
              </w:rPr>
              <w:t>0,2</w:t>
            </w:r>
          </w:p>
        </w:tc>
        <w:tc>
          <w:tcPr>
            <w:tcW w:w="872" w:type="dxa"/>
            <w:gridSpan w:val="2"/>
            <w:tcBorders>
              <w:top w:val="nil"/>
              <w:left w:val="nil"/>
              <w:bottom w:val="nil"/>
              <w:right w:val="nil"/>
            </w:tcBorders>
            <w:shd w:val="clear" w:color="auto" w:fill="auto"/>
            <w:vAlign w:val="center"/>
          </w:tcPr>
          <w:p w14:paraId="189C66C0" w14:textId="77777777" w:rsidR="000F6636" w:rsidRPr="00F119E3" w:rsidRDefault="000F6636" w:rsidP="00484DB0">
            <w:pPr>
              <w:jc w:val="center"/>
              <w:rPr>
                <w:rFonts w:cs="Times New Roman"/>
                <w:sz w:val="18"/>
                <w:szCs w:val="18"/>
              </w:rPr>
            </w:pPr>
            <w:r w:rsidRPr="00F119E3">
              <w:rPr>
                <w:sz w:val="18"/>
                <w:szCs w:val="18"/>
              </w:rPr>
              <w:t>0,1</w:t>
            </w:r>
          </w:p>
        </w:tc>
        <w:tc>
          <w:tcPr>
            <w:tcW w:w="728" w:type="dxa"/>
            <w:gridSpan w:val="3"/>
            <w:tcBorders>
              <w:top w:val="nil"/>
              <w:left w:val="nil"/>
              <w:bottom w:val="nil"/>
              <w:right w:val="nil"/>
            </w:tcBorders>
            <w:shd w:val="clear" w:color="auto" w:fill="auto"/>
            <w:vAlign w:val="center"/>
          </w:tcPr>
          <w:p w14:paraId="431E9756" w14:textId="77777777" w:rsidR="000F6636" w:rsidRPr="00F119E3" w:rsidRDefault="000F6636" w:rsidP="00484DB0">
            <w:pPr>
              <w:jc w:val="center"/>
              <w:rPr>
                <w:rFonts w:cs="Times New Roman"/>
                <w:sz w:val="18"/>
                <w:szCs w:val="18"/>
              </w:rPr>
            </w:pPr>
            <w:r w:rsidRPr="00F119E3">
              <w:rPr>
                <w:sz w:val="18"/>
                <w:szCs w:val="18"/>
              </w:rPr>
              <w:t>0,2</w:t>
            </w:r>
          </w:p>
        </w:tc>
        <w:tc>
          <w:tcPr>
            <w:tcW w:w="651" w:type="dxa"/>
            <w:gridSpan w:val="2"/>
            <w:tcBorders>
              <w:top w:val="nil"/>
              <w:left w:val="nil"/>
              <w:bottom w:val="nil"/>
              <w:right w:val="nil"/>
            </w:tcBorders>
            <w:shd w:val="clear" w:color="auto" w:fill="auto"/>
            <w:vAlign w:val="center"/>
          </w:tcPr>
          <w:p w14:paraId="07A091F1" w14:textId="77777777" w:rsidR="000F6636" w:rsidRPr="00F119E3" w:rsidRDefault="000F6636" w:rsidP="00484DB0">
            <w:pPr>
              <w:jc w:val="center"/>
              <w:rPr>
                <w:rFonts w:cs="Times New Roman"/>
                <w:sz w:val="18"/>
                <w:szCs w:val="18"/>
              </w:rPr>
            </w:pPr>
            <w:r w:rsidRPr="00F119E3">
              <w:rPr>
                <w:sz w:val="18"/>
                <w:szCs w:val="18"/>
              </w:rPr>
              <w:t>0,4</w:t>
            </w:r>
          </w:p>
        </w:tc>
        <w:tc>
          <w:tcPr>
            <w:tcW w:w="641" w:type="dxa"/>
            <w:tcBorders>
              <w:top w:val="nil"/>
              <w:left w:val="nil"/>
              <w:bottom w:val="single" w:sz="4" w:space="0" w:color="auto"/>
              <w:right w:val="nil"/>
            </w:tcBorders>
            <w:shd w:val="clear" w:color="auto" w:fill="auto"/>
            <w:vAlign w:val="center"/>
          </w:tcPr>
          <w:p w14:paraId="360B79E8" w14:textId="77777777" w:rsidR="000F6636" w:rsidRPr="00F119E3" w:rsidRDefault="000F6636" w:rsidP="00484DB0">
            <w:pPr>
              <w:jc w:val="center"/>
              <w:rPr>
                <w:rFonts w:cs="Times New Roman"/>
                <w:sz w:val="18"/>
                <w:szCs w:val="18"/>
              </w:rPr>
            </w:pPr>
            <w:r w:rsidRPr="00F119E3">
              <w:rPr>
                <w:sz w:val="18"/>
                <w:szCs w:val="18"/>
              </w:rPr>
              <w:t>0,3</w:t>
            </w:r>
          </w:p>
        </w:tc>
      </w:tr>
      <w:tr w:rsidR="000F6636" w:rsidRPr="00F119E3" w14:paraId="5D3BEEBC" w14:textId="77777777" w:rsidTr="00484DB0">
        <w:trPr>
          <w:gridAfter w:val="3"/>
          <w:wAfter w:w="524" w:type="dxa"/>
          <w:trHeight w:val="279"/>
        </w:trPr>
        <w:tc>
          <w:tcPr>
            <w:tcW w:w="9005" w:type="dxa"/>
            <w:gridSpan w:val="18"/>
            <w:tcBorders>
              <w:top w:val="single" w:sz="4" w:space="0" w:color="auto"/>
              <w:left w:val="nil"/>
              <w:bottom w:val="single" w:sz="6" w:space="0" w:color="auto"/>
              <w:right w:val="nil"/>
            </w:tcBorders>
            <w:shd w:val="clear" w:color="auto" w:fill="auto"/>
            <w:vAlign w:val="center"/>
            <w:hideMark/>
          </w:tcPr>
          <w:p w14:paraId="39FDEB62" w14:textId="77777777" w:rsidR="000F6636" w:rsidRPr="00F119E3" w:rsidRDefault="000F6636" w:rsidP="00484DB0">
            <w:pPr>
              <w:jc w:val="center"/>
              <w:rPr>
                <w:rFonts w:cs="Times New Roman"/>
                <w:b/>
                <w:bCs/>
                <w:sz w:val="18"/>
                <w:szCs w:val="18"/>
              </w:rPr>
            </w:pPr>
            <w:r w:rsidRPr="00F119E3">
              <w:rPr>
                <w:rFonts w:cs="Times New Roman"/>
                <w:b/>
                <w:bCs/>
                <w:sz w:val="18"/>
                <w:szCs w:val="18"/>
              </w:rPr>
              <w:t>Verejná správa (S13)</w:t>
            </w:r>
          </w:p>
        </w:tc>
      </w:tr>
      <w:tr w:rsidR="000F6636" w:rsidRPr="00F119E3" w14:paraId="0BBCDB29" w14:textId="77777777" w:rsidTr="00484DB0">
        <w:trPr>
          <w:gridAfter w:val="3"/>
          <w:wAfter w:w="524" w:type="dxa"/>
          <w:trHeight w:val="279"/>
        </w:trPr>
        <w:tc>
          <w:tcPr>
            <w:tcW w:w="3540" w:type="dxa"/>
            <w:gridSpan w:val="3"/>
            <w:tcBorders>
              <w:top w:val="single" w:sz="6" w:space="0" w:color="auto"/>
              <w:left w:val="nil"/>
              <w:bottom w:val="nil"/>
              <w:right w:val="nil"/>
            </w:tcBorders>
            <w:shd w:val="clear" w:color="auto" w:fill="auto"/>
            <w:vAlign w:val="center"/>
            <w:hideMark/>
          </w:tcPr>
          <w:p w14:paraId="5F427DDC" w14:textId="77777777" w:rsidR="000F6636" w:rsidRPr="00F119E3" w:rsidRDefault="000F6636" w:rsidP="00484DB0">
            <w:pPr>
              <w:rPr>
                <w:rFonts w:cs="Times New Roman"/>
                <w:sz w:val="18"/>
                <w:szCs w:val="18"/>
              </w:rPr>
            </w:pPr>
            <w:r w:rsidRPr="00F119E3">
              <w:rPr>
                <w:rFonts w:cs="Times New Roman"/>
                <w:sz w:val="18"/>
                <w:szCs w:val="18"/>
              </w:rPr>
              <w:t>6. Celkové príjmy</w:t>
            </w:r>
          </w:p>
        </w:tc>
        <w:tc>
          <w:tcPr>
            <w:tcW w:w="933" w:type="dxa"/>
            <w:gridSpan w:val="2"/>
            <w:tcBorders>
              <w:top w:val="single" w:sz="6" w:space="0" w:color="auto"/>
              <w:left w:val="nil"/>
              <w:bottom w:val="nil"/>
              <w:right w:val="nil"/>
            </w:tcBorders>
            <w:shd w:val="clear" w:color="auto" w:fill="auto"/>
            <w:vAlign w:val="center"/>
            <w:hideMark/>
          </w:tcPr>
          <w:p w14:paraId="14E3396A" w14:textId="77777777" w:rsidR="000F6636" w:rsidRPr="00F119E3" w:rsidRDefault="000F6636" w:rsidP="00484DB0">
            <w:pPr>
              <w:jc w:val="center"/>
              <w:rPr>
                <w:rFonts w:cs="Times New Roman"/>
                <w:sz w:val="18"/>
                <w:szCs w:val="18"/>
              </w:rPr>
            </w:pPr>
            <w:r w:rsidRPr="00F119E3">
              <w:rPr>
                <w:rFonts w:cs="Times New Roman"/>
                <w:sz w:val="18"/>
                <w:szCs w:val="18"/>
              </w:rPr>
              <w:t>TR</w:t>
            </w:r>
          </w:p>
        </w:tc>
        <w:tc>
          <w:tcPr>
            <w:tcW w:w="845" w:type="dxa"/>
            <w:gridSpan w:val="2"/>
            <w:tcBorders>
              <w:top w:val="nil"/>
              <w:left w:val="nil"/>
              <w:bottom w:val="nil"/>
              <w:right w:val="nil"/>
            </w:tcBorders>
            <w:shd w:val="clear" w:color="auto" w:fill="auto"/>
            <w:vAlign w:val="center"/>
          </w:tcPr>
          <w:p w14:paraId="6C1E5ED6" w14:textId="77777777" w:rsidR="000F6636" w:rsidRPr="00F119E3" w:rsidRDefault="000F6636" w:rsidP="00484DB0">
            <w:pPr>
              <w:jc w:val="center"/>
              <w:rPr>
                <w:rFonts w:cs="Times New Roman"/>
                <w:sz w:val="18"/>
                <w:szCs w:val="18"/>
              </w:rPr>
            </w:pPr>
            <w:r w:rsidRPr="00F119E3">
              <w:rPr>
                <w:sz w:val="18"/>
                <w:szCs w:val="18"/>
              </w:rPr>
              <w:t>52 843</w:t>
            </w:r>
          </w:p>
        </w:tc>
        <w:tc>
          <w:tcPr>
            <w:tcW w:w="795" w:type="dxa"/>
            <w:gridSpan w:val="3"/>
            <w:tcBorders>
              <w:top w:val="nil"/>
              <w:left w:val="nil"/>
              <w:bottom w:val="nil"/>
              <w:right w:val="nil"/>
            </w:tcBorders>
            <w:shd w:val="clear" w:color="auto" w:fill="auto"/>
            <w:vAlign w:val="center"/>
          </w:tcPr>
          <w:p w14:paraId="642934F2" w14:textId="77777777" w:rsidR="000F6636" w:rsidRPr="00F119E3" w:rsidRDefault="000F6636" w:rsidP="00484DB0">
            <w:pPr>
              <w:jc w:val="center"/>
              <w:rPr>
                <w:rFonts w:cs="Times New Roman"/>
                <w:sz w:val="18"/>
                <w:szCs w:val="18"/>
              </w:rPr>
            </w:pPr>
            <w:r w:rsidRPr="00F119E3">
              <w:rPr>
                <w:sz w:val="18"/>
                <w:szCs w:val="18"/>
              </w:rPr>
              <w:t>43,0</w:t>
            </w:r>
          </w:p>
        </w:tc>
        <w:tc>
          <w:tcPr>
            <w:tcW w:w="872" w:type="dxa"/>
            <w:gridSpan w:val="2"/>
            <w:tcBorders>
              <w:top w:val="nil"/>
              <w:left w:val="nil"/>
              <w:bottom w:val="nil"/>
              <w:right w:val="nil"/>
            </w:tcBorders>
            <w:shd w:val="clear" w:color="auto" w:fill="auto"/>
            <w:vAlign w:val="center"/>
          </w:tcPr>
          <w:p w14:paraId="1BE115D6" w14:textId="77777777" w:rsidR="000F6636" w:rsidRPr="00F119E3" w:rsidRDefault="000F6636" w:rsidP="00484DB0">
            <w:pPr>
              <w:jc w:val="center"/>
              <w:rPr>
                <w:rFonts w:cs="Times New Roman"/>
                <w:sz w:val="18"/>
                <w:szCs w:val="18"/>
              </w:rPr>
            </w:pPr>
            <w:r w:rsidRPr="00F119E3">
              <w:rPr>
                <w:sz w:val="18"/>
                <w:szCs w:val="18"/>
              </w:rPr>
              <w:t>41,0</w:t>
            </w:r>
          </w:p>
        </w:tc>
        <w:tc>
          <w:tcPr>
            <w:tcW w:w="728" w:type="dxa"/>
            <w:gridSpan w:val="3"/>
            <w:tcBorders>
              <w:top w:val="nil"/>
              <w:left w:val="nil"/>
              <w:bottom w:val="nil"/>
              <w:right w:val="nil"/>
            </w:tcBorders>
            <w:shd w:val="clear" w:color="auto" w:fill="auto"/>
            <w:vAlign w:val="center"/>
          </w:tcPr>
          <w:p w14:paraId="250F7821" w14:textId="77777777" w:rsidR="000F6636" w:rsidRPr="00F119E3" w:rsidRDefault="000F6636" w:rsidP="00484DB0">
            <w:pPr>
              <w:jc w:val="center"/>
              <w:rPr>
                <w:rFonts w:cs="Times New Roman"/>
                <w:sz w:val="18"/>
                <w:szCs w:val="18"/>
              </w:rPr>
            </w:pPr>
            <w:r w:rsidRPr="00F119E3">
              <w:rPr>
                <w:sz w:val="18"/>
                <w:szCs w:val="18"/>
              </w:rPr>
              <w:t>40,5</w:t>
            </w:r>
          </w:p>
        </w:tc>
        <w:tc>
          <w:tcPr>
            <w:tcW w:w="651" w:type="dxa"/>
            <w:gridSpan w:val="2"/>
            <w:tcBorders>
              <w:top w:val="nil"/>
              <w:left w:val="nil"/>
              <w:bottom w:val="nil"/>
              <w:right w:val="nil"/>
            </w:tcBorders>
            <w:shd w:val="clear" w:color="auto" w:fill="auto"/>
            <w:vAlign w:val="center"/>
          </w:tcPr>
          <w:p w14:paraId="5D80451B" w14:textId="77777777" w:rsidR="000F6636" w:rsidRPr="00F119E3" w:rsidRDefault="000F6636" w:rsidP="00484DB0">
            <w:pPr>
              <w:jc w:val="center"/>
              <w:rPr>
                <w:rFonts w:cs="Times New Roman"/>
                <w:sz w:val="18"/>
                <w:szCs w:val="18"/>
              </w:rPr>
            </w:pPr>
            <w:r w:rsidRPr="00F119E3">
              <w:rPr>
                <w:sz w:val="18"/>
                <w:szCs w:val="18"/>
              </w:rPr>
              <w:t>39,7</w:t>
            </w:r>
          </w:p>
        </w:tc>
        <w:tc>
          <w:tcPr>
            <w:tcW w:w="641" w:type="dxa"/>
            <w:tcBorders>
              <w:top w:val="nil"/>
              <w:left w:val="nil"/>
              <w:bottom w:val="nil"/>
              <w:right w:val="nil"/>
            </w:tcBorders>
            <w:shd w:val="clear" w:color="auto" w:fill="auto"/>
            <w:vAlign w:val="center"/>
          </w:tcPr>
          <w:p w14:paraId="1CE802B7" w14:textId="77777777" w:rsidR="000F6636" w:rsidRPr="00F119E3" w:rsidRDefault="000F6636" w:rsidP="00484DB0">
            <w:pPr>
              <w:jc w:val="center"/>
              <w:rPr>
                <w:rFonts w:cs="Times New Roman"/>
                <w:sz w:val="18"/>
                <w:szCs w:val="18"/>
              </w:rPr>
            </w:pPr>
            <w:r w:rsidRPr="00F119E3">
              <w:rPr>
                <w:sz w:val="18"/>
                <w:szCs w:val="18"/>
              </w:rPr>
              <w:t>39,0</w:t>
            </w:r>
          </w:p>
        </w:tc>
      </w:tr>
      <w:tr w:rsidR="000F6636" w:rsidRPr="00F119E3" w14:paraId="3165B83A"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67305B9B" w14:textId="77777777" w:rsidR="000F6636" w:rsidRPr="00F119E3" w:rsidRDefault="000F6636" w:rsidP="00484DB0">
            <w:pPr>
              <w:rPr>
                <w:rFonts w:cs="Times New Roman"/>
                <w:sz w:val="18"/>
                <w:szCs w:val="18"/>
              </w:rPr>
            </w:pPr>
            <w:r w:rsidRPr="00F119E3">
              <w:rPr>
                <w:rFonts w:cs="Times New Roman"/>
                <w:sz w:val="18"/>
                <w:szCs w:val="18"/>
              </w:rPr>
              <w:t>7. Celkové výdavky</w:t>
            </w:r>
          </w:p>
        </w:tc>
        <w:tc>
          <w:tcPr>
            <w:tcW w:w="933" w:type="dxa"/>
            <w:gridSpan w:val="2"/>
            <w:tcBorders>
              <w:top w:val="nil"/>
              <w:left w:val="nil"/>
              <w:bottom w:val="nil"/>
              <w:right w:val="nil"/>
            </w:tcBorders>
            <w:shd w:val="clear" w:color="auto" w:fill="auto"/>
            <w:vAlign w:val="center"/>
            <w:hideMark/>
          </w:tcPr>
          <w:p w14:paraId="45372D7D" w14:textId="77777777" w:rsidR="000F6636" w:rsidRPr="00F119E3" w:rsidRDefault="000F6636" w:rsidP="00484DB0">
            <w:pPr>
              <w:jc w:val="center"/>
              <w:rPr>
                <w:rFonts w:cs="Times New Roman"/>
                <w:sz w:val="18"/>
                <w:szCs w:val="18"/>
              </w:rPr>
            </w:pPr>
            <w:r w:rsidRPr="00F119E3">
              <w:rPr>
                <w:rFonts w:cs="Times New Roman"/>
                <w:sz w:val="18"/>
                <w:szCs w:val="18"/>
              </w:rPr>
              <w:t xml:space="preserve">TE </w:t>
            </w:r>
            <w:r w:rsidRPr="00F119E3">
              <w:rPr>
                <w:rFonts w:cs="Times New Roman"/>
                <w:sz w:val="18"/>
                <w:szCs w:val="18"/>
                <w:vertAlign w:val="superscript"/>
              </w:rPr>
              <w:t>[1]</w:t>
            </w:r>
          </w:p>
        </w:tc>
        <w:tc>
          <w:tcPr>
            <w:tcW w:w="845" w:type="dxa"/>
            <w:gridSpan w:val="2"/>
            <w:tcBorders>
              <w:top w:val="nil"/>
              <w:left w:val="nil"/>
              <w:bottom w:val="nil"/>
              <w:right w:val="nil"/>
            </w:tcBorders>
            <w:shd w:val="clear" w:color="auto" w:fill="auto"/>
            <w:vAlign w:val="center"/>
          </w:tcPr>
          <w:p w14:paraId="70D8E8A0" w14:textId="77777777" w:rsidR="000F6636" w:rsidRPr="00F119E3" w:rsidRDefault="000F6636" w:rsidP="00484DB0">
            <w:pPr>
              <w:jc w:val="center"/>
              <w:rPr>
                <w:rFonts w:cs="Times New Roman"/>
                <w:sz w:val="18"/>
                <w:szCs w:val="18"/>
              </w:rPr>
            </w:pPr>
            <w:r w:rsidRPr="00F119E3">
              <w:rPr>
                <w:sz w:val="18"/>
                <w:szCs w:val="18"/>
              </w:rPr>
              <w:t>58 853</w:t>
            </w:r>
          </w:p>
        </w:tc>
        <w:tc>
          <w:tcPr>
            <w:tcW w:w="795" w:type="dxa"/>
            <w:gridSpan w:val="3"/>
            <w:tcBorders>
              <w:top w:val="nil"/>
              <w:left w:val="nil"/>
              <w:bottom w:val="nil"/>
              <w:right w:val="nil"/>
            </w:tcBorders>
            <w:shd w:val="clear" w:color="auto" w:fill="auto"/>
            <w:vAlign w:val="center"/>
          </w:tcPr>
          <w:p w14:paraId="4C61489F" w14:textId="77777777" w:rsidR="000F6636" w:rsidRPr="00F119E3" w:rsidRDefault="000F6636" w:rsidP="00484DB0">
            <w:pPr>
              <w:jc w:val="center"/>
              <w:rPr>
                <w:rFonts w:cs="Times New Roman"/>
                <w:sz w:val="18"/>
                <w:szCs w:val="18"/>
              </w:rPr>
            </w:pPr>
            <w:r w:rsidRPr="00F119E3">
              <w:rPr>
                <w:sz w:val="18"/>
                <w:szCs w:val="18"/>
              </w:rPr>
              <w:t>47,9</w:t>
            </w:r>
          </w:p>
        </w:tc>
        <w:tc>
          <w:tcPr>
            <w:tcW w:w="872" w:type="dxa"/>
            <w:gridSpan w:val="2"/>
            <w:tcBorders>
              <w:top w:val="nil"/>
              <w:left w:val="nil"/>
              <w:bottom w:val="nil"/>
              <w:right w:val="nil"/>
            </w:tcBorders>
            <w:shd w:val="clear" w:color="auto" w:fill="auto"/>
            <w:vAlign w:val="center"/>
          </w:tcPr>
          <w:p w14:paraId="4B2BD766" w14:textId="77777777" w:rsidR="000F6636" w:rsidRPr="00F119E3" w:rsidRDefault="000F6636" w:rsidP="00484DB0">
            <w:pPr>
              <w:jc w:val="center"/>
              <w:rPr>
                <w:rFonts w:cs="Times New Roman"/>
                <w:sz w:val="18"/>
                <w:szCs w:val="18"/>
              </w:rPr>
            </w:pPr>
            <w:r w:rsidRPr="00F119E3">
              <w:rPr>
                <w:sz w:val="18"/>
                <w:szCs w:val="18"/>
              </w:rPr>
              <w:t>46,9</w:t>
            </w:r>
          </w:p>
        </w:tc>
        <w:tc>
          <w:tcPr>
            <w:tcW w:w="728" w:type="dxa"/>
            <w:gridSpan w:val="3"/>
            <w:tcBorders>
              <w:top w:val="nil"/>
              <w:left w:val="nil"/>
              <w:bottom w:val="nil"/>
              <w:right w:val="nil"/>
            </w:tcBorders>
            <w:shd w:val="clear" w:color="auto" w:fill="auto"/>
            <w:vAlign w:val="center"/>
          </w:tcPr>
          <w:p w14:paraId="6BF34383" w14:textId="77777777" w:rsidR="000F6636" w:rsidRPr="00F119E3" w:rsidRDefault="000F6636" w:rsidP="00484DB0">
            <w:pPr>
              <w:jc w:val="center"/>
              <w:rPr>
                <w:rFonts w:cs="Times New Roman"/>
                <w:sz w:val="18"/>
                <w:szCs w:val="18"/>
              </w:rPr>
            </w:pPr>
            <w:r w:rsidRPr="00F119E3">
              <w:rPr>
                <w:sz w:val="18"/>
                <w:szCs w:val="18"/>
              </w:rPr>
              <w:t>45,9</w:t>
            </w:r>
          </w:p>
        </w:tc>
        <w:tc>
          <w:tcPr>
            <w:tcW w:w="651" w:type="dxa"/>
            <w:gridSpan w:val="2"/>
            <w:tcBorders>
              <w:top w:val="nil"/>
              <w:left w:val="nil"/>
              <w:bottom w:val="nil"/>
              <w:right w:val="nil"/>
            </w:tcBorders>
            <w:shd w:val="clear" w:color="auto" w:fill="auto"/>
            <w:vAlign w:val="center"/>
          </w:tcPr>
          <w:p w14:paraId="6E71E229" w14:textId="77777777" w:rsidR="000F6636" w:rsidRPr="00F119E3" w:rsidRDefault="000F6636" w:rsidP="00484DB0">
            <w:pPr>
              <w:jc w:val="center"/>
              <w:rPr>
                <w:rFonts w:cs="Times New Roman"/>
                <w:sz w:val="18"/>
                <w:szCs w:val="18"/>
              </w:rPr>
            </w:pPr>
            <w:r w:rsidRPr="00F119E3">
              <w:rPr>
                <w:sz w:val="18"/>
                <w:szCs w:val="18"/>
              </w:rPr>
              <w:t>44,9</w:t>
            </w:r>
          </w:p>
        </w:tc>
        <w:tc>
          <w:tcPr>
            <w:tcW w:w="641" w:type="dxa"/>
            <w:tcBorders>
              <w:top w:val="nil"/>
              <w:left w:val="nil"/>
              <w:bottom w:val="nil"/>
              <w:right w:val="nil"/>
            </w:tcBorders>
            <w:shd w:val="clear" w:color="auto" w:fill="auto"/>
            <w:vAlign w:val="center"/>
          </w:tcPr>
          <w:p w14:paraId="21FE3C8D" w14:textId="77777777" w:rsidR="000F6636" w:rsidRPr="00F119E3" w:rsidRDefault="000F6636" w:rsidP="00484DB0">
            <w:pPr>
              <w:jc w:val="center"/>
              <w:rPr>
                <w:rFonts w:cs="Times New Roman"/>
                <w:sz w:val="18"/>
                <w:szCs w:val="18"/>
              </w:rPr>
            </w:pPr>
            <w:r w:rsidRPr="00F119E3">
              <w:rPr>
                <w:sz w:val="18"/>
                <w:szCs w:val="18"/>
              </w:rPr>
              <w:t>44,5</w:t>
            </w:r>
          </w:p>
        </w:tc>
      </w:tr>
      <w:tr w:rsidR="000F6636" w:rsidRPr="00F119E3" w14:paraId="68B1E15B"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26595C18" w14:textId="77777777" w:rsidR="000F6636" w:rsidRPr="00F119E3" w:rsidRDefault="000F6636" w:rsidP="00484DB0">
            <w:pPr>
              <w:rPr>
                <w:rFonts w:cs="Times New Roman"/>
                <w:sz w:val="18"/>
                <w:szCs w:val="18"/>
              </w:rPr>
            </w:pPr>
            <w:r w:rsidRPr="00F119E3">
              <w:rPr>
                <w:rFonts w:cs="Times New Roman"/>
                <w:sz w:val="18"/>
                <w:szCs w:val="18"/>
              </w:rPr>
              <w:t>8. Čisté pôžičky poskytnuté / prijaté</w:t>
            </w:r>
          </w:p>
        </w:tc>
        <w:tc>
          <w:tcPr>
            <w:tcW w:w="933" w:type="dxa"/>
            <w:gridSpan w:val="2"/>
            <w:tcBorders>
              <w:top w:val="nil"/>
              <w:left w:val="nil"/>
              <w:bottom w:val="nil"/>
              <w:right w:val="nil"/>
            </w:tcBorders>
            <w:shd w:val="clear" w:color="auto" w:fill="auto"/>
            <w:vAlign w:val="center"/>
            <w:hideMark/>
          </w:tcPr>
          <w:p w14:paraId="4D2EC216" w14:textId="77777777" w:rsidR="000F6636" w:rsidRPr="00F119E3" w:rsidRDefault="000F6636" w:rsidP="00484DB0">
            <w:pPr>
              <w:jc w:val="center"/>
              <w:rPr>
                <w:rFonts w:cs="Times New Roman"/>
                <w:sz w:val="18"/>
                <w:szCs w:val="18"/>
              </w:rPr>
            </w:pPr>
            <w:r w:rsidRPr="00F119E3">
              <w:rPr>
                <w:rFonts w:cs="Times New Roman"/>
                <w:sz w:val="18"/>
                <w:szCs w:val="18"/>
              </w:rPr>
              <w:t>B.9</w:t>
            </w:r>
          </w:p>
        </w:tc>
        <w:tc>
          <w:tcPr>
            <w:tcW w:w="845" w:type="dxa"/>
            <w:gridSpan w:val="2"/>
            <w:tcBorders>
              <w:top w:val="nil"/>
              <w:left w:val="nil"/>
              <w:bottom w:val="nil"/>
              <w:right w:val="nil"/>
            </w:tcBorders>
            <w:shd w:val="clear" w:color="auto" w:fill="auto"/>
            <w:vAlign w:val="center"/>
          </w:tcPr>
          <w:p w14:paraId="15D896C5" w14:textId="77777777" w:rsidR="000F6636" w:rsidRPr="00F119E3" w:rsidRDefault="000F6636" w:rsidP="00484DB0">
            <w:pPr>
              <w:jc w:val="center"/>
              <w:rPr>
                <w:rFonts w:cs="Times New Roman"/>
                <w:sz w:val="18"/>
                <w:szCs w:val="18"/>
              </w:rPr>
            </w:pPr>
            <w:r w:rsidRPr="00F119E3">
              <w:rPr>
                <w:sz w:val="18"/>
                <w:szCs w:val="18"/>
              </w:rPr>
              <w:t>-6 010</w:t>
            </w:r>
          </w:p>
        </w:tc>
        <w:tc>
          <w:tcPr>
            <w:tcW w:w="795" w:type="dxa"/>
            <w:gridSpan w:val="3"/>
            <w:tcBorders>
              <w:top w:val="nil"/>
              <w:left w:val="nil"/>
              <w:bottom w:val="nil"/>
              <w:right w:val="nil"/>
            </w:tcBorders>
            <w:shd w:val="clear" w:color="auto" w:fill="auto"/>
            <w:vAlign w:val="center"/>
          </w:tcPr>
          <w:p w14:paraId="311CAFB3" w14:textId="77777777" w:rsidR="000F6636" w:rsidRPr="00F119E3" w:rsidRDefault="000F6636" w:rsidP="00484DB0">
            <w:pPr>
              <w:jc w:val="center"/>
              <w:rPr>
                <w:rFonts w:cs="Times New Roman"/>
                <w:sz w:val="18"/>
                <w:szCs w:val="18"/>
              </w:rPr>
            </w:pPr>
            <w:r w:rsidRPr="00F119E3">
              <w:rPr>
                <w:sz w:val="18"/>
                <w:szCs w:val="18"/>
              </w:rPr>
              <w:t>-4,9</w:t>
            </w:r>
          </w:p>
        </w:tc>
        <w:tc>
          <w:tcPr>
            <w:tcW w:w="872" w:type="dxa"/>
            <w:gridSpan w:val="2"/>
            <w:tcBorders>
              <w:top w:val="nil"/>
              <w:left w:val="nil"/>
              <w:bottom w:val="nil"/>
              <w:right w:val="nil"/>
            </w:tcBorders>
            <w:shd w:val="clear" w:color="auto" w:fill="auto"/>
            <w:vAlign w:val="center"/>
          </w:tcPr>
          <w:p w14:paraId="348D3F58" w14:textId="77777777" w:rsidR="000F6636" w:rsidRPr="00F119E3" w:rsidRDefault="000F6636" w:rsidP="00484DB0">
            <w:pPr>
              <w:jc w:val="center"/>
              <w:rPr>
                <w:rFonts w:cs="Times New Roman"/>
                <w:sz w:val="18"/>
                <w:szCs w:val="18"/>
              </w:rPr>
            </w:pPr>
            <w:r w:rsidRPr="00F119E3">
              <w:rPr>
                <w:sz w:val="18"/>
                <w:szCs w:val="18"/>
              </w:rPr>
              <w:t>-5,9</w:t>
            </w:r>
          </w:p>
        </w:tc>
        <w:tc>
          <w:tcPr>
            <w:tcW w:w="728" w:type="dxa"/>
            <w:gridSpan w:val="3"/>
            <w:tcBorders>
              <w:top w:val="nil"/>
              <w:left w:val="nil"/>
              <w:bottom w:val="nil"/>
              <w:right w:val="nil"/>
            </w:tcBorders>
            <w:shd w:val="clear" w:color="auto" w:fill="auto"/>
            <w:vAlign w:val="center"/>
          </w:tcPr>
          <w:p w14:paraId="29C3DA3A" w14:textId="77777777" w:rsidR="000F6636" w:rsidRPr="00F119E3" w:rsidRDefault="000F6636" w:rsidP="00484DB0">
            <w:pPr>
              <w:jc w:val="center"/>
              <w:rPr>
                <w:rFonts w:cs="Times New Roman"/>
                <w:sz w:val="18"/>
                <w:szCs w:val="18"/>
              </w:rPr>
            </w:pPr>
            <w:r w:rsidRPr="00F119E3">
              <w:rPr>
                <w:sz w:val="18"/>
                <w:szCs w:val="18"/>
              </w:rPr>
              <w:t>-5,4</w:t>
            </w:r>
          </w:p>
        </w:tc>
        <w:tc>
          <w:tcPr>
            <w:tcW w:w="651" w:type="dxa"/>
            <w:gridSpan w:val="2"/>
            <w:tcBorders>
              <w:top w:val="nil"/>
              <w:left w:val="nil"/>
              <w:bottom w:val="nil"/>
              <w:right w:val="nil"/>
            </w:tcBorders>
            <w:shd w:val="clear" w:color="auto" w:fill="auto"/>
            <w:vAlign w:val="center"/>
          </w:tcPr>
          <w:p w14:paraId="5997B2F1" w14:textId="77777777" w:rsidR="000F6636" w:rsidRPr="00F119E3" w:rsidRDefault="000F6636" w:rsidP="00484DB0">
            <w:pPr>
              <w:jc w:val="center"/>
              <w:rPr>
                <w:rFonts w:cs="Times New Roman"/>
                <w:sz w:val="18"/>
                <w:szCs w:val="18"/>
              </w:rPr>
            </w:pPr>
            <w:r w:rsidRPr="00F119E3">
              <w:rPr>
                <w:sz w:val="18"/>
                <w:szCs w:val="18"/>
              </w:rPr>
              <w:t>-5,2</w:t>
            </w:r>
          </w:p>
        </w:tc>
        <w:tc>
          <w:tcPr>
            <w:tcW w:w="641" w:type="dxa"/>
            <w:tcBorders>
              <w:top w:val="nil"/>
              <w:left w:val="nil"/>
              <w:bottom w:val="nil"/>
              <w:right w:val="nil"/>
            </w:tcBorders>
            <w:shd w:val="clear" w:color="auto" w:fill="auto"/>
            <w:vAlign w:val="center"/>
          </w:tcPr>
          <w:p w14:paraId="2BB8B985" w14:textId="77777777" w:rsidR="000F6636" w:rsidRPr="00F119E3" w:rsidRDefault="000F6636" w:rsidP="00484DB0">
            <w:pPr>
              <w:jc w:val="center"/>
              <w:rPr>
                <w:rFonts w:cs="Times New Roman"/>
                <w:sz w:val="18"/>
                <w:szCs w:val="18"/>
              </w:rPr>
            </w:pPr>
            <w:r w:rsidRPr="00F119E3">
              <w:rPr>
                <w:sz w:val="18"/>
                <w:szCs w:val="18"/>
              </w:rPr>
              <w:t>-5,5</w:t>
            </w:r>
          </w:p>
        </w:tc>
      </w:tr>
      <w:tr w:rsidR="000F6636" w:rsidRPr="00F119E3" w14:paraId="2A855CD5"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0B1F4930" w14:textId="77777777" w:rsidR="000F6636" w:rsidRPr="00F119E3" w:rsidRDefault="000F6636" w:rsidP="00484DB0">
            <w:pPr>
              <w:rPr>
                <w:rFonts w:cs="Times New Roman"/>
                <w:sz w:val="18"/>
                <w:szCs w:val="18"/>
              </w:rPr>
            </w:pPr>
            <w:r w:rsidRPr="00F119E3">
              <w:rPr>
                <w:rFonts w:cs="Times New Roman"/>
                <w:sz w:val="18"/>
                <w:szCs w:val="18"/>
              </w:rPr>
              <w:t>9. Úrokové náklady</w:t>
            </w:r>
          </w:p>
        </w:tc>
        <w:tc>
          <w:tcPr>
            <w:tcW w:w="933" w:type="dxa"/>
            <w:gridSpan w:val="2"/>
            <w:tcBorders>
              <w:top w:val="nil"/>
              <w:left w:val="nil"/>
              <w:bottom w:val="nil"/>
              <w:right w:val="nil"/>
            </w:tcBorders>
            <w:shd w:val="clear" w:color="auto" w:fill="auto"/>
            <w:vAlign w:val="center"/>
            <w:hideMark/>
          </w:tcPr>
          <w:p w14:paraId="4A4763D8" w14:textId="77777777" w:rsidR="000F6636" w:rsidRPr="00F119E3" w:rsidRDefault="000F6636" w:rsidP="00484DB0">
            <w:pPr>
              <w:jc w:val="center"/>
              <w:rPr>
                <w:rFonts w:cs="Times New Roman"/>
                <w:sz w:val="18"/>
                <w:szCs w:val="18"/>
              </w:rPr>
            </w:pPr>
            <w:r w:rsidRPr="00F119E3">
              <w:rPr>
                <w:rFonts w:cs="Times New Roman"/>
                <w:sz w:val="18"/>
                <w:szCs w:val="18"/>
              </w:rPr>
              <w:t>D.41</w:t>
            </w:r>
          </w:p>
        </w:tc>
        <w:tc>
          <w:tcPr>
            <w:tcW w:w="845" w:type="dxa"/>
            <w:gridSpan w:val="2"/>
            <w:tcBorders>
              <w:top w:val="nil"/>
              <w:left w:val="nil"/>
              <w:bottom w:val="nil"/>
              <w:right w:val="nil"/>
            </w:tcBorders>
            <w:shd w:val="clear" w:color="auto" w:fill="auto"/>
            <w:vAlign w:val="center"/>
          </w:tcPr>
          <w:p w14:paraId="2FCE3228" w14:textId="77777777" w:rsidR="000F6636" w:rsidRPr="00F119E3" w:rsidRDefault="000F6636" w:rsidP="00484DB0">
            <w:pPr>
              <w:jc w:val="center"/>
              <w:rPr>
                <w:rFonts w:cs="Times New Roman"/>
                <w:sz w:val="18"/>
                <w:szCs w:val="18"/>
              </w:rPr>
            </w:pPr>
            <w:r w:rsidRPr="00F119E3">
              <w:rPr>
                <w:sz w:val="18"/>
                <w:szCs w:val="18"/>
              </w:rPr>
              <w:t>1 421</w:t>
            </w:r>
          </w:p>
        </w:tc>
        <w:tc>
          <w:tcPr>
            <w:tcW w:w="795" w:type="dxa"/>
            <w:gridSpan w:val="3"/>
            <w:tcBorders>
              <w:top w:val="nil"/>
              <w:left w:val="nil"/>
              <w:bottom w:val="nil"/>
              <w:right w:val="nil"/>
            </w:tcBorders>
            <w:shd w:val="clear" w:color="auto" w:fill="auto"/>
            <w:vAlign w:val="center"/>
          </w:tcPr>
          <w:p w14:paraId="1466F676" w14:textId="77777777" w:rsidR="000F6636" w:rsidRPr="00F119E3" w:rsidRDefault="000F6636" w:rsidP="00484DB0">
            <w:pPr>
              <w:jc w:val="center"/>
              <w:rPr>
                <w:rFonts w:cs="Times New Roman"/>
                <w:sz w:val="18"/>
                <w:szCs w:val="18"/>
              </w:rPr>
            </w:pPr>
            <w:r w:rsidRPr="00F119E3">
              <w:rPr>
                <w:sz w:val="18"/>
                <w:szCs w:val="18"/>
              </w:rPr>
              <w:t>1,2</w:t>
            </w:r>
          </w:p>
        </w:tc>
        <w:tc>
          <w:tcPr>
            <w:tcW w:w="872" w:type="dxa"/>
            <w:gridSpan w:val="2"/>
            <w:tcBorders>
              <w:top w:val="nil"/>
              <w:left w:val="nil"/>
              <w:bottom w:val="nil"/>
              <w:right w:val="nil"/>
            </w:tcBorders>
            <w:shd w:val="clear" w:color="auto" w:fill="auto"/>
            <w:vAlign w:val="center"/>
          </w:tcPr>
          <w:p w14:paraId="4D09BCBF" w14:textId="77777777" w:rsidR="000F6636" w:rsidRPr="00F119E3" w:rsidRDefault="000F6636" w:rsidP="00484DB0">
            <w:pPr>
              <w:jc w:val="center"/>
              <w:rPr>
                <w:rFonts w:cs="Times New Roman"/>
                <w:sz w:val="18"/>
                <w:szCs w:val="18"/>
              </w:rPr>
            </w:pPr>
            <w:r w:rsidRPr="00F119E3">
              <w:rPr>
                <w:sz w:val="18"/>
                <w:szCs w:val="18"/>
              </w:rPr>
              <w:t>1,4</w:t>
            </w:r>
          </w:p>
        </w:tc>
        <w:tc>
          <w:tcPr>
            <w:tcW w:w="728" w:type="dxa"/>
            <w:gridSpan w:val="3"/>
            <w:tcBorders>
              <w:top w:val="nil"/>
              <w:left w:val="nil"/>
              <w:bottom w:val="nil"/>
              <w:right w:val="nil"/>
            </w:tcBorders>
            <w:shd w:val="clear" w:color="auto" w:fill="auto"/>
            <w:vAlign w:val="center"/>
          </w:tcPr>
          <w:p w14:paraId="099AC7DA" w14:textId="77777777" w:rsidR="000F6636" w:rsidRPr="00F119E3" w:rsidRDefault="000F6636" w:rsidP="00484DB0">
            <w:pPr>
              <w:jc w:val="center"/>
              <w:rPr>
                <w:rFonts w:cs="Times New Roman"/>
                <w:sz w:val="18"/>
                <w:szCs w:val="18"/>
              </w:rPr>
            </w:pPr>
            <w:r w:rsidRPr="00F119E3">
              <w:rPr>
                <w:sz w:val="18"/>
                <w:szCs w:val="18"/>
              </w:rPr>
              <w:t>1,6</w:t>
            </w:r>
          </w:p>
        </w:tc>
        <w:tc>
          <w:tcPr>
            <w:tcW w:w="651" w:type="dxa"/>
            <w:gridSpan w:val="2"/>
            <w:tcBorders>
              <w:top w:val="nil"/>
              <w:left w:val="nil"/>
              <w:bottom w:val="nil"/>
              <w:right w:val="nil"/>
            </w:tcBorders>
            <w:shd w:val="clear" w:color="auto" w:fill="auto"/>
            <w:vAlign w:val="center"/>
          </w:tcPr>
          <w:p w14:paraId="11F1AF38" w14:textId="77777777" w:rsidR="000F6636" w:rsidRPr="00F119E3" w:rsidRDefault="000F6636" w:rsidP="00484DB0">
            <w:pPr>
              <w:jc w:val="center"/>
              <w:rPr>
                <w:rFonts w:cs="Times New Roman"/>
                <w:sz w:val="18"/>
                <w:szCs w:val="18"/>
              </w:rPr>
            </w:pPr>
            <w:r w:rsidRPr="00F119E3">
              <w:rPr>
                <w:sz w:val="18"/>
                <w:szCs w:val="18"/>
              </w:rPr>
              <w:t>1,6</w:t>
            </w:r>
          </w:p>
        </w:tc>
        <w:tc>
          <w:tcPr>
            <w:tcW w:w="641" w:type="dxa"/>
            <w:tcBorders>
              <w:top w:val="nil"/>
              <w:left w:val="nil"/>
              <w:bottom w:val="nil"/>
              <w:right w:val="nil"/>
            </w:tcBorders>
            <w:shd w:val="clear" w:color="auto" w:fill="auto"/>
            <w:vAlign w:val="center"/>
          </w:tcPr>
          <w:p w14:paraId="7FDBB395" w14:textId="77777777" w:rsidR="000F6636" w:rsidRPr="00F119E3" w:rsidRDefault="000F6636" w:rsidP="00484DB0">
            <w:pPr>
              <w:jc w:val="center"/>
              <w:rPr>
                <w:rFonts w:cs="Times New Roman"/>
                <w:sz w:val="18"/>
                <w:szCs w:val="18"/>
              </w:rPr>
            </w:pPr>
            <w:r w:rsidRPr="00F119E3">
              <w:rPr>
                <w:sz w:val="18"/>
                <w:szCs w:val="18"/>
              </w:rPr>
              <w:t>1,9</w:t>
            </w:r>
          </w:p>
        </w:tc>
      </w:tr>
      <w:tr w:rsidR="000F6636" w:rsidRPr="00F119E3" w14:paraId="601E10B2"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59471B0A" w14:textId="77777777" w:rsidR="000F6636" w:rsidRPr="00F119E3" w:rsidRDefault="000F6636" w:rsidP="00484DB0">
            <w:pPr>
              <w:rPr>
                <w:rFonts w:cs="Times New Roman"/>
                <w:sz w:val="18"/>
                <w:szCs w:val="18"/>
              </w:rPr>
            </w:pPr>
            <w:r w:rsidRPr="00F119E3">
              <w:rPr>
                <w:rFonts w:cs="Times New Roman"/>
                <w:sz w:val="18"/>
                <w:szCs w:val="18"/>
              </w:rPr>
              <w:t>10. Primárne saldo</w:t>
            </w:r>
          </w:p>
        </w:tc>
        <w:tc>
          <w:tcPr>
            <w:tcW w:w="933" w:type="dxa"/>
            <w:gridSpan w:val="2"/>
            <w:tcBorders>
              <w:top w:val="nil"/>
              <w:left w:val="nil"/>
              <w:bottom w:val="nil"/>
              <w:right w:val="nil"/>
            </w:tcBorders>
            <w:shd w:val="clear" w:color="auto" w:fill="auto"/>
            <w:vAlign w:val="center"/>
            <w:hideMark/>
          </w:tcPr>
          <w:p w14:paraId="17E5294C" w14:textId="77777777" w:rsidR="000F6636" w:rsidRPr="00F119E3" w:rsidRDefault="000F6636" w:rsidP="00484DB0">
            <w:pPr>
              <w:jc w:val="center"/>
              <w:rPr>
                <w:rFonts w:cs="Times New Roman"/>
                <w:sz w:val="18"/>
                <w:szCs w:val="18"/>
              </w:rPr>
            </w:pPr>
            <w:r w:rsidRPr="00F119E3">
              <w:rPr>
                <w:rFonts w:cs="Times New Roman"/>
                <w:sz w:val="18"/>
                <w:szCs w:val="18"/>
                <w:vertAlign w:val="superscript"/>
              </w:rPr>
              <w:t>[2]</w:t>
            </w:r>
          </w:p>
        </w:tc>
        <w:tc>
          <w:tcPr>
            <w:tcW w:w="845" w:type="dxa"/>
            <w:gridSpan w:val="2"/>
            <w:tcBorders>
              <w:top w:val="nil"/>
              <w:left w:val="nil"/>
              <w:bottom w:val="nil"/>
              <w:right w:val="nil"/>
            </w:tcBorders>
            <w:shd w:val="clear" w:color="auto" w:fill="auto"/>
            <w:vAlign w:val="center"/>
          </w:tcPr>
          <w:p w14:paraId="4D6E1A35" w14:textId="77777777" w:rsidR="000F6636" w:rsidRPr="00F119E3" w:rsidRDefault="000F6636" w:rsidP="00484DB0">
            <w:pPr>
              <w:jc w:val="center"/>
              <w:rPr>
                <w:rFonts w:cs="Times New Roman"/>
                <w:sz w:val="18"/>
                <w:szCs w:val="18"/>
              </w:rPr>
            </w:pPr>
            <w:r w:rsidRPr="00F119E3">
              <w:rPr>
                <w:sz w:val="18"/>
                <w:szCs w:val="18"/>
              </w:rPr>
              <w:t>-4 589</w:t>
            </w:r>
          </w:p>
        </w:tc>
        <w:tc>
          <w:tcPr>
            <w:tcW w:w="795" w:type="dxa"/>
            <w:gridSpan w:val="3"/>
            <w:tcBorders>
              <w:top w:val="nil"/>
              <w:left w:val="nil"/>
              <w:bottom w:val="nil"/>
              <w:right w:val="nil"/>
            </w:tcBorders>
            <w:shd w:val="clear" w:color="auto" w:fill="auto"/>
            <w:vAlign w:val="center"/>
          </w:tcPr>
          <w:p w14:paraId="13F035AE" w14:textId="77777777" w:rsidR="000F6636" w:rsidRPr="00F119E3" w:rsidRDefault="000F6636" w:rsidP="00484DB0">
            <w:pPr>
              <w:jc w:val="center"/>
              <w:rPr>
                <w:rFonts w:cs="Times New Roman"/>
                <w:sz w:val="18"/>
                <w:szCs w:val="18"/>
              </w:rPr>
            </w:pPr>
            <w:r w:rsidRPr="00F119E3">
              <w:rPr>
                <w:sz w:val="18"/>
                <w:szCs w:val="18"/>
              </w:rPr>
              <w:t>-3,7</w:t>
            </w:r>
          </w:p>
        </w:tc>
        <w:tc>
          <w:tcPr>
            <w:tcW w:w="872" w:type="dxa"/>
            <w:gridSpan w:val="2"/>
            <w:tcBorders>
              <w:top w:val="nil"/>
              <w:left w:val="nil"/>
              <w:bottom w:val="nil"/>
              <w:right w:val="nil"/>
            </w:tcBorders>
            <w:shd w:val="clear" w:color="auto" w:fill="auto"/>
            <w:vAlign w:val="center"/>
          </w:tcPr>
          <w:p w14:paraId="01480033" w14:textId="77777777" w:rsidR="000F6636" w:rsidRPr="00F119E3" w:rsidRDefault="000F6636" w:rsidP="00484DB0">
            <w:pPr>
              <w:jc w:val="center"/>
              <w:rPr>
                <w:rFonts w:cs="Times New Roman"/>
                <w:sz w:val="18"/>
                <w:szCs w:val="18"/>
              </w:rPr>
            </w:pPr>
            <w:r w:rsidRPr="00F119E3">
              <w:rPr>
                <w:sz w:val="18"/>
                <w:szCs w:val="18"/>
              </w:rPr>
              <w:t>-4,5</w:t>
            </w:r>
          </w:p>
        </w:tc>
        <w:tc>
          <w:tcPr>
            <w:tcW w:w="728" w:type="dxa"/>
            <w:gridSpan w:val="3"/>
            <w:tcBorders>
              <w:top w:val="nil"/>
              <w:left w:val="nil"/>
              <w:bottom w:val="nil"/>
              <w:right w:val="nil"/>
            </w:tcBorders>
            <w:shd w:val="clear" w:color="auto" w:fill="auto"/>
            <w:vAlign w:val="center"/>
          </w:tcPr>
          <w:p w14:paraId="423C498B" w14:textId="77777777" w:rsidR="000F6636" w:rsidRPr="00F119E3" w:rsidRDefault="000F6636" w:rsidP="00484DB0">
            <w:pPr>
              <w:jc w:val="center"/>
              <w:rPr>
                <w:rFonts w:cs="Times New Roman"/>
                <w:sz w:val="18"/>
                <w:szCs w:val="18"/>
              </w:rPr>
            </w:pPr>
            <w:r w:rsidRPr="00F119E3">
              <w:rPr>
                <w:sz w:val="18"/>
                <w:szCs w:val="18"/>
              </w:rPr>
              <w:t>-3,9</w:t>
            </w:r>
          </w:p>
        </w:tc>
        <w:tc>
          <w:tcPr>
            <w:tcW w:w="651" w:type="dxa"/>
            <w:gridSpan w:val="2"/>
            <w:tcBorders>
              <w:top w:val="nil"/>
              <w:left w:val="nil"/>
              <w:bottom w:val="nil"/>
              <w:right w:val="nil"/>
            </w:tcBorders>
            <w:shd w:val="clear" w:color="auto" w:fill="auto"/>
            <w:vAlign w:val="center"/>
          </w:tcPr>
          <w:p w14:paraId="1DDE2900" w14:textId="77777777" w:rsidR="000F6636" w:rsidRPr="00F119E3" w:rsidRDefault="000F6636" w:rsidP="00484DB0">
            <w:pPr>
              <w:jc w:val="center"/>
              <w:rPr>
                <w:rFonts w:cs="Times New Roman"/>
                <w:sz w:val="18"/>
                <w:szCs w:val="18"/>
              </w:rPr>
            </w:pPr>
            <w:r w:rsidRPr="00F119E3">
              <w:rPr>
                <w:sz w:val="18"/>
                <w:szCs w:val="18"/>
              </w:rPr>
              <w:t>-3,5</w:t>
            </w:r>
          </w:p>
        </w:tc>
        <w:tc>
          <w:tcPr>
            <w:tcW w:w="641" w:type="dxa"/>
            <w:tcBorders>
              <w:top w:val="nil"/>
              <w:left w:val="nil"/>
              <w:bottom w:val="nil"/>
              <w:right w:val="nil"/>
            </w:tcBorders>
            <w:shd w:val="clear" w:color="auto" w:fill="auto"/>
            <w:vAlign w:val="center"/>
          </w:tcPr>
          <w:p w14:paraId="6ED79939" w14:textId="77777777" w:rsidR="000F6636" w:rsidRPr="00F119E3" w:rsidRDefault="000F6636" w:rsidP="00484DB0">
            <w:pPr>
              <w:jc w:val="center"/>
              <w:rPr>
                <w:rFonts w:cs="Times New Roman"/>
                <w:sz w:val="18"/>
                <w:szCs w:val="18"/>
              </w:rPr>
            </w:pPr>
            <w:r w:rsidRPr="00F119E3">
              <w:rPr>
                <w:sz w:val="18"/>
                <w:szCs w:val="18"/>
              </w:rPr>
              <w:t>-3,6</w:t>
            </w:r>
          </w:p>
        </w:tc>
      </w:tr>
      <w:tr w:rsidR="000F6636" w:rsidRPr="00F119E3" w14:paraId="7DCDE026" w14:textId="77777777" w:rsidTr="00484DB0">
        <w:trPr>
          <w:gridAfter w:val="3"/>
          <w:wAfter w:w="524" w:type="dxa"/>
          <w:trHeight w:val="279"/>
        </w:trPr>
        <w:tc>
          <w:tcPr>
            <w:tcW w:w="3540" w:type="dxa"/>
            <w:gridSpan w:val="3"/>
            <w:tcBorders>
              <w:top w:val="nil"/>
              <w:left w:val="nil"/>
              <w:bottom w:val="single" w:sz="4" w:space="0" w:color="auto"/>
              <w:right w:val="nil"/>
            </w:tcBorders>
            <w:shd w:val="clear" w:color="auto" w:fill="auto"/>
            <w:vAlign w:val="center"/>
            <w:hideMark/>
          </w:tcPr>
          <w:p w14:paraId="7C737991" w14:textId="77777777" w:rsidR="000F6636" w:rsidRPr="00F119E3" w:rsidRDefault="000F6636" w:rsidP="00484DB0">
            <w:pPr>
              <w:rPr>
                <w:rFonts w:cs="Times New Roman"/>
                <w:sz w:val="18"/>
                <w:szCs w:val="18"/>
              </w:rPr>
            </w:pPr>
            <w:r w:rsidRPr="00F119E3">
              <w:rPr>
                <w:rFonts w:cs="Times New Roman"/>
                <w:sz w:val="18"/>
                <w:szCs w:val="18"/>
              </w:rPr>
              <w:t>11. Jednorazové a dočasné efekty</w:t>
            </w:r>
          </w:p>
        </w:tc>
        <w:tc>
          <w:tcPr>
            <w:tcW w:w="933" w:type="dxa"/>
            <w:gridSpan w:val="2"/>
            <w:tcBorders>
              <w:top w:val="nil"/>
              <w:left w:val="nil"/>
              <w:bottom w:val="single" w:sz="4" w:space="0" w:color="auto"/>
              <w:right w:val="nil"/>
            </w:tcBorders>
            <w:shd w:val="clear" w:color="auto" w:fill="auto"/>
            <w:vAlign w:val="center"/>
            <w:hideMark/>
          </w:tcPr>
          <w:p w14:paraId="750BA802" w14:textId="77777777" w:rsidR="000F6636" w:rsidRPr="00F119E3" w:rsidRDefault="000F6636" w:rsidP="00484DB0">
            <w:pPr>
              <w:jc w:val="center"/>
              <w:rPr>
                <w:rFonts w:cs="Times New Roman"/>
                <w:sz w:val="18"/>
                <w:szCs w:val="18"/>
              </w:rPr>
            </w:pPr>
            <w:r w:rsidRPr="00F119E3">
              <w:rPr>
                <w:rFonts w:cs="Times New Roman"/>
                <w:sz w:val="18"/>
                <w:szCs w:val="18"/>
                <w:vertAlign w:val="superscript"/>
              </w:rPr>
              <w:t>[3]</w:t>
            </w:r>
          </w:p>
        </w:tc>
        <w:tc>
          <w:tcPr>
            <w:tcW w:w="845" w:type="dxa"/>
            <w:gridSpan w:val="2"/>
            <w:tcBorders>
              <w:top w:val="nil"/>
              <w:left w:val="nil"/>
              <w:bottom w:val="nil"/>
              <w:right w:val="nil"/>
            </w:tcBorders>
            <w:shd w:val="clear" w:color="auto" w:fill="auto"/>
            <w:vAlign w:val="center"/>
          </w:tcPr>
          <w:p w14:paraId="5B394A23" w14:textId="77777777" w:rsidR="000F6636" w:rsidRPr="00F119E3" w:rsidRDefault="000F6636" w:rsidP="00484DB0">
            <w:pPr>
              <w:jc w:val="center"/>
              <w:rPr>
                <w:rFonts w:cs="Times New Roman"/>
                <w:sz w:val="18"/>
                <w:szCs w:val="18"/>
              </w:rPr>
            </w:pPr>
            <w:r w:rsidRPr="00F119E3">
              <w:rPr>
                <w:sz w:val="18"/>
                <w:szCs w:val="18"/>
              </w:rPr>
              <w:t>0</w:t>
            </w:r>
          </w:p>
        </w:tc>
        <w:tc>
          <w:tcPr>
            <w:tcW w:w="795" w:type="dxa"/>
            <w:gridSpan w:val="3"/>
            <w:tcBorders>
              <w:top w:val="nil"/>
              <w:left w:val="nil"/>
              <w:bottom w:val="nil"/>
              <w:right w:val="nil"/>
            </w:tcBorders>
            <w:shd w:val="clear" w:color="auto" w:fill="auto"/>
            <w:vAlign w:val="center"/>
          </w:tcPr>
          <w:p w14:paraId="3FDE12D5" w14:textId="77777777" w:rsidR="000F6636" w:rsidRPr="00F119E3" w:rsidRDefault="000F6636" w:rsidP="00484DB0">
            <w:pPr>
              <w:jc w:val="center"/>
              <w:rPr>
                <w:rFonts w:cs="Times New Roman"/>
                <w:sz w:val="18"/>
                <w:szCs w:val="18"/>
              </w:rPr>
            </w:pPr>
            <w:r w:rsidRPr="00F119E3">
              <w:rPr>
                <w:sz w:val="18"/>
                <w:szCs w:val="18"/>
              </w:rPr>
              <w:t>0,0</w:t>
            </w:r>
          </w:p>
        </w:tc>
        <w:tc>
          <w:tcPr>
            <w:tcW w:w="872" w:type="dxa"/>
            <w:gridSpan w:val="2"/>
            <w:tcBorders>
              <w:top w:val="nil"/>
              <w:left w:val="nil"/>
              <w:bottom w:val="nil"/>
              <w:right w:val="nil"/>
            </w:tcBorders>
            <w:shd w:val="clear" w:color="auto" w:fill="auto"/>
            <w:vAlign w:val="center"/>
          </w:tcPr>
          <w:p w14:paraId="4585415B" w14:textId="77777777" w:rsidR="000F6636" w:rsidRPr="00F119E3" w:rsidRDefault="000F6636" w:rsidP="00484DB0">
            <w:pPr>
              <w:jc w:val="center"/>
              <w:rPr>
                <w:rFonts w:cs="Times New Roman"/>
                <w:sz w:val="18"/>
                <w:szCs w:val="18"/>
              </w:rPr>
            </w:pPr>
            <w:r w:rsidRPr="00F119E3">
              <w:rPr>
                <w:sz w:val="18"/>
                <w:szCs w:val="18"/>
              </w:rPr>
              <w:t>0,0</w:t>
            </w:r>
          </w:p>
        </w:tc>
        <w:tc>
          <w:tcPr>
            <w:tcW w:w="728" w:type="dxa"/>
            <w:gridSpan w:val="3"/>
            <w:tcBorders>
              <w:top w:val="nil"/>
              <w:left w:val="nil"/>
              <w:bottom w:val="nil"/>
              <w:right w:val="nil"/>
            </w:tcBorders>
            <w:shd w:val="clear" w:color="auto" w:fill="auto"/>
            <w:vAlign w:val="center"/>
          </w:tcPr>
          <w:p w14:paraId="242920F1" w14:textId="77777777" w:rsidR="000F6636" w:rsidRPr="00F119E3" w:rsidRDefault="000F6636" w:rsidP="00484DB0">
            <w:pPr>
              <w:jc w:val="center"/>
              <w:rPr>
                <w:rFonts w:cs="Times New Roman"/>
                <w:sz w:val="18"/>
                <w:szCs w:val="18"/>
              </w:rPr>
            </w:pPr>
            <w:r w:rsidRPr="00F119E3">
              <w:rPr>
                <w:sz w:val="18"/>
                <w:szCs w:val="18"/>
              </w:rPr>
              <w:t>0,0</w:t>
            </w:r>
          </w:p>
        </w:tc>
        <w:tc>
          <w:tcPr>
            <w:tcW w:w="651" w:type="dxa"/>
            <w:gridSpan w:val="2"/>
            <w:tcBorders>
              <w:top w:val="nil"/>
              <w:left w:val="nil"/>
              <w:bottom w:val="nil"/>
              <w:right w:val="nil"/>
            </w:tcBorders>
            <w:shd w:val="clear" w:color="auto" w:fill="auto"/>
            <w:vAlign w:val="center"/>
          </w:tcPr>
          <w:p w14:paraId="58E19212" w14:textId="77777777" w:rsidR="000F6636" w:rsidRPr="00F119E3" w:rsidRDefault="000F6636" w:rsidP="00484DB0">
            <w:pPr>
              <w:jc w:val="center"/>
              <w:rPr>
                <w:rFonts w:cs="Times New Roman"/>
                <w:sz w:val="18"/>
                <w:szCs w:val="18"/>
              </w:rPr>
            </w:pPr>
            <w:r w:rsidRPr="00F119E3">
              <w:rPr>
                <w:sz w:val="18"/>
                <w:szCs w:val="18"/>
              </w:rPr>
              <w:t>0,0</w:t>
            </w:r>
          </w:p>
        </w:tc>
        <w:tc>
          <w:tcPr>
            <w:tcW w:w="641" w:type="dxa"/>
            <w:tcBorders>
              <w:top w:val="nil"/>
              <w:left w:val="nil"/>
              <w:bottom w:val="nil"/>
              <w:right w:val="nil"/>
            </w:tcBorders>
            <w:shd w:val="clear" w:color="auto" w:fill="auto"/>
            <w:vAlign w:val="center"/>
          </w:tcPr>
          <w:p w14:paraId="60AD922E" w14:textId="77777777" w:rsidR="000F6636" w:rsidRPr="00F119E3" w:rsidRDefault="000F6636" w:rsidP="00484DB0">
            <w:pPr>
              <w:jc w:val="center"/>
              <w:rPr>
                <w:rFonts w:cs="Times New Roman"/>
                <w:sz w:val="18"/>
                <w:szCs w:val="18"/>
              </w:rPr>
            </w:pPr>
            <w:r w:rsidRPr="00F119E3">
              <w:rPr>
                <w:sz w:val="18"/>
                <w:szCs w:val="18"/>
              </w:rPr>
              <w:t>0,0</w:t>
            </w:r>
          </w:p>
        </w:tc>
      </w:tr>
      <w:tr w:rsidR="000F6636" w:rsidRPr="00F119E3" w14:paraId="1C4E6838" w14:textId="77777777" w:rsidTr="00484DB0">
        <w:trPr>
          <w:gridAfter w:val="3"/>
          <w:wAfter w:w="524" w:type="dxa"/>
          <w:trHeight w:val="279"/>
        </w:trPr>
        <w:tc>
          <w:tcPr>
            <w:tcW w:w="9005" w:type="dxa"/>
            <w:gridSpan w:val="18"/>
            <w:tcBorders>
              <w:top w:val="single" w:sz="4" w:space="0" w:color="auto"/>
              <w:left w:val="nil"/>
              <w:bottom w:val="single" w:sz="6" w:space="0" w:color="auto"/>
              <w:right w:val="nil"/>
            </w:tcBorders>
            <w:shd w:val="clear" w:color="auto" w:fill="auto"/>
            <w:vAlign w:val="center"/>
            <w:hideMark/>
          </w:tcPr>
          <w:p w14:paraId="5E1D1228" w14:textId="77777777" w:rsidR="000F6636" w:rsidRPr="00F119E3" w:rsidRDefault="000F6636" w:rsidP="00484DB0">
            <w:pPr>
              <w:jc w:val="center"/>
              <w:rPr>
                <w:rFonts w:cs="Times New Roman"/>
                <w:b/>
                <w:bCs/>
                <w:sz w:val="18"/>
                <w:szCs w:val="18"/>
              </w:rPr>
            </w:pPr>
            <w:r w:rsidRPr="00F119E3">
              <w:rPr>
                <w:rFonts w:cs="Times New Roman"/>
                <w:b/>
                <w:bCs/>
                <w:sz w:val="18"/>
                <w:szCs w:val="18"/>
              </w:rPr>
              <w:t>Vybrané zložky príjmov</w:t>
            </w:r>
          </w:p>
        </w:tc>
      </w:tr>
      <w:tr w:rsidR="000F6636" w:rsidRPr="00F119E3" w14:paraId="201FD1E3" w14:textId="77777777" w:rsidTr="00484DB0">
        <w:trPr>
          <w:gridAfter w:val="3"/>
          <w:wAfter w:w="524" w:type="dxa"/>
          <w:trHeight w:val="279"/>
        </w:trPr>
        <w:tc>
          <w:tcPr>
            <w:tcW w:w="3540" w:type="dxa"/>
            <w:gridSpan w:val="3"/>
            <w:tcBorders>
              <w:top w:val="single" w:sz="6" w:space="0" w:color="auto"/>
              <w:left w:val="nil"/>
              <w:bottom w:val="nil"/>
              <w:right w:val="nil"/>
            </w:tcBorders>
            <w:shd w:val="clear" w:color="auto" w:fill="auto"/>
            <w:vAlign w:val="center"/>
            <w:hideMark/>
          </w:tcPr>
          <w:p w14:paraId="0700DE1A" w14:textId="516E5B33" w:rsidR="000F6636" w:rsidRPr="00F119E3" w:rsidRDefault="00476394" w:rsidP="00484DB0">
            <w:pPr>
              <w:rPr>
                <w:rFonts w:cs="Times New Roman"/>
                <w:sz w:val="18"/>
                <w:szCs w:val="18"/>
              </w:rPr>
            </w:pPr>
            <w:r>
              <w:rPr>
                <w:rFonts w:cs="Times New Roman"/>
                <w:sz w:val="18"/>
                <w:szCs w:val="18"/>
              </w:rPr>
              <w:t>12</w:t>
            </w:r>
            <w:r w:rsidR="000F6636" w:rsidRPr="00F119E3">
              <w:rPr>
                <w:rFonts w:cs="Times New Roman"/>
                <w:sz w:val="18"/>
                <w:szCs w:val="18"/>
              </w:rPr>
              <w:t>. Celkové dane (12=12a+12b+12c)</w:t>
            </w:r>
          </w:p>
        </w:tc>
        <w:tc>
          <w:tcPr>
            <w:tcW w:w="933" w:type="dxa"/>
            <w:gridSpan w:val="2"/>
            <w:tcBorders>
              <w:top w:val="single" w:sz="6" w:space="0" w:color="auto"/>
              <w:left w:val="nil"/>
              <w:bottom w:val="nil"/>
              <w:right w:val="nil"/>
            </w:tcBorders>
            <w:shd w:val="clear" w:color="auto" w:fill="auto"/>
            <w:hideMark/>
          </w:tcPr>
          <w:p w14:paraId="47552FEF" w14:textId="77777777" w:rsidR="000F6636" w:rsidRPr="00F119E3" w:rsidRDefault="000F6636" w:rsidP="00484DB0">
            <w:pPr>
              <w:rPr>
                <w:rFonts w:cs="Times New Roman"/>
                <w:sz w:val="18"/>
                <w:szCs w:val="18"/>
              </w:rPr>
            </w:pPr>
          </w:p>
        </w:tc>
        <w:tc>
          <w:tcPr>
            <w:tcW w:w="845" w:type="dxa"/>
            <w:gridSpan w:val="2"/>
            <w:tcBorders>
              <w:top w:val="nil"/>
              <w:left w:val="nil"/>
              <w:bottom w:val="nil"/>
              <w:right w:val="nil"/>
            </w:tcBorders>
            <w:shd w:val="clear" w:color="auto" w:fill="auto"/>
            <w:vAlign w:val="center"/>
          </w:tcPr>
          <w:p w14:paraId="2A1CCF46" w14:textId="77777777" w:rsidR="000F6636" w:rsidRPr="00F119E3" w:rsidRDefault="000F6636" w:rsidP="00484DB0">
            <w:pPr>
              <w:jc w:val="center"/>
              <w:rPr>
                <w:rFonts w:cs="Times New Roman"/>
                <w:sz w:val="18"/>
                <w:szCs w:val="18"/>
              </w:rPr>
            </w:pPr>
            <w:r w:rsidRPr="00F119E3">
              <w:rPr>
                <w:sz w:val="18"/>
                <w:szCs w:val="18"/>
              </w:rPr>
              <w:t>24 654</w:t>
            </w:r>
          </w:p>
        </w:tc>
        <w:tc>
          <w:tcPr>
            <w:tcW w:w="795" w:type="dxa"/>
            <w:gridSpan w:val="3"/>
            <w:tcBorders>
              <w:top w:val="nil"/>
              <w:left w:val="nil"/>
              <w:bottom w:val="nil"/>
              <w:right w:val="nil"/>
            </w:tcBorders>
            <w:shd w:val="clear" w:color="auto" w:fill="auto"/>
            <w:vAlign w:val="center"/>
          </w:tcPr>
          <w:p w14:paraId="2E48760A" w14:textId="77777777" w:rsidR="000F6636" w:rsidRPr="00F119E3" w:rsidRDefault="000F6636" w:rsidP="00484DB0">
            <w:pPr>
              <w:jc w:val="center"/>
              <w:rPr>
                <w:rFonts w:cs="Times New Roman"/>
                <w:sz w:val="18"/>
                <w:szCs w:val="18"/>
              </w:rPr>
            </w:pPr>
            <w:r w:rsidRPr="00F119E3">
              <w:rPr>
                <w:sz w:val="18"/>
                <w:szCs w:val="18"/>
              </w:rPr>
              <w:t>20,1</w:t>
            </w:r>
          </w:p>
        </w:tc>
        <w:tc>
          <w:tcPr>
            <w:tcW w:w="872" w:type="dxa"/>
            <w:gridSpan w:val="2"/>
            <w:tcBorders>
              <w:top w:val="nil"/>
              <w:left w:val="nil"/>
              <w:bottom w:val="nil"/>
              <w:right w:val="nil"/>
            </w:tcBorders>
            <w:shd w:val="clear" w:color="auto" w:fill="auto"/>
            <w:vAlign w:val="center"/>
          </w:tcPr>
          <w:p w14:paraId="2CE52DA8" w14:textId="77777777" w:rsidR="000F6636" w:rsidRPr="00F119E3" w:rsidRDefault="000F6636" w:rsidP="00484DB0">
            <w:pPr>
              <w:jc w:val="center"/>
              <w:rPr>
                <w:rFonts w:cs="Times New Roman"/>
                <w:sz w:val="18"/>
                <w:szCs w:val="18"/>
              </w:rPr>
            </w:pPr>
            <w:r w:rsidRPr="00F119E3">
              <w:rPr>
                <w:sz w:val="18"/>
                <w:szCs w:val="18"/>
              </w:rPr>
              <w:t>19,6</w:t>
            </w:r>
          </w:p>
        </w:tc>
        <w:tc>
          <w:tcPr>
            <w:tcW w:w="728" w:type="dxa"/>
            <w:gridSpan w:val="3"/>
            <w:tcBorders>
              <w:top w:val="nil"/>
              <w:left w:val="nil"/>
              <w:bottom w:val="nil"/>
              <w:right w:val="nil"/>
            </w:tcBorders>
            <w:shd w:val="clear" w:color="auto" w:fill="auto"/>
            <w:vAlign w:val="center"/>
          </w:tcPr>
          <w:p w14:paraId="6F155F91" w14:textId="77777777" w:rsidR="000F6636" w:rsidRPr="00F119E3" w:rsidRDefault="000F6636" w:rsidP="00484DB0">
            <w:pPr>
              <w:jc w:val="center"/>
              <w:rPr>
                <w:rFonts w:cs="Times New Roman"/>
                <w:sz w:val="18"/>
                <w:szCs w:val="18"/>
              </w:rPr>
            </w:pPr>
            <w:r w:rsidRPr="00F119E3">
              <w:rPr>
                <w:sz w:val="18"/>
                <w:szCs w:val="18"/>
              </w:rPr>
              <w:t>19,3</w:t>
            </w:r>
          </w:p>
        </w:tc>
        <w:tc>
          <w:tcPr>
            <w:tcW w:w="651" w:type="dxa"/>
            <w:gridSpan w:val="2"/>
            <w:tcBorders>
              <w:top w:val="nil"/>
              <w:left w:val="nil"/>
              <w:bottom w:val="nil"/>
              <w:right w:val="nil"/>
            </w:tcBorders>
            <w:shd w:val="clear" w:color="auto" w:fill="auto"/>
            <w:vAlign w:val="center"/>
          </w:tcPr>
          <w:p w14:paraId="22004034" w14:textId="77777777" w:rsidR="000F6636" w:rsidRPr="00F119E3" w:rsidRDefault="000F6636" w:rsidP="00484DB0">
            <w:pPr>
              <w:jc w:val="center"/>
              <w:rPr>
                <w:rFonts w:cs="Times New Roman"/>
                <w:sz w:val="18"/>
                <w:szCs w:val="18"/>
              </w:rPr>
            </w:pPr>
            <w:r w:rsidRPr="00F119E3">
              <w:rPr>
                <w:sz w:val="18"/>
                <w:szCs w:val="18"/>
              </w:rPr>
              <w:t>18,8</w:t>
            </w:r>
          </w:p>
        </w:tc>
        <w:tc>
          <w:tcPr>
            <w:tcW w:w="641" w:type="dxa"/>
            <w:tcBorders>
              <w:top w:val="nil"/>
              <w:left w:val="nil"/>
              <w:bottom w:val="nil"/>
              <w:right w:val="nil"/>
            </w:tcBorders>
            <w:shd w:val="clear" w:color="auto" w:fill="auto"/>
            <w:vAlign w:val="center"/>
          </w:tcPr>
          <w:p w14:paraId="7EABCE8C" w14:textId="77777777" w:rsidR="000F6636" w:rsidRPr="00F119E3" w:rsidRDefault="000F6636" w:rsidP="00484DB0">
            <w:pPr>
              <w:jc w:val="center"/>
              <w:rPr>
                <w:rFonts w:cs="Times New Roman"/>
                <w:sz w:val="18"/>
                <w:szCs w:val="18"/>
              </w:rPr>
            </w:pPr>
            <w:r w:rsidRPr="00F119E3">
              <w:rPr>
                <w:sz w:val="18"/>
                <w:szCs w:val="18"/>
              </w:rPr>
              <w:t>18,5</w:t>
            </w:r>
          </w:p>
        </w:tc>
      </w:tr>
      <w:tr w:rsidR="000F6636" w:rsidRPr="00F119E3" w14:paraId="4ACDFE9F"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7FC3C335" w14:textId="77777777" w:rsidR="000F6636" w:rsidRPr="00F119E3" w:rsidRDefault="000F6636" w:rsidP="00484DB0">
            <w:pPr>
              <w:rPr>
                <w:rFonts w:cs="Times New Roman"/>
                <w:sz w:val="18"/>
                <w:szCs w:val="18"/>
              </w:rPr>
            </w:pPr>
            <w:r w:rsidRPr="00F119E3">
              <w:rPr>
                <w:rFonts w:cs="Times New Roman"/>
                <w:sz w:val="18"/>
                <w:szCs w:val="18"/>
              </w:rPr>
              <w:t>12a. Dane z produkcie a dovozu</w:t>
            </w:r>
          </w:p>
        </w:tc>
        <w:tc>
          <w:tcPr>
            <w:tcW w:w="933" w:type="dxa"/>
            <w:gridSpan w:val="2"/>
            <w:tcBorders>
              <w:top w:val="nil"/>
              <w:left w:val="nil"/>
              <w:bottom w:val="nil"/>
              <w:right w:val="nil"/>
            </w:tcBorders>
            <w:shd w:val="clear" w:color="auto" w:fill="auto"/>
            <w:vAlign w:val="center"/>
            <w:hideMark/>
          </w:tcPr>
          <w:p w14:paraId="1424CEFA" w14:textId="77777777" w:rsidR="000F6636" w:rsidRPr="00F119E3" w:rsidRDefault="000F6636" w:rsidP="00484DB0">
            <w:pPr>
              <w:jc w:val="center"/>
              <w:rPr>
                <w:rFonts w:cs="Times New Roman"/>
                <w:sz w:val="18"/>
                <w:szCs w:val="18"/>
              </w:rPr>
            </w:pPr>
            <w:r w:rsidRPr="00F119E3">
              <w:rPr>
                <w:rFonts w:cs="Times New Roman"/>
                <w:sz w:val="18"/>
                <w:szCs w:val="18"/>
              </w:rPr>
              <w:t>D.2</w:t>
            </w:r>
          </w:p>
        </w:tc>
        <w:tc>
          <w:tcPr>
            <w:tcW w:w="845" w:type="dxa"/>
            <w:gridSpan w:val="2"/>
            <w:tcBorders>
              <w:top w:val="nil"/>
              <w:left w:val="nil"/>
              <w:bottom w:val="nil"/>
              <w:right w:val="nil"/>
            </w:tcBorders>
            <w:shd w:val="clear" w:color="auto" w:fill="auto"/>
            <w:vAlign w:val="center"/>
          </w:tcPr>
          <w:p w14:paraId="63251713" w14:textId="77777777" w:rsidR="000F6636" w:rsidRPr="00F119E3" w:rsidRDefault="000F6636" w:rsidP="00484DB0">
            <w:pPr>
              <w:jc w:val="center"/>
              <w:rPr>
                <w:rFonts w:cs="Times New Roman"/>
                <w:sz w:val="18"/>
                <w:szCs w:val="18"/>
              </w:rPr>
            </w:pPr>
            <w:r w:rsidRPr="00F119E3">
              <w:rPr>
                <w:sz w:val="18"/>
                <w:szCs w:val="18"/>
              </w:rPr>
              <w:t>15 121</w:t>
            </w:r>
          </w:p>
        </w:tc>
        <w:tc>
          <w:tcPr>
            <w:tcW w:w="795" w:type="dxa"/>
            <w:gridSpan w:val="3"/>
            <w:tcBorders>
              <w:top w:val="nil"/>
              <w:left w:val="nil"/>
              <w:bottom w:val="nil"/>
              <w:right w:val="nil"/>
            </w:tcBorders>
            <w:shd w:val="clear" w:color="auto" w:fill="auto"/>
            <w:vAlign w:val="center"/>
          </w:tcPr>
          <w:p w14:paraId="20F30DF8" w14:textId="77777777" w:rsidR="000F6636" w:rsidRPr="00F119E3" w:rsidRDefault="000F6636" w:rsidP="00484DB0">
            <w:pPr>
              <w:jc w:val="center"/>
              <w:rPr>
                <w:rFonts w:cs="Times New Roman"/>
                <w:sz w:val="18"/>
                <w:szCs w:val="18"/>
              </w:rPr>
            </w:pPr>
            <w:r w:rsidRPr="00F119E3">
              <w:rPr>
                <w:sz w:val="18"/>
                <w:szCs w:val="18"/>
              </w:rPr>
              <w:t>12,3</w:t>
            </w:r>
          </w:p>
        </w:tc>
        <w:tc>
          <w:tcPr>
            <w:tcW w:w="872" w:type="dxa"/>
            <w:gridSpan w:val="2"/>
            <w:tcBorders>
              <w:top w:val="nil"/>
              <w:left w:val="nil"/>
              <w:bottom w:val="nil"/>
              <w:right w:val="nil"/>
            </w:tcBorders>
            <w:shd w:val="clear" w:color="auto" w:fill="auto"/>
            <w:vAlign w:val="center"/>
          </w:tcPr>
          <w:p w14:paraId="276BA34F" w14:textId="77777777" w:rsidR="000F6636" w:rsidRPr="00F119E3" w:rsidRDefault="000F6636" w:rsidP="00484DB0">
            <w:pPr>
              <w:jc w:val="center"/>
              <w:rPr>
                <w:rFonts w:cs="Times New Roman"/>
                <w:sz w:val="18"/>
                <w:szCs w:val="18"/>
              </w:rPr>
            </w:pPr>
            <w:r w:rsidRPr="00F119E3">
              <w:rPr>
                <w:sz w:val="18"/>
                <w:szCs w:val="18"/>
              </w:rPr>
              <w:t>11,6</w:t>
            </w:r>
          </w:p>
        </w:tc>
        <w:tc>
          <w:tcPr>
            <w:tcW w:w="728" w:type="dxa"/>
            <w:gridSpan w:val="3"/>
            <w:tcBorders>
              <w:top w:val="nil"/>
              <w:left w:val="nil"/>
              <w:bottom w:val="nil"/>
              <w:right w:val="nil"/>
            </w:tcBorders>
            <w:shd w:val="clear" w:color="auto" w:fill="auto"/>
            <w:vAlign w:val="center"/>
          </w:tcPr>
          <w:p w14:paraId="6764DAB9" w14:textId="77777777" w:rsidR="000F6636" w:rsidRPr="00F119E3" w:rsidRDefault="000F6636" w:rsidP="00484DB0">
            <w:pPr>
              <w:jc w:val="center"/>
              <w:rPr>
                <w:rFonts w:cs="Times New Roman"/>
                <w:sz w:val="18"/>
                <w:szCs w:val="18"/>
              </w:rPr>
            </w:pPr>
            <w:r w:rsidRPr="00F119E3">
              <w:rPr>
                <w:sz w:val="18"/>
                <w:szCs w:val="18"/>
              </w:rPr>
              <w:t>11,4</w:t>
            </w:r>
          </w:p>
        </w:tc>
        <w:tc>
          <w:tcPr>
            <w:tcW w:w="651" w:type="dxa"/>
            <w:gridSpan w:val="2"/>
            <w:tcBorders>
              <w:top w:val="nil"/>
              <w:left w:val="nil"/>
              <w:bottom w:val="nil"/>
              <w:right w:val="nil"/>
            </w:tcBorders>
            <w:shd w:val="clear" w:color="auto" w:fill="auto"/>
            <w:vAlign w:val="center"/>
          </w:tcPr>
          <w:p w14:paraId="2327E0EC" w14:textId="77777777" w:rsidR="000F6636" w:rsidRPr="00F119E3" w:rsidRDefault="000F6636" w:rsidP="00484DB0">
            <w:pPr>
              <w:jc w:val="center"/>
              <w:rPr>
                <w:rFonts w:cs="Times New Roman"/>
                <w:sz w:val="18"/>
                <w:szCs w:val="18"/>
              </w:rPr>
            </w:pPr>
            <w:r w:rsidRPr="00F119E3">
              <w:rPr>
                <w:sz w:val="18"/>
                <w:szCs w:val="18"/>
              </w:rPr>
              <w:t>11,0</w:t>
            </w:r>
          </w:p>
        </w:tc>
        <w:tc>
          <w:tcPr>
            <w:tcW w:w="641" w:type="dxa"/>
            <w:tcBorders>
              <w:top w:val="nil"/>
              <w:left w:val="nil"/>
              <w:bottom w:val="nil"/>
              <w:right w:val="nil"/>
            </w:tcBorders>
            <w:shd w:val="clear" w:color="auto" w:fill="auto"/>
            <w:vAlign w:val="center"/>
          </w:tcPr>
          <w:p w14:paraId="4BEC7EEC" w14:textId="77777777" w:rsidR="000F6636" w:rsidRPr="00F119E3" w:rsidRDefault="000F6636" w:rsidP="00484DB0">
            <w:pPr>
              <w:jc w:val="center"/>
              <w:rPr>
                <w:rFonts w:cs="Times New Roman"/>
                <w:sz w:val="18"/>
                <w:szCs w:val="18"/>
              </w:rPr>
            </w:pPr>
            <w:r w:rsidRPr="00F119E3">
              <w:rPr>
                <w:sz w:val="18"/>
                <w:szCs w:val="18"/>
              </w:rPr>
              <w:t>10,6</w:t>
            </w:r>
          </w:p>
        </w:tc>
      </w:tr>
      <w:tr w:rsidR="000F6636" w:rsidRPr="00F119E3" w14:paraId="47DE5BED"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5BAE0043" w14:textId="77777777" w:rsidR="000F6636" w:rsidRPr="00F119E3" w:rsidRDefault="000F6636" w:rsidP="00484DB0">
            <w:pPr>
              <w:rPr>
                <w:rFonts w:cs="Times New Roman"/>
                <w:sz w:val="18"/>
                <w:szCs w:val="18"/>
              </w:rPr>
            </w:pPr>
            <w:r w:rsidRPr="00F119E3">
              <w:rPr>
                <w:rFonts w:cs="Times New Roman"/>
                <w:sz w:val="18"/>
                <w:szCs w:val="18"/>
              </w:rPr>
              <w:t>12b. Bežné dane z dôchodkov, majetku atď.</w:t>
            </w:r>
          </w:p>
        </w:tc>
        <w:tc>
          <w:tcPr>
            <w:tcW w:w="933" w:type="dxa"/>
            <w:gridSpan w:val="2"/>
            <w:tcBorders>
              <w:top w:val="nil"/>
              <w:left w:val="nil"/>
              <w:bottom w:val="nil"/>
              <w:right w:val="nil"/>
            </w:tcBorders>
            <w:shd w:val="clear" w:color="auto" w:fill="auto"/>
            <w:vAlign w:val="center"/>
            <w:hideMark/>
          </w:tcPr>
          <w:p w14:paraId="3D4CF6C3" w14:textId="77777777" w:rsidR="000F6636" w:rsidRPr="00F119E3" w:rsidRDefault="000F6636" w:rsidP="00484DB0">
            <w:pPr>
              <w:jc w:val="center"/>
              <w:rPr>
                <w:rFonts w:cs="Times New Roman"/>
                <w:sz w:val="18"/>
                <w:szCs w:val="18"/>
              </w:rPr>
            </w:pPr>
            <w:r w:rsidRPr="00F119E3">
              <w:rPr>
                <w:rFonts w:cs="Times New Roman"/>
                <w:sz w:val="18"/>
                <w:szCs w:val="18"/>
              </w:rPr>
              <w:t>D.5</w:t>
            </w:r>
          </w:p>
        </w:tc>
        <w:tc>
          <w:tcPr>
            <w:tcW w:w="845" w:type="dxa"/>
            <w:gridSpan w:val="2"/>
            <w:tcBorders>
              <w:top w:val="nil"/>
              <w:left w:val="nil"/>
              <w:bottom w:val="nil"/>
              <w:right w:val="nil"/>
            </w:tcBorders>
            <w:shd w:val="clear" w:color="auto" w:fill="auto"/>
            <w:vAlign w:val="center"/>
          </w:tcPr>
          <w:p w14:paraId="4CA36A4F" w14:textId="77777777" w:rsidR="000F6636" w:rsidRPr="00F119E3" w:rsidRDefault="000F6636" w:rsidP="00484DB0">
            <w:pPr>
              <w:jc w:val="center"/>
              <w:rPr>
                <w:rFonts w:cs="Times New Roman"/>
                <w:sz w:val="18"/>
                <w:szCs w:val="18"/>
              </w:rPr>
            </w:pPr>
            <w:r w:rsidRPr="00F119E3">
              <w:rPr>
                <w:sz w:val="18"/>
                <w:szCs w:val="18"/>
              </w:rPr>
              <w:t>9 532</w:t>
            </w:r>
          </w:p>
        </w:tc>
        <w:tc>
          <w:tcPr>
            <w:tcW w:w="795" w:type="dxa"/>
            <w:gridSpan w:val="3"/>
            <w:tcBorders>
              <w:top w:val="nil"/>
              <w:left w:val="nil"/>
              <w:bottom w:val="nil"/>
              <w:right w:val="nil"/>
            </w:tcBorders>
            <w:shd w:val="clear" w:color="auto" w:fill="auto"/>
            <w:vAlign w:val="center"/>
          </w:tcPr>
          <w:p w14:paraId="34323FE0" w14:textId="77777777" w:rsidR="000F6636" w:rsidRPr="00F119E3" w:rsidRDefault="000F6636" w:rsidP="00484DB0">
            <w:pPr>
              <w:jc w:val="center"/>
              <w:rPr>
                <w:rFonts w:cs="Times New Roman"/>
                <w:sz w:val="18"/>
                <w:szCs w:val="18"/>
              </w:rPr>
            </w:pPr>
            <w:r w:rsidRPr="00F119E3">
              <w:rPr>
                <w:sz w:val="18"/>
                <w:szCs w:val="18"/>
              </w:rPr>
              <w:t>7,8</w:t>
            </w:r>
          </w:p>
        </w:tc>
        <w:tc>
          <w:tcPr>
            <w:tcW w:w="872" w:type="dxa"/>
            <w:gridSpan w:val="2"/>
            <w:tcBorders>
              <w:top w:val="nil"/>
              <w:left w:val="nil"/>
              <w:bottom w:val="nil"/>
              <w:right w:val="nil"/>
            </w:tcBorders>
            <w:shd w:val="clear" w:color="auto" w:fill="auto"/>
            <w:vAlign w:val="center"/>
          </w:tcPr>
          <w:p w14:paraId="06C952CA" w14:textId="77777777" w:rsidR="000F6636" w:rsidRPr="00F119E3" w:rsidRDefault="000F6636" w:rsidP="00484DB0">
            <w:pPr>
              <w:jc w:val="center"/>
              <w:rPr>
                <w:rFonts w:cs="Times New Roman"/>
                <w:sz w:val="18"/>
                <w:szCs w:val="18"/>
              </w:rPr>
            </w:pPr>
            <w:r w:rsidRPr="00F119E3">
              <w:rPr>
                <w:sz w:val="18"/>
                <w:szCs w:val="18"/>
              </w:rPr>
              <w:t>8,0</w:t>
            </w:r>
          </w:p>
        </w:tc>
        <w:tc>
          <w:tcPr>
            <w:tcW w:w="728" w:type="dxa"/>
            <w:gridSpan w:val="3"/>
            <w:tcBorders>
              <w:top w:val="nil"/>
              <w:left w:val="nil"/>
              <w:bottom w:val="nil"/>
              <w:right w:val="nil"/>
            </w:tcBorders>
            <w:shd w:val="clear" w:color="auto" w:fill="auto"/>
            <w:vAlign w:val="center"/>
          </w:tcPr>
          <w:p w14:paraId="7479BDC3" w14:textId="77777777" w:rsidR="000F6636" w:rsidRPr="00F119E3" w:rsidRDefault="000F6636" w:rsidP="00484DB0">
            <w:pPr>
              <w:jc w:val="center"/>
              <w:rPr>
                <w:rFonts w:cs="Times New Roman"/>
                <w:sz w:val="18"/>
                <w:szCs w:val="18"/>
              </w:rPr>
            </w:pPr>
            <w:r w:rsidRPr="00F119E3">
              <w:rPr>
                <w:sz w:val="18"/>
                <w:szCs w:val="18"/>
              </w:rPr>
              <w:t>7,9</w:t>
            </w:r>
          </w:p>
        </w:tc>
        <w:tc>
          <w:tcPr>
            <w:tcW w:w="651" w:type="dxa"/>
            <w:gridSpan w:val="2"/>
            <w:tcBorders>
              <w:top w:val="nil"/>
              <w:left w:val="nil"/>
              <w:bottom w:val="nil"/>
              <w:right w:val="nil"/>
            </w:tcBorders>
            <w:shd w:val="clear" w:color="auto" w:fill="auto"/>
            <w:vAlign w:val="center"/>
          </w:tcPr>
          <w:p w14:paraId="7D71CC62" w14:textId="77777777" w:rsidR="000F6636" w:rsidRPr="00F119E3" w:rsidRDefault="000F6636" w:rsidP="00484DB0">
            <w:pPr>
              <w:jc w:val="center"/>
              <w:rPr>
                <w:rFonts w:cs="Times New Roman"/>
                <w:sz w:val="18"/>
                <w:szCs w:val="18"/>
              </w:rPr>
            </w:pPr>
            <w:r w:rsidRPr="00F119E3">
              <w:rPr>
                <w:sz w:val="18"/>
                <w:szCs w:val="18"/>
              </w:rPr>
              <w:t>7,9</w:t>
            </w:r>
          </w:p>
        </w:tc>
        <w:tc>
          <w:tcPr>
            <w:tcW w:w="641" w:type="dxa"/>
            <w:tcBorders>
              <w:top w:val="nil"/>
              <w:left w:val="nil"/>
              <w:bottom w:val="nil"/>
              <w:right w:val="nil"/>
            </w:tcBorders>
            <w:shd w:val="clear" w:color="auto" w:fill="auto"/>
            <w:vAlign w:val="center"/>
          </w:tcPr>
          <w:p w14:paraId="11BAD732" w14:textId="77777777" w:rsidR="000F6636" w:rsidRPr="00F119E3" w:rsidRDefault="000F6636" w:rsidP="00484DB0">
            <w:pPr>
              <w:jc w:val="center"/>
              <w:rPr>
                <w:rFonts w:cs="Times New Roman"/>
                <w:sz w:val="18"/>
                <w:szCs w:val="18"/>
              </w:rPr>
            </w:pPr>
            <w:r w:rsidRPr="00F119E3">
              <w:rPr>
                <w:sz w:val="18"/>
                <w:szCs w:val="18"/>
              </w:rPr>
              <w:t>7,9</w:t>
            </w:r>
          </w:p>
        </w:tc>
      </w:tr>
      <w:tr w:rsidR="000F6636" w:rsidRPr="00F119E3" w14:paraId="205E11BD"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387966DE" w14:textId="77777777" w:rsidR="000F6636" w:rsidRPr="00F119E3" w:rsidRDefault="000F6636" w:rsidP="00484DB0">
            <w:pPr>
              <w:rPr>
                <w:rFonts w:cs="Times New Roman"/>
                <w:sz w:val="18"/>
                <w:szCs w:val="18"/>
              </w:rPr>
            </w:pPr>
            <w:r w:rsidRPr="00F119E3">
              <w:rPr>
                <w:rFonts w:cs="Times New Roman"/>
                <w:sz w:val="18"/>
                <w:szCs w:val="18"/>
              </w:rPr>
              <w:t>12c. Dane z kapitálu</w:t>
            </w:r>
          </w:p>
        </w:tc>
        <w:tc>
          <w:tcPr>
            <w:tcW w:w="933" w:type="dxa"/>
            <w:gridSpan w:val="2"/>
            <w:tcBorders>
              <w:top w:val="nil"/>
              <w:left w:val="nil"/>
              <w:bottom w:val="nil"/>
              <w:right w:val="nil"/>
            </w:tcBorders>
            <w:shd w:val="clear" w:color="auto" w:fill="auto"/>
            <w:vAlign w:val="center"/>
            <w:hideMark/>
          </w:tcPr>
          <w:p w14:paraId="246C2F56" w14:textId="77777777" w:rsidR="000F6636" w:rsidRPr="00F119E3" w:rsidRDefault="000F6636" w:rsidP="00484DB0">
            <w:pPr>
              <w:jc w:val="center"/>
              <w:rPr>
                <w:rFonts w:cs="Times New Roman"/>
                <w:sz w:val="18"/>
                <w:szCs w:val="18"/>
              </w:rPr>
            </w:pPr>
            <w:r w:rsidRPr="00F119E3">
              <w:rPr>
                <w:rFonts w:cs="Times New Roman"/>
                <w:sz w:val="18"/>
                <w:szCs w:val="18"/>
              </w:rPr>
              <w:t>D.91</w:t>
            </w:r>
          </w:p>
        </w:tc>
        <w:tc>
          <w:tcPr>
            <w:tcW w:w="845" w:type="dxa"/>
            <w:gridSpan w:val="2"/>
            <w:tcBorders>
              <w:top w:val="nil"/>
              <w:left w:val="nil"/>
              <w:bottom w:val="nil"/>
              <w:right w:val="nil"/>
            </w:tcBorders>
            <w:shd w:val="clear" w:color="auto" w:fill="auto"/>
            <w:vAlign w:val="center"/>
          </w:tcPr>
          <w:p w14:paraId="6560C42A" w14:textId="77777777" w:rsidR="000F6636" w:rsidRPr="00F119E3" w:rsidRDefault="000F6636" w:rsidP="00484DB0">
            <w:pPr>
              <w:jc w:val="center"/>
              <w:rPr>
                <w:rFonts w:cs="Times New Roman"/>
                <w:sz w:val="18"/>
                <w:szCs w:val="18"/>
              </w:rPr>
            </w:pPr>
            <w:r w:rsidRPr="00F119E3">
              <w:rPr>
                <w:sz w:val="18"/>
                <w:szCs w:val="18"/>
              </w:rPr>
              <w:t>-</w:t>
            </w:r>
          </w:p>
        </w:tc>
        <w:tc>
          <w:tcPr>
            <w:tcW w:w="795" w:type="dxa"/>
            <w:gridSpan w:val="3"/>
            <w:tcBorders>
              <w:top w:val="nil"/>
              <w:left w:val="nil"/>
              <w:bottom w:val="nil"/>
              <w:right w:val="nil"/>
            </w:tcBorders>
            <w:shd w:val="clear" w:color="auto" w:fill="auto"/>
            <w:vAlign w:val="center"/>
          </w:tcPr>
          <w:p w14:paraId="4C527BDD" w14:textId="77777777" w:rsidR="000F6636" w:rsidRPr="00F119E3" w:rsidRDefault="000F6636" w:rsidP="00484DB0">
            <w:pPr>
              <w:jc w:val="center"/>
              <w:rPr>
                <w:rFonts w:cs="Times New Roman"/>
                <w:sz w:val="18"/>
                <w:szCs w:val="18"/>
              </w:rPr>
            </w:pPr>
            <w:r w:rsidRPr="00F119E3">
              <w:rPr>
                <w:sz w:val="18"/>
                <w:szCs w:val="18"/>
              </w:rPr>
              <w:t>0,0</w:t>
            </w:r>
          </w:p>
        </w:tc>
        <w:tc>
          <w:tcPr>
            <w:tcW w:w="872" w:type="dxa"/>
            <w:gridSpan w:val="2"/>
            <w:tcBorders>
              <w:top w:val="nil"/>
              <w:left w:val="nil"/>
              <w:bottom w:val="nil"/>
              <w:right w:val="nil"/>
            </w:tcBorders>
            <w:shd w:val="clear" w:color="auto" w:fill="auto"/>
            <w:vAlign w:val="center"/>
          </w:tcPr>
          <w:p w14:paraId="1366A9C0" w14:textId="77777777" w:rsidR="000F6636" w:rsidRPr="00F119E3" w:rsidRDefault="000F6636" w:rsidP="00484DB0">
            <w:pPr>
              <w:jc w:val="center"/>
              <w:rPr>
                <w:rFonts w:cs="Times New Roman"/>
                <w:sz w:val="18"/>
                <w:szCs w:val="18"/>
              </w:rPr>
            </w:pPr>
            <w:r w:rsidRPr="00F119E3">
              <w:rPr>
                <w:sz w:val="18"/>
                <w:szCs w:val="18"/>
              </w:rPr>
              <w:t>0,0</w:t>
            </w:r>
          </w:p>
        </w:tc>
        <w:tc>
          <w:tcPr>
            <w:tcW w:w="728" w:type="dxa"/>
            <w:gridSpan w:val="3"/>
            <w:tcBorders>
              <w:top w:val="nil"/>
              <w:left w:val="nil"/>
              <w:bottom w:val="nil"/>
              <w:right w:val="nil"/>
            </w:tcBorders>
            <w:shd w:val="clear" w:color="auto" w:fill="auto"/>
            <w:vAlign w:val="center"/>
          </w:tcPr>
          <w:p w14:paraId="648AE3C5" w14:textId="77777777" w:rsidR="000F6636" w:rsidRPr="00F119E3" w:rsidRDefault="000F6636" w:rsidP="00484DB0">
            <w:pPr>
              <w:jc w:val="center"/>
              <w:rPr>
                <w:rFonts w:cs="Times New Roman"/>
                <w:sz w:val="18"/>
                <w:szCs w:val="18"/>
              </w:rPr>
            </w:pPr>
            <w:r w:rsidRPr="00F119E3">
              <w:rPr>
                <w:sz w:val="18"/>
                <w:szCs w:val="18"/>
              </w:rPr>
              <w:t>0,0</w:t>
            </w:r>
          </w:p>
        </w:tc>
        <w:tc>
          <w:tcPr>
            <w:tcW w:w="651" w:type="dxa"/>
            <w:gridSpan w:val="2"/>
            <w:tcBorders>
              <w:top w:val="nil"/>
              <w:left w:val="nil"/>
              <w:bottom w:val="nil"/>
              <w:right w:val="nil"/>
            </w:tcBorders>
            <w:shd w:val="clear" w:color="auto" w:fill="auto"/>
            <w:vAlign w:val="center"/>
          </w:tcPr>
          <w:p w14:paraId="3F50DF2C" w14:textId="77777777" w:rsidR="000F6636" w:rsidRPr="00F119E3" w:rsidRDefault="000F6636" w:rsidP="00484DB0">
            <w:pPr>
              <w:jc w:val="center"/>
              <w:rPr>
                <w:rFonts w:cs="Times New Roman"/>
                <w:sz w:val="18"/>
                <w:szCs w:val="18"/>
              </w:rPr>
            </w:pPr>
            <w:r w:rsidRPr="00F119E3">
              <w:rPr>
                <w:sz w:val="18"/>
                <w:szCs w:val="18"/>
              </w:rPr>
              <w:t>0,0</w:t>
            </w:r>
          </w:p>
        </w:tc>
        <w:tc>
          <w:tcPr>
            <w:tcW w:w="641" w:type="dxa"/>
            <w:tcBorders>
              <w:top w:val="nil"/>
              <w:left w:val="nil"/>
              <w:bottom w:val="nil"/>
              <w:right w:val="nil"/>
            </w:tcBorders>
            <w:shd w:val="clear" w:color="auto" w:fill="auto"/>
            <w:vAlign w:val="center"/>
          </w:tcPr>
          <w:p w14:paraId="1C8E7653" w14:textId="77777777" w:rsidR="000F6636" w:rsidRPr="00F119E3" w:rsidRDefault="000F6636" w:rsidP="00484DB0">
            <w:pPr>
              <w:jc w:val="center"/>
              <w:rPr>
                <w:rFonts w:cs="Times New Roman"/>
                <w:sz w:val="18"/>
                <w:szCs w:val="18"/>
              </w:rPr>
            </w:pPr>
            <w:r w:rsidRPr="00F119E3">
              <w:rPr>
                <w:sz w:val="18"/>
                <w:szCs w:val="18"/>
              </w:rPr>
              <w:t>0,0</w:t>
            </w:r>
          </w:p>
        </w:tc>
      </w:tr>
      <w:tr w:rsidR="000F6636" w:rsidRPr="00F119E3" w14:paraId="0E407281"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53DB535B" w14:textId="77777777" w:rsidR="000F6636" w:rsidRPr="00F119E3" w:rsidRDefault="000F6636" w:rsidP="00484DB0">
            <w:pPr>
              <w:rPr>
                <w:rFonts w:cs="Times New Roman"/>
                <w:sz w:val="18"/>
                <w:szCs w:val="18"/>
              </w:rPr>
            </w:pPr>
            <w:r w:rsidRPr="00F119E3">
              <w:rPr>
                <w:rFonts w:cs="Times New Roman"/>
                <w:sz w:val="18"/>
                <w:szCs w:val="18"/>
              </w:rPr>
              <w:t xml:space="preserve">13. Príspevky na sociálne zabezpečenie </w:t>
            </w:r>
          </w:p>
        </w:tc>
        <w:tc>
          <w:tcPr>
            <w:tcW w:w="933" w:type="dxa"/>
            <w:gridSpan w:val="2"/>
            <w:tcBorders>
              <w:top w:val="nil"/>
              <w:left w:val="nil"/>
              <w:bottom w:val="nil"/>
              <w:right w:val="nil"/>
            </w:tcBorders>
            <w:shd w:val="clear" w:color="auto" w:fill="auto"/>
            <w:vAlign w:val="center"/>
            <w:hideMark/>
          </w:tcPr>
          <w:p w14:paraId="20199FC7" w14:textId="77777777" w:rsidR="000F6636" w:rsidRPr="00F119E3" w:rsidRDefault="000F6636" w:rsidP="00484DB0">
            <w:pPr>
              <w:jc w:val="center"/>
              <w:rPr>
                <w:rFonts w:cs="Times New Roman"/>
                <w:sz w:val="18"/>
                <w:szCs w:val="18"/>
              </w:rPr>
            </w:pPr>
            <w:r w:rsidRPr="00F119E3">
              <w:rPr>
                <w:rFonts w:cs="Times New Roman"/>
                <w:sz w:val="18"/>
                <w:szCs w:val="18"/>
              </w:rPr>
              <w:t>D.61</w:t>
            </w:r>
          </w:p>
        </w:tc>
        <w:tc>
          <w:tcPr>
            <w:tcW w:w="845" w:type="dxa"/>
            <w:gridSpan w:val="2"/>
            <w:tcBorders>
              <w:top w:val="nil"/>
              <w:left w:val="nil"/>
              <w:bottom w:val="nil"/>
              <w:right w:val="nil"/>
            </w:tcBorders>
            <w:shd w:val="clear" w:color="auto" w:fill="auto"/>
            <w:vAlign w:val="center"/>
          </w:tcPr>
          <w:p w14:paraId="12136758" w14:textId="77777777" w:rsidR="000F6636" w:rsidRPr="00F119E3" w:rsidRDefault="000F6636" w:rsidP="00484DB0">
            <w:pPr>
              <w:jc w:val="center"/>
              <w:rPr>
                <w:rFonts w:cs="Times New Roman"/>
                <w:sz w:val="18"/>
                <w:szCs w:val="18"/>
              </w:rPr>
            </w:pPr>
            <w:r w:rsidRPr="00F119E3">
              <w:rPr>
                <w:sz w:val="18"/>
                <w:szCs w:val="18"/>
              </w:rPr>
              <w:t>18 876</w:t>
            </w:r>
          </w:p>
        </w:tc>
        <w:tc>
          <w:tcPr>
            <w:tcW w:w="795" w:type="dxa"/>
            <w:gridSpan w:val="3"/>
            <w:tcBorders>
              <w:top w:val="nil"/>
              <w:left w:val="nil"/>
              <w:bottom w:val="nil"/>
              <w:right w:val="nil"/>
            </w:tcBorders>
            <w:shd w:val="clear" w:color="auto" w:fill="auto"/>
            <w:vAlign w:val="center"/>
          </w:tcPr>
          <w:p w14:paraId="0D704A7A" w14:textId="77777777" w:rsidR="000F6636" w:rsidRPr="00F119E3" w:rsidRDefault="000F6636" w:rsidP="00484DB0">
            <w:pPr>
              <w:jc w:val="center"/>
              <w:rPr>
                <w:rFonts w:cs="Times New Roman"/>
                <w:sz w:val="18"/>
                <w:szCs w:val="18"/>
              </w:rPr>
            </w:pPr>
            <w:r w:rsidRPr="00F119E3">
              <w:rPr>
                <w:sz w:val="18"/>
                <w:szCs w:val="18"/>
              </w:rPr>
              <w:t>15,4</w:t>
            </w:r>
          </w:p>
        </w:tc>
        <w:tc>
          <w:tcPr>
            <w:tcW w:w="872" w:type="dxa"/>
            <w:gridSpan w:val="2"/>
            <w:tcBorders>
              <w:top w:val="nil"/>
              <w:left w:val="nil"/>
              <w:bottom w:val="nil"/>
              <w:right w:val="nil"/>
            </w:tcBorders>
            <w:shd w:val="clear" w:color="auto" w:fill="auto"/>
            <w:vAlign w:val="center"/>
          </w:tcPr>
          <w:p w14:paraId="27E5E3F1" w14:textId="77777777" w:rsidR="000F6636" w:rsidRPr="00F119E3" w:rsidRDefault="000F6636" w:rsidP="00484DB0">
            <w:pPr>
              <w:jc w:val="center"/>
              <w:rPr>
                <w:rFonts w:cs="Times New Roman"/>
                <w:sz w:val="18"/>
                <w:szCs w:val="18"/>
              </w:rPr>
            </w:pPr>
            <w:r w:rsidRPr="00F119E3">
              <w:rPr>
                <w:sz w:val="18"/>
                <w:szCs w:val="18"/>
              </w:rPr>
              <w:t>15,6</w:t>
            </w:r>
          </w:p>
        </w:tc>
        <w:tc>
          <w:tcPr>
            <w:tcW w:w="728" w:type="dxa"/>
            <w:gridSpan w:val="3"/>
            <w:tcBorders>
              <w:top w:val="nil"/>
              <w:left w:val="nil"/>
              <w:bottom w:val="nil"/>
              <w:right w:val="nil"/>
            </w:tcBorders>
            <w:shd w:val="clear" w:color="auto" w:fill="auto"/>
            <w:vAlign w:val="center"/>
          </w:tcPr>
          <w:p w14:paraId="3966622D" w14:textId="77777777" w:rsidR="000F6636" w:rsidRPr="00F119E3" w:rsidRDefault="000F6636" w:rsidP="00484DB0">
            <w:pPr>
              <w:jc w:val="center"/>
              <w:rPr>
                <w:rFonts w:cs="Times New Roman"/>
                <w:sz w:val="18"/>
                <w:szCs w:val="18"/>
              </w:rPr>
            </w:pPr>
            <w:r w:rsidRPr="00F119E3">
              <w:rPr>
                <w:sz w:val="18"/>
                <w:szCs w:val="18"/>
              </w:rPr>
              <w:t>15,5</w:t>
            </w:r>
          </w:p>
        </w:tc>
        <w:tc>
          <w:tcPr>
            <w:tcW w:w="651" w:type="dxa"/>
            <w:gridSpan w:val="2"/>
            <w:tcBorders>
              <w:top w:val="nil"/>
              <w:left w:val="nil"/>
              <w:bottom w:val="nil"/>
              <w:right w:val="nil"/>
            </w:tcBorders>
            <w:shd w:val="clear" w:color="auto" w:fill="auto"/>
            <w:vAlign w:val="center"/>
          </w:tcPr>
          <w:p w14:paraId="27D13915" w14:textId="77777777" w:rsidR="000F6636" w:rsidRPr="00F119E3" w:rsidRDefault="000F6636" w:rsidP="00484DB0">
            <w:pPr>
              <w:jc w:val="center"/>
              <w:rPr>
                <w:rFonts w:cs="Times New Roman"/>
                <w:sz w:val="18"/>
                <w:szCs w:val="18"/>
              </w:rPr>
            </w:pPr>
            <w:r w:rsidRPr="00F119E3">
              <w:rPr>
                <w:sz w:val="18"/>
                <w:szCs w:val="18"/>
              </w:rPr>
              <w:t>15,7</w:t>
            </w:r>
          </w:p>
        </w:tc>
        <w:tc>
          <w:tcPr>
            <w:tcW w:w="641" w:type="dxa"/>
            <w:tcBorders>
              <w:top w:val="nil"/>
              <w:left w:val="nil"/>
              <w:bottom w:val="nil"/>
              <w:right w:val="nil"/>
            </w:tcBorders>
            <w:shd w:val="clear" w:color="auto" w:fill="auto"/>
            <w:vAlign w:val="center"/>
          </w:tcPr>
          <w:p w14:paraId="2087A137" w14:textId="77777777" w:rsidR="000F6636" w:rsidRPr="00F119E3" w:rsidRDefault="000F6636" w:rsidP="00484DB0">
            <w:pPr>
              <w:jc w:val="center"/>
              <w:rPr>
                <w:rFonts w:cs="Times New Roman"/>
                <w:sz w:val="18"/>
                <w:szCs w:val="18"/>
              </w:rPr>
            </w:pPr>
            <w:r w:rsidRPr="00F119E3">
              <w:rPr>
                <w:sz w:val="18"/>
                <w:szCs w:val="18"/>
              </w:rPr>
              <w:t>15,8</w:t>
            </w:r>
          </w:p>
        </w:tc>
      </w:tr>
      <w:tr w:rsidR="000F6636" w:rsidRPr="00F119E3" w14:paraId="0797273E"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59758931" w14:textId="0DBEDE91" w:rsidR="000F6636" w:rsidRPr="00F119E3" w:rsidRDefault="000F6636" w:rsidP="00484DB0">
            <w:pPr>
              <w:rPr>
                <w:rFonts w:cs="Times New Roman"/>
                <w:sz w:val="18"/>
                <w:szCs w:val="18"/>
              </w:rPr>
            </w:pPr>
            <w:r w:rsidRPr="00F119E3">
              <w:rPr>
                <w:rFonts w:cs="Times New Roman"/>
                <w:sz w:val="18"/>
                <w:szCs w:val="18"/>
              </w:rPr>
              <w:t>14.</w:t>
            </w:r>
            <w:r w:rsidR="008A6CA0">
              <w:rPr>
                <w:rFonts w:cs="Times New Roman"/>
                <w:sz w:val="18"/>
                <w:szCs w:val="18"/>
              </w:rPr>
              <w:t xml:space="preserve"> </w:t>
            </w:r>
            <w:r w:rsidRPr="00F119E3">
              <w:rPr>
                <w:rFonts w:cs="Times New Roman"/>
                <w:sz w:val="18"/>
                <w:szCs w:val="18"/>
              </w:rPr>
              <w:t>Dôchodky z majetku</w:t>
            </w:r>
          </w:p>
        </w:tc>
        <w:tc>
          <w:tcPr>
            <w:tcW w:w="933" w:type="dxa"/>
            <w:gridSpan w:val="2"/>
            <w:tcBorders>
              <w:top w:val="nil"/>
              <w:left w:val="nil"/>
              <w:bottom w:val="nil"/>
              <w:right w:val="nil"/>
            </w:tcBorders>
            <w:shd w:val="clear" w:color="auto" w:fill="auto"/>
            <w:vAlign w:val="center"/>
            <w:hideMark/>
          </w:tcPr>
          <w:p w14:paraId="0D1CFDD6" w14:textId="77777777" w:rsidR="000F6636" w:rsidRPr="00F119E3" w:rsidRDefault="000F6636" w:rsidP="00484DB0">
            <w:pPr>
              <w:jc w:val="center"/>
              <w:rPr>
                <w:rFonts w:cs="Times New Roman"/>
                <w:sz w:val="18"/>
                <w:szCs w:val="18"/>
              </w:rPr>
            </w:pPr>
            <w:r w:rsidRPr="00F119E3">
              <w:rPr>
                <w:rFonts w:cs="Times New Roman"/>
                <w:sz w:val="18"/>
                <w:szCs w:val="18"/>
              </w:rPr>
              <w:t>D.4</w:t>
            </w:r>
          </w:p>
        </w:tc>
        <w:tc>
          <w:tcPr>
            <w:tcW w:w="845" w:type="dxa"/>
            <w:gridSpan w:val="2"/>
            <w:tcBorders>
              <w:top w:val="nil"/>
              <w:left w:val="nil"/>
              <w:bottom w:val="nil"/>
              <w:right w:val="nil"/>
            </w:tcBorders>
            <w:shd w:val="clear" w:color="auto" w:fill="auto"/>
            <w:vAlign w:val="center"/>
          </w:tcPr>
          <w:p w14:paraId="2C42B6D6" w14:textId="77777777" w:rsidR="000F6636" w:rsidRPr="00F119E3" w:rsidRDefault="000F6636" w:rsidP="00484DB0">
            <w:pPr>
              <w:jc w:val="center"/>
              <w:rPr>
                <w:rFonts w:cs="Times New Roman"/>
                <w:sz w:val="18"/>
                <w:szCs w:val="18"/>
              </w:rPr>
            </w:pPr>
            <w:r w:rsidRPr="00F119E3">
              <w:rPr>
                <w:sz w:val="18"/>
                <w:szCs w:val="18"/>
              </w:rPr>
              <w:t>1 198</w:t>
            </w:r>
          </w:p>
        </w:tc>
        <w:tc>
          <w:tcPr>
            <w:tcW w:w="795" w:type="dxa"/>
            <w:gridSpan w:val="3"/>
            <w:tcBorders>
              <w:top w:val="nil"/>
              <w:left w:val="nil"/>
              <w:bottom w:val="nil"/>
              <w:right w:val="nil"/>
            </w:tcBorders>
            <w:shd w:val="clear" w:color="auto" w:fill="auto"/>
            <w:vAlign w:val="center"/>
          </w:tcPr>
          <w:p w14:paraId="166CFD25" w14:textId="77777777" w:rsidR="000F6636" w:rsidRPr="00F119E3" w:rsidRDefault="000F6636" w:rsidP="00484DB0">
            <w:pPr>
              <w:jc w:val="center"/>
              <w:rPr>
                <w:rFonts w:cs="Times New Roman"/>
                <w:sz w:val="18"/>
                <w:szCs w:val="18"/>
              </w:rPr>
            </w:pPr>
            <w:r w:rsidRPr="00F119E3">
              <w:rPr>
                <w:sz w:val="18"/>
                <w:szCs w:val="18"/>
              </w:rPr>
              <w:t>1,0</w:t>
            </w:r>
          </w:p>
        </w:tc>
        <w:tc>
          <w:tcPr>
            <w:tcW w:w="872" w:type="dxa"/>
            <w:gridSpan w:val="2"/>
            <w:tcBorders>
              <w:top w:val="nil"/>
              <w:left w:val="nil"/>
              <w:bottom w:val="nil"/>
              <w:right w:val="nil"/>
            </w:tcBorders>
            <w:shd w:val="clear" w:color="auto" w:fill="auto"/>
            <w:vAlign w:val="center"/>
          </w:tcPr>
          <w:p w14:paraId="6E384044" w14:textId="77777777" w:rsidR="000F6636" w:rsidRPr="00F119E3" w:rsidRDefault="000F6636" w:rsidP="00484DB0">
            <w:pPr>
              <w:jc w:val="center"/>
              <w:rPr>
                <w:rFonts w:cs="Times New Roman"/>
                <w:sz w:val="18"/>
                <w:szCs w:val="18"/>
              </w:rPr>
            </w:pPr>
            <w:r w:rsidRPr="00F119E3">
              <w:rPr>
                <w:sz w:val="18"/>
                <w:szCs w:val="18"/>
              </w:rPr>
              <w:t>0,9</w:t>
            </w:r>
          </w:p>
        </w:tc>
        <w:tc>
          <w:tcPr>
            <w:tcW w:w="728" w:type="dxa"/>
            <w:gridSpan w:val="3"/>
            <w:tcBorders>
              <w:top w:val="nil"/>
              <w:left w:val="nil"/>
              <w:bottom w:val="nil"/>
              <w:right w:val="nil"/>
            </w:tcBorders>
            <w:shd w:val="clear" w:color="auto" w:fill="auto"/>
            <w:vAlign w:val="center"/>
          </w:tcPr>
          <w:p w14:paraId="7F066A02" w14:textId="77777777" w:rsidR="000F6636" w:rsidRPr="00F119E3" w:rsidRDefault="000F6636" w:rsidP="00484DB0">
            <w:pPr>
              <w:jc w:val="center"/>
              <w:rPr>
                <w:rFonts w:cs="Times New Roman"/>
                <w:sz w:val="18"/>
                <w:szCs w:val="18"/>
              </w:rPr>
            </w:pPr>
            <w:r w:rsidRPr="00F119E3">
              <w:rPr>
                <w:sz w:val="18"/>
                <w:szCs w:val="18"/>
              </w:rPr>
              <w:t>0,8</w:t>
            </w:r>
          </w:p>
        </w:tc>
        <w:tc>
          <w:tcPr>
            <w:tcW w:w="651" w:type="dxa"/>
            <w:gridSpan w:val="2"/>
            <w:tcBorders>
              <w:top w:val="nil"/>
              <w:left w:val="nil"/>
              <w:bottom w:val="nil"/>
              <w:right w:val="nil"/>
            </w:tcBorders>
            <w:shd w:val="clear" w:color="auto" w:fill="auto"/>
            <w:vAlign w:val="center"/>
          </w:tcPr>
          <w:p w14:paraId="341DD1ED" w14:textId="77777777" w:rsidR="000F6636" w:rsidRPr="00F119E3" w:rsidRDefault="000F6636" w:rsidP="00484DB0">
            <w:pPr>
              <w:jc w:val="center"/>
              <w:rPr>
                <w:rFonts w:cs="Times New Roman"/>
                <w:sz w:val="18"/>
                <w:szCs w:val="18"/>
              </w:rPr>
            </w:pPr>
            <w:r w:rsidRPr="00F119E3">
              <w:rPr>
                <w:sz w:val="18"/>
                <w:szCs w:val="18"/>
              </w:rPr>
              <w:t>0,6</w:t>
            </w:r>
          </w:p>
        </w:tc>
        <w:tc>
          <w:tcPr>
            <w:tcW w:w="641" w:type="dxa"/>
            <w:tcBorders>
              <w:top w:val="nil"/>
              <w:left w:val="nil"/>
              <w:bottom w:val="nil"/>
              <w:right w:val="nil"/>
            </w:tcBorders>
            <w:shd w:val="clear" w:color="auto" w:fill="auto"/>
            <w:vAlign w:val="center"/>
          </w:tcPr>
          <w:p w14:paraId="770B4D08" w14:textId="77777777" w:rsidR="000F6636" w:rsidRPr="00F119E3" w:rsidRDefault="000F6636" w:rsidP="00484DB0">
            <w:pPr>
              <w:jc w:val="center"/>
              <w:rPr>
                <w:rFonts w:cs="Times New Roman"/>
                <w:sz w:val="18"/>
                <w:szCs w:val="18"/>
              </w:rPr>
            </w:pPr>
            <w:r w:rsidRPr="00F119E3">
              <w:rPr>
                <w:sz w:val="18"/>
                <w:szCs w:val="18"/>
              </w:rPr>
              <w:t>0,6</w:t>
            </w:r>
          </w:p>
        </w:tc>
      </w:tr>
      <w:tr w:rsidR="000F6636" w:rsidRPr="00F119E3" w14:paraId="713E5F0A"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4CC92866" w14:textId="77777777" w:rsidR="000F6636" w:rsidRPr="00F119E3" w:rsidRDefault="000F6636" w:rsidP="00484DB0">
            <w:pPr>
              <w:rPr>
                <w:rFonts w:cs="Times New Roman"/>
                <w:sz w:val="18"/>
                <w:szCs w:val="18"/>
              </w:rPr>
            </w:pPr>
            <w:r w:rsidRPr="00F119E3">
              <w:rPr>
                <w:rFonts w:cs="Times New Roman"/>
                <w:sz w:val="18"/>
                <w:szCs w:val="18"/>
              </w:rPr>
              <w:t>15. Ostatné</w:t>
            </w:r>
          </w:p>
        </w:tc>
        <w:tc>
          <w:tcPr>
            <w:tcW w:w="933" w:type="dxa"/>
            <w:gridSpan w:val="2"/>
            <w:tcBorders>
              <w:top w:val="nil"/>
              <w:left w:val="nil"/>
              <w:bottom w:val="nil"/>
              <w:right w:val="nil"/>
            </w:tcBorders>
            <w:shd w:val="clear" w:color="auto" w:fill="auto"/>
            <w:vAlign w:val="center"/>
            <w:hideMark/>
          </w:tcPr>
          <w:p w14:paraId="5C1FB7B4" w14:textId="77777777" w:rsidR="000F6636" w:rsidRPr="00F119E3" w:rsidRDefault="000F6636" w:rsidP="00484DB0">
            <w:pPr>
              <w:jc w:val="center"/>
              <w:rPr>
                <w:rFonts w:cs="Times New Roman"/>
                <w:sz w:val="18"/>
                <w:szCs w:val="18"/>
              </w:rPr>
            </w:pPr>
            <w:r w:rsidRPr="00F119E3">
              <w:rPr>
                <w:rFonts w:cs="Times New Roman"/>
                <w:sz w:val="18"/>
                <w:szCs w:val="18"/>
                <w:vertAlign w:val="superscript"/>
              </w:rPr>
              <w:t>[4]</w:t>
            </w:r>
          </w:p>
        </w:tc>
        <w:tc>
          <w:tcPr>
            <w:tcW w:w="845" w:type="dxa"/>
            <w:gridSpan w:val="2"/>
            <w:tcBorders>
              <w:top w:val="nil"/>
              <w:left w:val="nil"/>
              <w:bottom w:val="nil"/>
              <w:right w:val="nil"/>
            </w:tcBorders>
            <w:shd w:val="clear" w:color="auto" w:fill="auto"/>
            <w:vAlign w:val="center"/>
          </w:tcPr>
          <w:p w14:paraId="47D76EC0" w14:textId="77777777" w:rsidR="000F6636" w:rsidRPr="00F119E3" w:rsidRDefault="000F6636" w:rsidP="00484DB0">
            <w:pPr>
              <w:jc w:val="center"/>
              <w:rPr>
                <w:rFonts w:cs="Times New Roman"/>
                <w:sz w:val="18"/>
                <w:szCs w:val="18"/>
              </w:rPr>
            </w:pPr>
            <w:r w:rsidRPr="00F119E3">
              <w:rPr>
                <w:sz w:val="18"/>
                <w:szCs w:val="18"/>
              </w:rPr>
              <w:t>9 313</w:t>
            </w:r>
          </w:p>
        </w:tc>
        <w:tc>
          <w:tcPr>
            <w:tcW w:w="795" w:type="dxa"/>
            <w:gridSpan w:val="3"/>
            <w:tcBorders>
              <w:top w:val="nil"/>
              <w:left w:val="nil"/>
              <w:bottom w:val="nil"/>
              <w:right w:val="nil"/>
            </w:tcBorders>
            <w:shd w:val="clear" w:color="auto" w:fill="auto"/>
            <w:vAlign w:val="center"/>
          </w:tcPr>
          <w:p w14:paraId="2EC086FB" w14:textId="77777777" w:rsidR="000F6636" w:rsidRPr="00F119E3" w:rsidRDefault="000F6636" w:rsidP="00484DB0">
            <w:pPr>
              <w:jc w:val="center"/>
              <w:rPr>
                <w:rFonts w:cs="Times New Roman"/>
                <w:sz w:val="18"/>
                <w:szCs w:val="18"/>
              </w:rPr>
            </w:pPr>
            <w:r w:rsidRPr="00F119E3">
              <w:rPr>
                <w:sz w:val="18"/>
                <w:szCs w:val="18"/>
              </w:rPr>
              <w:t>7,6</w:t>
            </w:r>
          </w:p>
        </w:tc>
        <w:tc>
          <w:tcPr>
            <w:tcW w:w="872" w:type="dxa"/>
            <w:gridSpan w:val="2"/>
            <w:tcBorders>
              <w:top w:val="nil"/>
              <w:left w:val="nil"/>
              <w:bottom w:val="nil"/>
              <w:right w:val="nil"/>
            </w:tcBorders>
            <w:shd w:val="clear" w:color="auto" w:fill="auto"/>
            <w:vAlign w:val="center"/>
          </w:tcPr>
          <w:p w14:paraId="2B070CBF" w14:textId="77777777" w:rsidR="000F6636" w:rsidRPr="00F119E3" w:rsidRDefault="000F6636" w:rsidP="00484DB0">
            <w:pPr>
              <w:jc w:val="center"/>
              <w:rPr>
                <w:rFonts w:cs="Times New Roman"/>
                <w:sz w:val="18"/>
                <w:szCs w:val="18"/>
              </w:rPr>
            </w:pPr>
            <w:r w:rsidRPr="00F119E3">
              <w:rPr>
                <w:sz w:val="18"/>
                <w:szCs w:val="18"/>
              </w:rPr>
              <w:t>5,8</w:t>
            </w:r>
          </w:p>
        </w:tc>
        <w:tc>
          <w:tcPr>
            <w:tcW w:w="728" w:type="dxa"/>
            <w:gridSpan w:val="3"/>
            <w:tcBorders>
              <w:top w:val="nil"/>
              <w:left w:val="nil"/>
              <w:bottom w:val="nil"/>
              <w:right w:val="nil"/>
            </w:tcBorders>
            <w:shd w:val="clear" w:color="auto" w:fill="auto"/>
            <w:vAlign w:val="center"/>
          </w:tcPr>
          <w:p w14:paraId="4880D2C1" w14:textId="77777777" w:rsidR="000F6636" w:rsidRPr="00F119E3" w:rsidRDefault="000F6636" w:rsidP="00484DB0">
            <w:pPr>
              <w:jc w:val="center"/>
              <w:rPr>
                <w:rFonts w:cs="Times New Roman"/>
                <w:sz w:val="18"/>
                <w:szCs w:val="18"/>
              </w:rPr>
            </w:pPr>
            <w:r w:rsidRPr="00F119E3">
              <w:rPr>
                <w:sz w:val="18"/>
                <w:szCs w:val="18"/>
              </w:rPr>
              <w:t>5,7</w:t>
            </w:r>
          </w:p>
        </w:tc>
        <w:tc>
          <w:tcPr>
            <w:tcW w:w="651" w:type="dxa"/>
            <w:gridSpan w:val="2"/>
            <w:tcBorders>
              <w:top w:val="nil"/>
              <w:left w:val="nil"/>
              <w:bottom w:val="nil"/>
              <w:right w:val="nil"/>
            </w:tcBorders>
            <w:shd w:val="clear" w:color="auto" w:fill="auto"/>
            <w:vAlign w:val="center"/>
          </w:tcPr>
          <w:p w14:paraId="11220803" w14:textId="77777777" w:rsidR="000F6636" w:rsidRPr="00F119E3" w:rsidRDefault="000F6636" w:rsidP="00484DB0">
            <w:pPr>
              <w:jc w:val="center"/>
              <w:rPr>
                <w:rFonts w:cs="Times New Roman"/>
                <w:sz w:val="18"/>
                <w:szCs w:val="18"/>
              </w:rPr>
            </w:pPr>
            <w:r w:rsidRPr="00F119E3">
              <w:rPr>
                <w:sz w:val="18"/>
                <w:szCs w:val="18"/>
              </w:rPr>
              <w:t>5,2</w:t>
            </w:r>
          </w:p>
        </w:tc>
        <w:tc>
          <w:tcPr>
            <w:tcW w:w="641" w:type="dxa"/>
            <w:tcBorders>
              <w:top w:val="nil"/>
              <w:left w:val="nil"/>
              <w:bottom w:val="nil"/>
              <w:right w:val="nil"/>
            </w:tcBorders>
            <w:shd w:val="clear" w:color="auto" w:fill="auto"/>
            <w:vAlign w:val="center"/>
          </w:tcPr>
          <w:p w14:paraId="619A2305" w14:textId="77777777" w:rsidR="000F6636" w:rsidRPr="00F119E3" w:rsidRDefault="000F6636" w:rsidP="00484DB0">
            <w:pPr>
              <w:jc w:val="center"/>
              <w:rPr>
                <w:rFonts w:cs="Times New Roman"/>
                <w:sz w:val="18"/>
                <w:szCs w:val="18"/>
              </w:rPr>
            </w:pPr>
            <w:r w:rsidRPr="00F119E3">
              <w:rPr>
                <w:sz w:val="18"/>
                <w:szCs w:val="18"/>
              </w:rPr>
              <w:t>4,7</w:t>
            </w:r>
          </w:p>
        </w:tc>
      </w:tr>
      <w:tr w:rsidR="000F6636" w:rsidRPr="00F119E3" w14:paraId="5F246B7F" w14:textId="77777777" w:rsidTr="00484DB0">
        <w:trPr>
          <w:gridAfter w:val="3"/>
          <w:wAfter w:w="524" w:type="dxa"/>
          <w:trHeight w:val="279"/>
        </w:trPr>
        <w:tc>
          <w:tcPr>
            <w:tcW w:w="3540" w:type="dxa"/>
            <w:gridSpan w:val="3"/>
            <w:tcBorders>
              <w:top w:val="nil"/>
              <w:left w:val="nil"/>
              <w:bottom w:val="nil"/>
              <w:right w:val="nil"/>
            </w:tcBorders>
            <w:shd w:val="clear" w:color="auto" w:fill="auto"/>
            <w:vAlign w:val="center"/>
            <w:hideMark/>
          </w:tcPr>
          <w:p w14:paraId="00D0F5E0" w14:textId="77777777" w:rsidR="000F6636" w:rsidRPr="00F119E3" w:rsidRDefault="000F6636" w:rsidP="00484DB0">
            <w:pPr>
              <w:rPr>
                <w:rFonts w:cs="Times New Roman"/>
                <w:sz w:val="18"/>
                <w:szCs w:val="18"/>
              </w:rPr>
            </w:pPr>
            <w:r w:rsidRPr="00F119E3">
              <w:rPr>
                <w:rFonts w:cs="Times New Roman"/>
                <w:sz w:val="18"/>
                <w:szCs w:val="18"/>
              </w:rPr>
              <w:t>16=6. Celkové príjmy</w:t>
            </w:r>
          </w:p>
        </w:tc>
        <w:tc>
          <w:tcPr>
            <w:tcW w:w="933" w:type="dxa"/>
            <w:gridSpan w:val="2"/>
            <w:tcBorders>
              <w:top w:val="nil"/>
              <w:left w:val="nil"/>
              <w:bottom w:val="nil"/>
              <w:right w:val="nil"/>
            </w:tcBorders>
            <w:shd w:val="clear" w:color="auto" w:fill="auto"/>
            <w:vAlign w:val="center"/>
            <w:hideMark/>
          </w:tcPr>
          <w:p w14:paraId="6B7553EF" w14:textId="77777777" w:rsidR="000F6636" w:rsidRPr="00F119E3" w:rsidRDefault="000F6636" w:rsidP="00484DB0">
            <w:pPr>
              <w:jc w:val="center"/>
              <w:rPr>
                <w:rFonts w:cs="Times New Roman"/>
                <w:sz w:val="18"/>
                <w:szCs w:val="18"/>
              </w:rPr>
            </w:pPr>
            <w:r w:rsidRPr="00F119E3">
              <w:rPr>
                <w:rFonts w:cs="Times New Roman"/>
                <w:sz w:val="18"/>
                <w:szCs w:val="18"/>
              </w:rPr>
              <w:t>TR</w:t>
            </w:r>
          </w:p>
        </w:tc>
        <w:tc>
          <w:tcPr>
            <w:tcW w:w="845" w:type="dxa"/>
            <w:gridSpan w:val="2"/>
            <w:tcBorders>
              <w:top w:val="nil"/>
              <w:left w:val="nil"/>
              <w:bottom w:val="nil"/>
              <w:right w:val="nil"/>
            </w:tcBorders>
            <w:shd w:val="clear" w:color="auto" w:fill="auto"/>
            <w:vAlign w:val="center"/>
          </w:tcPr>
          <w:p w14:paraId="0F21F58F" w14:textId="77777777" w:rsidR="000F6636" w:rsidRPr="00F119E3" w:rsidRDefault="000F6636" w:rsidP="00484DB0">
            <w:pPr>
              <w:jc w:val="center"/>
              <w:rPr>
                <w:rFonts w:cs="Times New Roman"/>
                <w:sz w:val="18"/>
                <w:szCs w:val="18"/>
              </w:rPr>
            </w:pPr>
            <w:r w:rsidRPr="00F119E3">
              <w:rPr>
                <w:sz w:val="18"/>
                <w:szCs w:val="18"/>
              </w:rPr>
              <w:t>52 843</w:t>
            </w:r>
          </w:p>
        </w:tc>
        <w:tc>
          <w:tcPr>
            <w:tcW w:w="795" w:type="dxa"/>
            <w:gridSpan w:val="3"/>
            <w:tcBorders>
              <w:top w:val="nil"/>
              <w:left w:val="nil"/>
              <w:bottom w:val="nil"/>
              <w:right w:val="nil"/>
            </w:tcBorders>
            <w:shd w:val="clear" w:color="auto" w:fill="auto"/>
            <w:vAlign w:val="center"/>
          </w:tcPr>
          <w:p w14:paraId="24D62606" w14:textId="77777777" w:rsidR="000F6636" w:rsidRPr="00F119E3" w:rsidRDefault="000F6636" w:rsidP="00484DB0">
            <w:pPr>
              <w:jc w:val="center"/>
              <w:rPr>
                <w:rFonts w:cs="Times New Roman"/>
                <w:sz w:val="18"/>
                <w:szCs w:val="18"/>
              </w:rPr>
            </w:pPr>
            <w:r w:rsidRPr="00F119E3">
              <w:rPr>
                <w:sz w:val="18"/>
                <w:szCs w:val="18"/>
              </w:rPr>
              <w:t>43,0</w:t>
            </w:r>
          </w:p>
        </w:tc>
        <w:tc>
          <w:tcPr>
            <w:tcW w:w="872" w:type="dxa"/>
            <w:gridSpan w:val="2"/>
            <w:tcBorders>
              <w:top w:val="nil"/>
              <w:left w:val="nil"/>
              <w:bottom w:val="nil"/>
              <w:right w:val="nil"/>
            </w:tcBorders>
            <w:shd w:val="clear" w:color="auto" w:fill="auto"/>
            <w:vAlign w:val="center"/>
          </w:tcPr>
          <w:p w14:paraId="467D7B10" w14:textId="77777777" w:rsidR="000F6636" w:rsidRPr="00F119E3" w:rsidRDefault="000F6636" w:rsidP="00484DB0">
            <w:pPr>
              <w:jc w:val="center"/>
              <w:rPr>
                <w:rFonts w:cs="Times New Roman"/>
                <w:sz w:val="18"/>
                <w:szCs w:val="18"/>
              </w:rPr>
            </w:pPr>
            <w:r w:rsidRPr="00F119E3">
              <w:rPr>
                <w:sz w:val="18"/>
                <w:szCs w:val="18"/>
              </w:rPr>
              <w:t>41,0</w:t>
            </w:r>
          </w:p>
        </w:tc>
        <w:tc>
          <w:tcPr>
            <w:tcW w:w="728" w:type="dxa"/>
            <w:gridSpan w:val="3"/>
            <w:tcBorders>
              <w:top w:val="nil"/>
              <w:left w:val="nil"/>
              <w:bottom w:val="nil"/>
              <w:right w:val="nil"/>
            </w:tcBorders>
            <w:shd w:val="clear" w:color="auto" w:fill="auto"/>
            <w:vAlign w:val="center"/>
          </w:tcPr>
          <w:p w14:paraId="56E6E835" w14:textId="77777777" w:rsidR="000F6636" w:rsidRPr="00F119E3" w:rsidRDefault="000F6636" w:rsidP="00484DB0">
            <w:pPr>
              <w:jc w:val="center"/>
              <w:rPr>
                <w:rFonts w:cs="Times New Roman"/>
                <w:sz w:val="18"/>
                <w:szCs w:val="18"/>
              </w:rPr>
            </w:pPr>
            <w:r w:rsidRPr="00F119E3">
              <w:rPr>
                <w:sz w:val="18"/>
                <w:szCs w:val="18"/>
              </w:rPr>
              <w:t>40,5</w:t>
            </w:r>
          </w:p>
        </w:tc>
        <w:tc>
          <w:tcPr>
            <w:tcW w:w="651" w:type="dxa"/>
            <w:gridSpan w:val="2"/>
            <w:tcBorders>
              <w:top w:val="nil"/>
              <w:left w:val="nil"/>
              <w:bottom w:val="nil"/>
              <w:right w:val="nil"/>
            </w:tcBorders>
            <w:shd w:val="clear" w:color="auto" w:fill="auto"/>
            <w:vAlign w:val="center"/>
          </w:tcPr>
          <w:p w14:paraId="73671976" w14:textId="77777777" w:rsidR="000F6636" w:rsidRPr="00F119E3" w:rsidRDefault="000F6636" w:rsidP="00484DB0">
            <w:pPr>
              <w:jc w:val="center"/>
              <w:rPr>
                <w:rFonts w:cs="Times New Roman"/>
                <w:sz w:val="18"/>
                <w:szCs w:val="18"/>
              </w:rPr>
            </w:pPr>
            <w:r w:rsidRPr="00F119E3">
              <w:rPr>
                <w:sz w:val="18"/>
                <w:szCs w:val="18"/>
              </w:rPr>
              <w:t>39,7</w:t>
            </w:r>
          </w:p>
        </w:tc>
        <w:tc>
          <w:tcPr>
            <w:tcW w:w="641" w:type="dxa"/>
            <w:tcBorders>
              <w:top w:val="nil"/>
              <w:left w:val="nil"/>
              <w:bottom w:val="nil"/>
              <w:right w:val="nil"/>
            </w:tcBorders>
            <w:shd w:val="clear" w:color="auto" w:fill="auto"/>
            <w:vAlign w:val="center"/>
          </w:tcPr>
          <w:p w14:paraId="5548A666" w14:textId="77777777" w:rsidR="000F6636" w:rsidRPr="00F119E3" w:rsidRDefault="000F6636" w:rsidP="00484DB0">
            <w:pPr>
              <w:jc w:val="center"/>
              <w:rPr>
                <w:rFonts w:cs="Times New Roman"/>
                <w:sz w:val="18"/>
                <w:szCs w:val="18"/>
              </w:rPr>
            </w:pPr>
            <w:r w:rsidRPr="00F119E3">
              <w:rPr>
                <w:sz w:val="18"/>
                <w:szCs w:val="18"/>
              </w:rPr>
              <w:t>39,0</w:t>
            </w:r>
          </w:p>
        </w:tc>
      </w:tr>
      <w:tr w:rsidR="000F6636" w:rsidRPr="00F119E3" w14:paraId="32B6EA44" w14:textId="77777777" w:rsidTr="00484DB0">
        <w:trPr>
          <w:gridAfter w:val="3"/>
          <w:wAfter w:w="524" w:type="dxa"/>
          <w:trHeight w:val="279"/>
        </w:trPr>
        <w:tc>
          <w:tcPr>
            <w:tcW w:w="3540" w:type="dxa"/>
            <w:gridSpan w:val="3"/>
            <w:tcBorders>
              <w:top w:val="nil"/>
              <w:left w:val="nil"/>
              <w:bottom w:val="single" w:sz="4" w:space="0" w:color="auto"/>
              <w:right w:val="nil"/>
            </w:tcBorders>
            <w:shd w:val="clear" w:color="auto" w:fill="auto"/>
            <w:noWrap/>
            <w:vAlign w:val="center"/>
            <w:hideMark/>
          </w:tcPr>
          <w:p w14:paraId="133CDC2E" w14:textId="77777777" w:rsidR="000F6636" w:rsidRPr="00F119E3" w:rsidRDefault="000F6636" w:rsidP="00484DB0">
            <w:pPr>
              <w:rPr>
                <w:rFonts w:cs="Times New Roman"/>
                <w:sz w:val="18"/>
                <w:szCs w:val="18"/>
              </w:rPr>
            </w:pPr>
            <w:r w:rsidRPr="00F119E3">
              <w:rPr>
                <w:rFonts w:cs="Times New Roman"/>
                <w:sz w:val="18"/>
                <w:szCs w:val="18"/>
              </w:rPr>
              <w:t>p. m.: Daňové zaťaženie (D.2+D.5+D.61+D.91-D.995)</w:t>
            </w:r>
          </w:p>
        </w:tc>
        <w:tc>
          <w:tcPr>
            <w:tcW w:w="933" w:type="dxa"/>
            <w:gridSpan w:val="2"/>
            <w:tcBorders>
              <w:top w:val="nil"/>
              <w:left w:val="nil"/>
              <w:bottom w:val="single" w:sz="4" w:space="0" w:color="auto"/>
              <w:right w:val="nil"/>
            </w:tcBorders>
            <w:shd w:val="clear" w:color="auto" w:fill="auto"/>
            <w:vAlign w:val="center"/>
            <w:hideMark/>
          </w:tcPr>
          <w:p w14:paraId="20D7798D" w14:textId="77777777" w:rsidR="000F6636" w:rsidRPr="00F119E3" w:rsidRDefault="000F6636" w:rsidP="00484DB0">
            <w:pPr>
              <w:jc w:val="center"/>
              <w:rPr>
                <w:rFonts w:cs="Times New Roman"/>
                <w:sz w:val="18"/>
                <w:szCs w:val="18"/>
              </w:rPr>
            </w:pPr>
            <w:r w:rsidRPr="00F119E3">
              <w:rPr>
                <w:rFonts w:cs="Times New Roman"/>
                <w:sz w:val="18"/>
                <w:szCs w:val="18"/>
                <w:vertAlign w:val="superscript"/>
              </w:rPr>
              <w:t>[5]</w:t>
            </w:r>
          </w:p>
        </w:tc>
        <w:tc>
          <w:tcPr>
            <w:tcW w:w="845" w:type="dxa"/>
            <w:gridSpan w:val="2"/>
            <w:tcBorders>
              <w:top w:val="nil"/>
              <w:left w:val="nil"/>
              <w:bottom w:val="nil"/>
              <w:right w:val="nil"/>
            </w:tcBorders>
            <w:shd w:val="clear" w:color="auto" w:fill="auto"/>
            <w:vAlign w:val="center"/>
          </w:tcPr>
          <w:p w14:paraId="055EC97A" w14:textId="77777777" w:rsidR="000F6636" w:rsidRPr="00F119E3" w:rsidRDefault="000F6636" w:rsidP="00484DB0">
            <w:pPr>
              <w:jc w:val="center"/>
              <w:rPr>
                <w:rFonts w:cs="Times New Roman"/>
                <w:sz w:val="18"/>
                <w:szCs w:val="18"/>
              </w:rPr>
            </w:pPr>
            <w:r w:rsidRPr="00F119E3">
              <w:rPr>
                <w:sz w:val="18"/>
                <w:szCs w:val="18"/>
              </w:rPr>
              <w:t>43 530</w:t>
            </w:r>
          </w:p>
        </w:tc>
        <w:tc>
          <w:tcPr>
            <w:tcW w:w="795" w:type="dxa"/>
            <w:gridSpan w:val="3"/>
            <w:tcBorders>
              <w:top w:val="nil"/>
              <w:left w:val="nil"/>
              <w:bottom w:val="nil"/>
              <w:right w:val="nil"/>
            </w:tcBorders>
            <w:shd w:val="clear" w:color="auto" w:fill="auto"/>
            <w:vAlign w:val="center"/>
          </w:tcPr>
          <w:p w14:paraId="20640A17" w14:textId="77777777" w:rsidR="000F6636" w:rsidRPr="00F119E3" w:rsidRDefault="000F6636" w:rsidP="00484DB0">
            <w:pPr>
              <w:jc w:val="center"/>
              <w:rPr>
                <w:rFonts w:cs="Times New Roman"/>
                <w:sz w:val="18"/>
                <w:szCs w:val="18"/>
              </w:rPr>
            </w:pPr>
            <w:r w:rsidRPr="00F119E3">
              <w:rPr>
                <w:sz w:val="18"/>
                <w:szCs w:val="18"/>
              </w:rPr>
              <w:t>35,4</w:t>
            </w:r>
          </w:p>
        </w:tc>
        <w:tc>
          <w:tcPr>
            <w:tcW w:w="872" w:type="dxa"/>
            <w:gridSpan w:val="2"/>
            <w:tcBorders>
              <w:top w:val="nil"/>
              <w:left w:val="nil"/>
              <w:bottom w:val="nil"/>
              <w:right w:val="nil"/>
            </w:tcBorders>
            <w:shd w:val="clear" w:color="auto" w:fill="auto"/>
            <w:vAlign w:val="center"/>
          </w:tcPr>
          <w:p w14:paraId="38E3D3BF" w14:textId="77777777" w:rsidR="000F6636" w:rsidRPr="00F119E3" w:rsidRDefault="000F6636" w:rsidP="00484DB0">
            <w:pPr>
              <w:jc w:val="center"/>
              <w:rPr>
                <w:rFonts w:cs="Times New Roman"/>
                <w:sz w:val="18"/>
                <w:szCs w:val="18"/>
              </w:rPr>
            </w:pPr>
            <w:r w:rsidRPr="00F119E3">
              <w:rPr>
                <w:sz w:val="18"/>
                <w:szCs w:val="18"/>
              </w:rPr>
              <w:t>35,2</w:t>
            </w:r>
          </w:p>
        </w:tc>
        <w:tc>
          <w:tcPr>
            <w:tcW w:w="728" w:type="dxa"/>
            <w:gridSpan w:val="3"/>
            <w:tcBorders>
              <w:top w:val="nil"/>
              <w:left w:val="nil"/>
              <w:bottom w:val="nil"/>
              <w:right w:val="nil"/>
            </w:tcBorders>
            <w:shd w:val="clear" w:color="auto" w:fill="auto"/>
            <w:vAlign w:val="center"/>
          </w:tcPr>
          <w:p w14:paraId="173F137E" w14:textId="77777777" w:rsidR="000F6636" w:rsidRPr="00F119E3" w:rsidRDefault="000F6636" w:rsidP="00484DB0">
            <w:pPr>
              <w:jc w:val="center"/>
              <w:rPr>
                <w:rFonts w:cs="Times New Roman"/>
                <w:sz w:val="18"/>
                <w:szCs w:val="18"/>
              </w:rPr>
            </w:pPr>
            <w:r w:rsidRPr="00F119E3">
              <w:rPr>
                <w:sz w:val="18"/>
                <w:szCs w:val="18"/>
              </w:rPr>
              <w:t>34,9</w:t>
            </w:r>
          </w:p>
        </w:tc>
        <w:tc>
          <w:tcPr>
            <w:tcW w:w="651" w:type="dxa"/>
            <w:gridSpan w:val="2"/>
            <w:tcBorders>
              <w:top w:val="nil"/>
              <w:left w:val="nil"/>
              <w:bottom w:val="nil"/>
              <w:right w:val="nil"/>
            </w:tcBorders>
            <w:shd w:val="clear" w:color="auto" w:fill="auto"/>
            <w:vAlign w:val="center"/>
          </w:tcPr>
          <w:p w14:paraId="69DB78BA" w14:textId="77777777" w:rsidR="000F6636" w:rsidRPr="00F119E3" w:rsidRDefault="000F6636" w:rsidP="00484DB0">
            <w:pPr>
              <w:jc w:val="center"/>
              <w:rPr>
                <w:rFonts w:cs="Times New Roman"/>
                <w:sz w:val="18"/>
                <w:szCs w:val="18"/>
              </w:rPr>
            </w:pPr>
            <w:r w:rsidRPr="00F119E3">
              <w:rPr>
                <w:sz w:val="18"/>
                <w:szCs w:val="18"/>
              </w:rPr>
              <w:t>34,5</w:t>
            </w:r>
          </w:p>
        </w:tc>
        <w:tc>
          <w:tcPr>
            <w:tcW w:w="641" w:type="dxa"/>
            <w:tcBorders>
              <w:top w:val="nil"/>
              <w:left w:val="nil"/>
              <w:bottom w:val="single" w:sz="4" w:space="0" w:color="auto"/>
              <w:right w:val="nil"/>
            </w:tcBorders>
            <w:shd w:val="clear" w:color="auto" w:fill="auto"/>
            <w:vAlign w:val="center"/>
          </w:tcPr>
          <w:p w14:paraId="23B35B01" w14:textId="77777777" w:rsidR="000F6636" w:rsidRPr="00F119E3" w:rsidRDefault="000F6636" w:rsidP="00484DB0">
            <w:pPr>
              <w:jc w:val="center"/>
              <w:rPr>
                <w:rFonts w:cs="Times New Roman"/>
                <w:sz w:val="18"/>
                <w:szCs w:val="18"/>
              </w:rPr>
            </w:pPr>
            <w:r w:rsidRPr="00F119E3">
              <w:rPr>
                <w:sz w:val="18"/>
                <w:szCs w:val="18"/>
              </w:rPr>
              <w:t>34,3</w:t>
            </w:r>
          </w:p>
        </w:tc>
      </w:tr>
      <w:tr w:rsidR="000F6636" w:rsidRPr="00F119E3" w14:paraId="4BFAF49B" w14:textId="77777777" w:rsidTr="00484DB0">
        <w:trPr>
          <w:gridAfter w:val="3"/>
          <w:wAfter w:w="524" w:type="dxa"/>
          <w:trHeight w:val="279"/>
        </w:trPr>
        <w:tc>
          <w:tcPr>
            <w:tcW w:w="9005" w:type="dxa"/>
            <w:gridSpan w:val="18"/>
            <w:tcBorders>
              <w:top w:val="single" w:sz="4" w:space="0" w:color="auto"/>
              <w:left w:val="nil"/>
              <w:bottom w:val="single" w:sz="6" w:space="0" w:color="auto"/>
              <w:right w:val="nil"/>
            </w:tcBorders>
            <w:shd w:val="clear" w:color="auto" w:fill="auto"/>
            <w:vAlign w:val="center"/>
            <w:hideMark/>
          </w:tcPr>
          <w:p w14:paraId="2E45EF52" w14:textId="77777777" w:rsidR="000F6636" w:rsidRPr="00F119E3" w:rsidRDefault="000F6636" w:rsidP="00484DB0">
            <w:pPr>
              <w:jc w:val="center"/>
              <w:rPr>
                <w:rFonts w:cs="Times New Roman"/>
                <w:b/>
                <w:bCs/>
                <w:sz w:val="18"/>
                <w:szCs w:val="18"/>
              </w:rPr>
            </w:pPr>
            <w:r w:rsidRPr="00F119E3">
              <w:rPr>
                <w:rFonts w:cs="Times New Roman"/>
                <w:b/>
                <w:bCs/>
                <w:sz w:val="18"/>
                <w:szCs w:val="18"/>
              </w:rPr>
              <w:t>Vybrané zložky výdavkov</w:t>
            </w:r>
          </w:p>
        </w:tc>
      </w:tr>
      <w:tr w:rsidR="000F6636" w:rsidRPr="00F119E3" w14:paraId="62C128A1" w14:textId="77777777" w:rsidTr="00484DB0">
        <w:trPr>
          <w:gridAfter w:val="3"/>
          <w:wAfter w:w="524" w:type="dxa"/>
          <w:trHeight w:val="279"/>
        </w:trPr>
        <w:tc>
          <w:tcPr>
            <w:tcW w:w="3540" w:type="dxa"/>
            <w:gridSpan w:val="3"/>
            <w:tcBorders>
              <w:top w:val="single" w:sz="6" w:space="0" w:color="auto"/>
              <w:left w:val="nil"/>
              <w:bottom w:val="nil"/>
              <w:right w:val="nil"/>
            </w:tcBorders>
            <w:shd w:val="clear" w:color="auto" w:fill="auto"/>
            <w:hideMark/>
          </w:tcPr>
          <w:p w14:paraId="7586B3A6" w14:textId="77777777" w:rsidR="000F6636" w:rsidRPr="00F119E3" w:rsidRDefault="000F6636" w:rsidP="00484DB0">
            <w:pPr>
              <w:rPr>
                <w:rFonts w:cs="Times New Roman"/>
                <w:sz w:val="18"/>
                <w:szCs w:val="18"/>
              </w:rPr>
            </w:pPr>
            <w:r w:rsidRPr="00F119E3">
              <w:rPr>
                <w:rFonts w:cs="Times New Roman"/>
                <w:sz w:val="18"/>
                <w:szCs w:val="18"/>
              </w:rPr>
              <w:t>17. Odmeny zamestnancov + Medzispotreba</w:t>
            </w:r>
          </w:p>
        </w:tc>
        <w:tc>
          <w:tcPr>
            <w:tcW w:w="933" w:type="dxa"/>
            <w:gridSpan w:val="2"/>
            <w:tcBorders>
              <w:top w:val="single" w:sz="6" w:space="0" w:color="auto"/>
              <w:left w:val="nil"/>
              <w:bottom w:val="nil"/>
              <w:right w:val="nil"/>
            </w:tcBorders>
            <w:shd w:val="clear" w:color="auto" w:fill="auto"/>
            <w:hideMark/>
          </w:tcPr>
          <w:p w14:paraId="4BA6E33C" w14:textId="77777777" w:rsidR="000F6636" w:rsidRPr="00F119E3" w:rsidRDefault="000F6636" w:rsidP="00484DB0">
            <w:pPr>
              <w:jc w:val="center"/>
              <w:rPr>
                <w:rFonts w:cs="Times New Roman"/>
                <w:sz w:val="18"/>
                <w:szCs w:val="18"/>
              </w:rPr>
            </w:pPr>
            <w:r w:rsidRPr="00F119E3">
              <w:rPr>
                <w:rFonts w:cs="Times New Roman"/>
                <w:sz w:val="18"/>
                <w:szCs w:val="18"/>
              </w:rPr>
              <w:t>D.1+P.2</w:t>
            </w:r>
          </w:p>
        </w:tc>
        <w:tc>
          <w:tcPr>
            <w:tcW w:w="845" w:type="dxa"/>
            <w:gridSpan w:val="2"/>
            <w:tcBorders>
              <w:top w:val="nil"/>
              <w:left w:val="nil"/>
              <w:bottom w:val="nil"/>
              <w:right w:val="nil"/>
            </w:tcBorders>
            <w:shd w:val="clear" w:color="auto" w:fill="auto"/>
            <w:vAlign w:val="center"/>
          </w:tcPr>
          <w:p w14:paraId="5C685F6B" w14:textId="77777777" w:rsidR="000F6636" w:rsidRPr="00F119E3" w:rsidRDefault="000F6636" w:rsidP="00484DB0">
            <w:pPr>
              <w:jc w:val="center"/>
              <w:rPr>
                <w:rFonts w:cs="Times New Roman"/>
                <w:sz w:val="18"/>
                <w:szCs w:val="18"/>
              </w:rPr>
            </w:pPr>
            <w:r w:rsidRPr="00F119E3">
              <w:rPr>
                <w:sz w:val="18"/>
                <w:szCs w:val="18"/>
              </w:rPr>
              <w:t>20 396</w:t>
            </w:r>
          </w:p>
        </w:tc>
        <w:tc>
          <w:tcPr>
            <w:tcW w:w="795" w:type="dxa"/>
            <w:gridSpan w:val="3"/>
            <w:tcBorders>
              <w:top w:val="nil"/>
              <w:left w:val="nil"/>
              <w:bottom w:val="nil"/>
              <w:right w:val="nil"/>
            </w:tcBorders>
            <w:shd w:val="clear" w:color="auto" w:fill="auto"/>
            <w:vAlign w:val="center"/>
          </w:tcPr>
          <w:p w14:paraId="2B2177EB" w14:textId="77777777" w:rsidR="000F6636" w:rsidRPr="00F119E3" w:rsidRDefault="000F6636" w:rsidP="00484DB0">
            <w:pPr>
              <w:jc w:val="center"/>
              <w:rPr>
                <w:rFonts w:cs="Times New Roman"/>
                <w:sz w:val="18"/>
                <w:szCs w:val="18"/>
              </w:rPr>
            </w:pPr>
            <w:r w:rsidRPr="00F119E3">
              <w:rPr>
                <w:sz w:val="18"/>
                <w:szCs w:val="18"/>
              </w:rPr>
              <w:t>16,6</w:t>
            </w:r>
          </w:p>
        </w:tc>
        <w:tc>
          <w:tcPr>
            <w:tcW w:w="872" w:type="dxa"/>
            <w:gridSpan w:val="2"/>
            <w:tcBorders>
              <w:top w:val="nil"/>
              <w:left w:val="nil"/>
              <w:bottom w:val="nil"/>
              <w:right w:val="nil"/>
            </w:tcBorders>
            <w:shd w:val="clear" w:color="auto" w:fill="auto"/>
            <w:vAlign w:val="center"/>
          </w:tcPr>
          <w:p w14:paraId="3E02495D" w14:textId="77777777" w:rsidR="000F6636" w:rsidRPr="00F119E3" w:rsidRDefault="000F6636" w:rsidP="00484DB0">
            <w:pPr>
              <w:jc w:val="center"/>
              <w:rPr>
                <w:rFonts w:cs="Times New Roman"/>
                <w:sz w:val="18"/>
                <w:szCs w:val="18"/>
              </w:rPr>
            </w:pPr>
            <w:r w:rsidRPr="00F119E3">
              <w:rPr>
                <w:sz w:val="18"/>
                <w:szCs w:val="18"/>
              </w:rPr>
              <w:t>17,0</w:t>
            </w:r>
          </w:p>
        </w:tc>
        <w:tc>
          <w:tcPr>
            <w:tcW w:w="728" w:type="dxa"/>
            <w:gridSpan w:val="3"/>
            <w:tcBorders>
              <w:top w:val="nil"/>
              <w:left w:val="nil"/>
              <w:bottom w:val="nil"/>
              <w:right w:val="nil"/>
            </w:tcBorders>
            <w:shd w:val="clear" w:color="auto" w:fill="auto"/>
            <w:vAlign w:val="center"/>
          </w:tcPr>
          <w:p w14:paraId="78C54A33" w14:textId="77777777" w:rsidR="000F6636" w:rsidRPr="00F119E3" w:rsidRDefault="000F6636" w:rsidP="00484DB0">
            <w:pPr>
              <w:jc w:val="center"/>
              <w:rPr>
                <w:rFonts w:cs="Times New Roman"/>
                <w:sz w:val="18"/>
                <w:szCs w:val="18"/>
              </w:rPr>
            </w:pPr>
            <w:r w:rsidRPr="00F119E3">
              <w:rPr>
                <w:sz w:val="18"/>
                <w:szCs w:val="18"/>
              </w:rPr>
              <w:t>16,1</w:t>
            </w:r>
          </w:p>
        </w:tc>
        <w:tc>
          <w:tcPr>
            <w:tcW w:w="651" w:type="dxa"/>
            <w:gridSpan w:val="2"/>
            <w:tcBorders>
              <w:top w:val="nil"/>
              <w:left w:val="nil"/>
              <w:bottom w:val="nil"/>
              <w:right w:val="nil"/>
            </w:tcBorders>
            <w:shd w:val="clear" w:color="auto" w:fill="auto"/>
            <w:vAlign w:val="center"/>
          </w:tcPr>
          <w:p w14:paraId="43BC896D" w14:textId="77777777" w:rsidR="000F6636" w:rsidRPr="00F119E3" w:rsidRDefault="000F6636" w:rsidP="00484DB0">
            <w:pPr>
              <w:jc w:val="center"/>
              <w:rPr>
                <w:rFonts w:cs="Times New Roman"/>
                <w:sz w:val="18"/>
                <w:szCs w:val="18"/>
              </w:rPr>
            </w:pPr>
            <w:r w:rsidRPr="00F119E3">
              <w:rPr>
                <w:sz w:val="18"/>
                <w:szCs w:val="18"/>
              </w:rPr>
              <w:t>16,1</w:t>
            </w:r>
          </w:p>
        </w:tc>
        <w:tc>
          <w:tcPr>
            <w:tcW w:w="641" w:type="dxa"/>
            <w:tcBorders>
              <w:top w:val="nil"/>
              <w:left w:val="nil"/>
              <w:bottom w:val="nil"/>
              <w:right w:val="nil"/>
            </w:tcBorders>
            <w:shd w:val="clear" w:color="auto" w:fill="auto"/>
            <w:vAlign w:val="center"/>
          </w:tcPr>
          <w:p w14:paraId="32F10107" w14:textId="77777777" w:rsidR="000F6636" w:rsidRPr="00F119E3" w:rsidRDefault="000F6636" w:rsidP="00484DB0">
            <w:pPr>
              <w:jc w:val="center"/>
              <w:rPr>
                <w:rFonts w:cs="Times New Roman"/>
                <w:sz w:val="18"/>
                <w:szCs w:val="18"/>
              </w:rPr>
            </w:pPr>
            <w:r w:rsidRPr="00F119E3">
              <w:rPr>
                <w:sz w:val="18"/>
                <w:szCs w:val="18"/>
              </w:rPr>
              <w:t>15,8</w:t>
            </w:r>
          </w:p>
        </w:tc>
      </w:tr>
      <w:tr w:rsidR="000F6636" w:rsidRPr="00F119E3" w14:paraId="1C5CF29B"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2740A672" w14:textId="77777777" w:rsidR="000F6636" w:rsidRPr="00F119E3" w:rsidRDefault="000F6636" w:rsidP="00484DB0">
            <w:pPr>
              <w:rPr>
                <w:rFonts w:cs="Times New Roman"/>
                <w:sz w:val="18"/>
                <w:szCs w:val="18"/>
              </w:rPr>
            </w:pPr>
            <w:r w:rsidRPr="00F119E3">
              <w:rPr>
                <w:rFonts w:cs="Times New Roman"/>
                <w:sz w:val="18"/>
                <w:szCs w:val="18"/>
              </w:rPr>
              <w:t>17a. Odmeny zamestnancov</w:t>
            </w:r>
          </w:p>
        </w:tc>
        <w:tc>
          <w:tcPr>
            <w:tcW w:w="933" w:type="dxa"/>
            <w:gridSpan w:val="2"/>
            <w:tcBorders>
              <w:top w:val="nil"/>
              <w:left w:val="nil"/>
              <w:bottom w:val="nil"/>
              <w:right w:val="nil"/>
            </w:tcBorders>
            <w:shd w:val="clear" w:color="auto" w:fill="auto"/>
            <w:hideMark/>
          </w:tcPr>
          <w:p w14:paraId="763E23D9" w14:textId="77777777" w:rsidR="000F6636" w:rsidRPr="00F119E3" w:rsidRDefault="000F6636" w:rsidP="00484DB0">
            <w:pPr>
              <w:jc w:val="center"/>
              <w:rPr>
                <w:rFonts w:cs="Times New Roman"/>
                <w:sz w:val="18"/>
                <w:szCs w:val="18"/>
              </w:rPr>
            </w:pPr>
            <w:r w:rsidRPr="00F119E3">
              <w:rPr>
                <w:rFonts w:cs="Times New Roman"/>
                <w:sz w:val="18"/>
                <w:szCs w:val="18"/>
              </w:rPr>
              <w:t>D.1</w:t>
            </w:r>
          </w:p>
        </w:tc>
        <w:tc>
          <w:tcPr>
            <w:tcW w:w="845" w:type="dxa"/>
            <w:gridSpan w:val="2"/>
            <w:tcBorders>
              <w:top w:val="nil"/>
              <w:left w:val="nil"/>
              <w:bottom w:val="nil"/>
              <w:right w:val="nil"/>
            </w:tcBorders>
            <w:shd w:val="clear" w:color="auto" w:fill="auto"/>
            <w:vAlign w:val="center"/>
          </w:tcPr>
          <w:p w14:paraId="48F24420" w14:textId="77777777" w:rsidR="000F6636" w:rsidRPr="00F119E3" w:rsidRDefault="000F6636" w:rsidP="00484DB0">
            <w:pPr>
              <w:jc w:val="center"/>
              <w:rPr>
                <w:rFonts w:cs="Times New Roman"/>
                <w:sz w:val="18"/>
                <w:szCs w:val="18"/>
              </w:rPr>
            </w:pPr>
            <w:r w:rsidRPr="00F119E3">
              <w:rPr>
                <w:sz w:val="18"/>
                <w:szCs w:val="18"/>
              </w:rPr>
              <w:t>13 515</w:t>
            </w:r>
          </w:p>
        </w:tc>
        <w:tc>
          <w:tcPr>
            <w:tcW w:w="795" w:type="dxa"/>
            <w:gridSpan w:val="3"/>
            <w:tcBorders>
              <w:top w:val="nil"/>
              <w:left w:val="nil"/>
              <w:bottom w:val="nil"/>
              <w:right w:val="nil"/>
            </w:tcBorders>
            <w:shd w:val="clear" w:color="auto" w:fill="auto"/>
            <w:vAlign w:val="center"/>
          </w:tcPr>
          <w:p w14:paraId="112C690D" w14:textId="77777777" w:rsidR="000F6636" w:rsidRPr="00F119E3" w:rsidRDefault="000F6636" w:rsidP="00484DB0">
            <w:pPr>
              <w:jc w:val="center"/>
              <w:rPr>
                <w:rFonts w:cs="Times New Roman"/>
                <w:sz w:val="18"/>
                <w:szCs w:val="18"/>
              </w:rPr>
            </w:pPr>
            <w:r w:rsidRPr="00F119E3">
              <w:rPr>
                <w:sz w:val="18"/>
                <w:szCs w:val="18"/>
              </w:rPr>
              <w:t>11,0</w:t>
            </w:r>
          </w:p>
        </w:tc>
        <w:tc>
          <w:tcPr>
            <w:tcW w:w="872" w:type="dxa"/>
            <w:gridSpan w:val="2"/>
            <w:tcBorders>
              <w:top w:val="nil"/>
              <w:left w:val="nil"/>
              <w:bottom w:val="nil"/>
              <w:right w:val="nil"/>
            </w:tcBorders>
            <w:shd w:val="clear" w:color="auto" w:fill="auto"/>
            <w:vAlign w:val="center"/>
          </w:tcPr>
          <w:p w14:paraId="6FC6E100" w14:textId="77777777" w:rsidR="000F6636" w:rsidRPr="00F119E3" w:rsidRDefault="000F6636" w:rsidP="00484DB0">
            <w:pPr>
              <w:jc w:val="center"/>
              <w:rPr>
                <w:rFonts w:cs="Times New Roman"/>
                <w:sz w:val="18"/>
                <w:szCs w:val="18"/>
              </w:rPr>
            </w:pPr>
            <w:r w:rsidRPr="00F119E3">
              <w:rPr>
                <w:sz w:val="18"/>
                <w:szCs w:val="18"/>
              </w:rPr>
              <w:t>10,8</w:t>
            </w:r>
          </w:p>
        </w:tc>
        <w:tc>
          <w:tcPr>
            <w:tcW w:w="728" w:type="dxa"/>
            <w:gridSpan w:val="3"/>
            <w:tcBorders>
              <w:top w:val="nil"/>
              <w:left w:val="nil"/>
              <w:bottom w:val="nil"/>
              <w:right w:val="nil"/>
            </w:tcBorders>
            <w:shd w:val="clear" w:color="auto" w:fill="auto"/>
            <w:vAlign w:val="center"/>
          </w:tcPr>
          <w:p w14:paraId="3BB2AF91" w14:textId="77777777" w:rsidR="000F6636" w:rsidRPr="00F119E3" w:rsidRDefault="000F6636" w:rsidP="00484DB0">
            <w:pPr>
              <w:jc w:val="center"/>
              <w:rPr>
                <w:rFonts w:cs="Times New Roman"/>
                <w:sz w:val="18"/>
                <w:szCs w:val="18"/>
              </w:rPr>
            </w:pPr>
            <w:r w:rsidRPr="00F119E3">
              <w:rPr>
                <w:sz w:val="18"/>
                <w:szCs w:val="18"/>
              </w:rPr>
              <w:t>10,5</w:t>
            </w:r>
          </w:p>
        </w:tc>
        <w:tc>
          <w:tcPr>
            <w:tcW w:w="651" w:type="dxa"/>
            <w:gridSpan w:val="2"/>
            <w:tcBorders>
              <w:top w:val="nil"/>
              <w:left w:val="nil"/>
              <w:bottom w:val="nil"/>
              <w:right w:val="nil"/>
            </w:tcBorders>
            <w:shd w:val="clear" w:color="auto" w:fill="auto"/>
            <w:vAlign w:val="center"/>
          </w:tcPr>
          <w:p w14:paraId="51061D2D" w14:textId="77777777" w:rsidR="000F6636" w:rsidRPr="00F119E3" w:rsidRDefault="000F6636" w:rsidP="00484DB0">
            <w:pPr>
              <w:jc w:val="center"/>
              <w:rPr>
                <w:rFonts w:cs="Times New Roman"/>
                <w:sz w:val="18"/>
                <w:szCs w:val="18"/>
              </w:rPr>
            </w:pPr>
            <w:r w:rsidRPr="00F119E3">
              <w:rPr>
                <w:sz w:val="18"/>
                <w:szCs w:val="18"/>
              </w:rPr>
              <w:t>10,4</w:t>
            </w:r>
          </w:p>
        </w:tc>
        <w:tc>
          <w:tcPr>
            <w:tcW w:w="641" w:type="dxa"/>
            <w:tcBorders>
              <w:top w:val="nil"/>
              <w:left w:val="nil"/>
              <w:bottom w:val="nil"/>
              <w:right w:val="nil"/>
            </w:tcBorders>
            <w:shd w:val="clear" w:color="auto" w:fill="auto"/>
            <w:vAlign w:val="center"/>
          </w:tcPr>
          <w:p w14:paraId="729A1678" w14:textId="77777777" w:rsidR="000F6636" w:rsidRPr="00F119E3" w:rsidRDefault="000F6636" w:rsidP="00484DB0">
            <w:pPr>
              <w:jc w:val="center"/>
              <w:rPr>
                <w:rFonts w:cs="Times New Roman"/>
                <w:sz w:val="18"/>
                <w:szCs w:val="18"/>
              </w:rPr>
            </w:pPr>
            <w:r w:rsidRPr="00F119E3">
              <w:rPr>
                <w:sz w:val="18"/>
                <w:szCs w:val="18"/>
              </w:rPr>
              <w:t>10,3</w:t>
            </w:r>
          </w:p>
        </w:tc>
      </w:tr>
      <w:tr w:rsidR="000F6636" w:rsidRPr="00F119E3" w14:paraId="65DBB563"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34D3E546" w14:textId="77777777" w:rsidR="000F6636" w:rsidRPr="00F119E3" w:rsidRDefault="000F6636" w:rsidP="00484DB0">
            <w:pPr>
              <w:rPr>
                <w:rFonts w:cs="Times New Roman"/>
                <w:sz w:val="18"/>
                <w:szCs w:val="18"/>
              </w:rPr>
            </w:pPr>
            <w:r w:rsidRPr="00F119E3">
              <w:rPr>
                <w:rFonts w:cs="Times New Roman"/>
                <w:sz w:val="18"/>
                <w:szCs w:val="18"/>
              </w:rPr>
              <w:t>17b. Medzispotreba</w:t>
            </w:r>
          </w:p>
        </w:tc>
        <w:tc>
          <w:tcPr>
            <w:tcW w:w="933" w:type="dxa"/>
            <w:gridSpan w:val="2"/>
            <w:tcBorders>
              <w:top w:val="nil"/>
              <w:left w:val="nil"/>
              <w:bottom w:val="nil"/>
              <w:right w:val="nil"/>
            </w:tcBorders>
            <w:shd w:val="clear" w:color="auto" w:fill="auto"/>
            <w:hideMark/>
          </w:tcPr>
          <w:p w14:paraId="400F746A" w14:textId="77777777" w:rsidR="000F6636" w:rsidRPr="00F119E3" w:rsidRDefault="000F6636" w:rsidP="00484DB0">
            <w:pPr>
              <w:jc w:val="center"/>
              <w:rPr>
                <w:rFonts w:cs="Times New Roman"/>
                <w:sz w:val="18"/>
                <w:szCs w:val="18"/>
              </w:rPr>
            </w:pPr>
            <w:r w:rsidRPr="00F119E3">
              <w:rPr>
                <w:rFonts w:cs="Times New Roman"/>
                <w:sz w:val="18"/>
                <w:szCs w:val="18"/>
              </w:rPr>
              <w:t>P.2</w:t>
            </w:r>
          </w:p>
        </w:tc>
        <w:tc>
          <w:tcPr>
            <w:tcW w:w="845" w:type="dxa"/>
            <w:gridSpan w:val="2"/>
            <w:tcBorders>
              <w:top w:val="nil"/>
              <w:left w:val="nil"/>
              <w:bottom w:val="nil"/>
              <w:right w:val="nil"/>
            </w:tcBorders>
            <w:shd w:val="clear" w:color="auto" w:fill="auto"/>
            <w:vAlign w:val="center"/>
          </w:tcPr>
          <w:p w14:paraId="2BF1D303" w14:textId="77777777" w:rsidR="000F6636" w:rsidRPr="00F119E3" w:rsidRDefault="000F6636" w:rsidP="00484DB0">
            <w:pPr>
              <w:jc w:val="center"/>
              <w:rPr>
                <w:rFonts w:cs="Times New Roman"/>
                <w:sz w:val="18"/>
                <w:szCs w:val="18"/>
              </w:rPr>
            </w:pPr>
            <w:r w:rsidRPr="00F119E3">
              <w:rPr>
                <w:sz w:val="18"/>
                <w:szCs w:val="18"/>
              </w:rPr>
              <w:t>6 881</w:t>
            </w:r>
          </w:p>
        </w:tc>
        <w:tc>
          <w:tcPr>
            <w:tcW w:w="795" w:type="dxa"/>
            <w:gridSpan w:val="3"/>
            <w:tcBorders>
              <w:top w:val="nil"/>
              <w:left w:val="nil"/>
              <w:bottom w:val="nil"/>
              <w:right w:val="nil"/>
            </w:tcBorders>
            <w:shd w:val="clear" w:color="auto" w:fill="auto"/>
            <w:vAlign w:val="center"/>
          </w:tcPr>
          <w:p w14:paraId="7738DF05" w14:textId="77777777" w:rsidR="000F6636" w:rsidRPr="00F119E3" w:rsidRDefault="000F6636" w:rsidP="00484DB0">
            <w:pPr>
              <w:jc w:val="center"/>
              <w:rPr>
                <w:rFonts w:cs="Times New Roman"/>
                <w:sz w:val="18"/>
                <w:szCs w:val="18"/>
              </w:rPr>
            </w:pPr>
            <w:r w:rsidRPr="00F119E3">
              <w:rPr>
                <w:sz w:val="18"/>
                <w:szCs w:val="18"/>
              </w:rPr>
              <w:t>5,6</w:t>
            </w:r>
          </w:p>
        </w:tc>
        <w:tc>
          <w:tcPr>
            <w:tcW w:w="872" w:type="dxa"/>
            <w:gridSpan w:val="2"/>
            <w:tcBorders>
              <w:top w:val="nil"/>
              <w:left w:val="nil"/>
              <w:bottom w:val="nil"/>
              <w:right w:val="nil"/>
            </w:tcBorders>
            <w:shd w:val="clear" w:color="auto" w:fill="auto"/>
            <w:vAlign w:val="center"/>
          </w:tcPr>
          <w:p w14:paraId="5BD0C737" w14:textId="77777777" w:rsidR="000F6636" w:rsidRPr="00F119E3" w:rsidRDefault="000F6636" w:rsidP="00484DB0">
            <w:pPr>
              <w:jc w:val="center"/>
              <w:rPr>
                <w:rFonts w:cs="Times New Roman"/>
                <w:sz w:val="18"/>
                <w:szCs w:val="18"/>
              </w:rPr>
            </w:pPr>
            <w:r w:rsidRPr="00F119E3">
              <w:rPr>
                <w:sz w:val="18"/>
                <w:szCs w:val="18"/>
              </w:rPr>
              <w:t>6,2</w:t>
            </w:r>
          </w:p>
        </w:tc>
        <w:tc>
          <w:tcPr>
            <w:tcW w:w="728" w:type="dxa"/>
            <w:gridSpan w:val="3"/>
            <w:tcBorders>
              <w:top w:val="nil"/>
              <w:left w:val="nil"/>
              <w:bottom w:val="nil"/>
              <w:right w:val="nil"/>
            </w:tcBorders>
            <w:shd w:val="clear" w:color="auto" w:fill="auto"/>
            <w:vAlign w:val="center"/>
          </w:tcPr>
          <w:p w14:paraId="73776151" w14:textId="77777777" w:rsidR="000F6636" w:rsidRPr="00F119E3" w:rsidRDefault="000F6636" w:rsidP="00484DB0">
            <w:pPr>
              <w:jc w:val="center"/>
              <w:rPr>
                <w:rFonts w:cs="Times New Roman"/>
                <w:sz w:val="18"/>
                <w:szCs w:val="18"/>
              </w:rPr>
            </w:pPr>
            <w:r w:rsidRPr="00F119E3">
              <w:rPr>
                <w:sz w:val="18"/>
                <w:szCs w:val="18"/>
              </w:rPr>
              <w:t>5,7</w:t>
            </w:r>
          </w:p>
        </w:tc>
        <w:tc>
          <w:tcPr>
            <w:tcW w:w="651" w:type="dxa"/>
            <w:gridSpan w:val="2"/>
            <w:tcBorders>
              <w:top w:val="nil"/>
              <w:left w:val="nil"/>
              <w:bottom w:val="nil"/>
              <w:right w:val="nil"/>
            </w:tcBorders>
            <w:shd w:val="clear" w:color="auto" w:fill="auto"/>
            <w:vAlign w:val="center"/>
          </w:tcPr>
          <w:p w14:paraId="45DD668C" w14:textId="77777777" w:rsidR="000F6636" w:rsidRPr="00F119E3" w:rsidRDefault="000F6636" w:rsidP="00484DB0">
            <w:pPr>
              <w:jc w:val="center"/>
              <w:rPr>
                <w:rFonts w:cs="Times New Roman"/>
                <w:sz w:val="18"/>
                <w:szCs w:val="18"/>
              </w:rPr>
            </w:pPr>
            <w:r w:rsidRPr="00F119E3">
              <w:rPr>
                <w:sz w:val="18"/>
                <w:szCs w:val="18"/>
              </w:rPr>
              <w:t>5,7</w:t>
            </w:r>
          </w:p>
        </w:tc>
        <w:tc>
          <w:tcPr>
            <w:tcW w:w="641" w:type="dxa"/>
            <w:tcBorders>
              <w:top w:val="nil"/>
              <w:left w:val="nil"/>
              <w:bottom w:val="nil"/>
              <w:right w:val="nil"/>
            </w:tcBorders>
            <w:shd w:val="clear" w:color="auto" w:fill="auto"/>
            <w:vAlign w:val="center"/>
          </w:tcPr>
          <w:p w14:paraId="59B3E818" w14:textId="77777777" w:rsidR="000F6636" w:rsidRPr="00F119E3" w:rsidRDefault="000F6636" w:rsidP="00484DB0">
            <w:pPr>
              <w:jc w:val="center"/>
              <w:rPr>
                <w:rFonts w:cs="Times New Roman"/>
                <w:sz w:val="18"/>
                <w:szCs w:val="18"/>
              </w:rPr>
            </w:pPr>
            <w:r w:rsidRPr="00F119E3">
              <w:rPr>
                <w:sz w:val="18"/>
                <w:szCs w:val="18"/>
              </w:rPr>
              <w:t>5,5</w:t>
            </w:r>
          </w:p>
        </w:tc>
      </w:tr>
      <w:tr w:rsidR="000F6636" w:rsidRPr="00F119E3" w14:paraId="7D5437D8"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38CA7A8C" w14:textId="77777777" w:rsidR="000F6636" w:rsidRPr="00F119E3" w:rsidRDefault="000F6636" w:rsidP="00484DB0">
            <w:pPr>
              <w:rPr>
                <w:rFonts w:cs="Times New Roman"/>
                <w:sz w:val="18"/>
                <w:szCs w:val="18"/>
              </w:rPr>
            </w:pPr>
            <w:r w:rsidRPr="00F119E3">
              <w:rPr>
                <w:rFonts w:cs="Times New Roman"/>
                <w:sz w:val="18"/>
                <w:szCs w:val="18"/>
              </w:rPr>
              <w:t>18. Celkové sociálne transfery</w:t>
            </w:r>
          </w:p>
        </w:tc>
        <w:tc>
          <w:tcPr>
            <w:tcW w:w="933" w:type="dxa"/>
            <w:gridSpan w:val="2"/>
            <w:tcBorders>
              <w:top w:val="nil"/>
              <w:left w:val="nil"/>
              <w:bottom w:val="nil"/>
              <w:right w:val="nil"/>
            </w:tcBorders>
            <w:shd w:val="clear" w:color="auto" w:fill="auto"/>
            <w:hideMark/>
          </w:tcPr>
          <w:p w14:paraId="4ACC0FB2" w14:textId="77777777" w:rsidR="000F6636" w:rsidRPr="00F119E3" w:rsidRDefault="000F6636" w:rsidP="00484DB0">
            <w:pPr>
              <w:jc w:val="center"/>
              <w:rPr>
                <w:rFonts w:cs="Times New Roman"/>
                <w:sz w:val="18"/>
                <w:szCs w:val="18"/>
              </w:rPr>
            </w:pPr>
            <w:r w:rsidRPr="00F119E3">
              <w:rPr>
                <w:rFonts w:cs="Times New Roman"/>
                <w:sz w:val="18"/>
                <w:szCs w:val="18"/>
              </w:rPr>
              <w:t>D6</w:t>
            </w:r>
          </w:p>
        </w:tc>
        <w:tc>
          <w:tcPr>
            <w:tcW w:w="845" w:type="dxa"/>
            <w:gridSpan w:val="2"/>
            <w:tcBorders>
              <w:top w:val="nil"/>
              <w:left w:val="nil"/>
              <w:bottom w:val="nil"/>
              <w:right w:val="nil"/>
            </w:tcBorders>
            <w:shd w:val="clear" w:color="auto" w:fill="auto"/>
            <w:vAlign w:val="center"/>
          </w:tcPr>
          <w:p w14:paraId="1182FA68" w14:textId="77777777" w:rsidR="000F6636" w:rsidRPr="00F119E3" w:rsidRDefault="000F6636" w:rsidP="00484DB0">
            <w:pPr>
              <w:jc w:val="center"/>
              <w:rPr>
                <w:rFonts w:cs="Times New Roman"/>
                <w:sz w:val="18"/>
                <w:szCs w:val="18"/>
              </w:rPr>
            </w:pPr>
            <w:r w:rsidRPr="00F119E3">
              <w:rPr>
                <w:sz w:val="18"/>
                <w:szCs w:val="18"/>
              </w:rPr>
              <w:t>24 185</w:t>
            </w:r>
          </w:p>
        </w:tc>
        <w:tc>
          <w:tcPr>
            <w:tcW w:w="795" w:type="dxa"/>
            <w:gridSpan w:val="3"/>
            <w:tcBorders>
              <w:top w:val="nil"/>
              <w:left w:val="nil"/>
              <w:bottom w:val="nil"/>
              <w:right w:val="nil"/>
            </w:tcBorders>
            <w:shd w:val="clear" w:color="auto" w:fill="auto"/>
            <w:vAlign w:val="center"/>
          </w:tcPr>
          <w:p w14:paraId="68CD19FB" w14:textId="77777777" w:rsidR="000F6636" w:rsidRPr="00F119E3" w:rsidRDefault="000F6636" w:rsidP="00484DB0">
            <w:pPr>
              <w:jc w:val="center"/>
              <w:rPr>
                <w:rFonts w:cs="Times New Roman"/>
                <w:sz w:val="18"/>
                <w:szCs w:val="18"/>
              </w:rPr>
            </w:pPr>
            <w:r w:rsidRPr="00F119E3">
              <w:rPr>
                <w:sz w:val="18"/>
                <w:szCs w:val="18"/>
              </w:rPr>
              <w:t>19,7</w:t>
            </w:r>
          </w:p>
        </w:tc>
        <w:tc>
          <w:tcPr>
            <w:tcW w:w="872" w:type="dxa"/>
            <w:gridSpan w:val="2"/>
            <w:tcBorders>
              <w:top w:val="nil"/>
              <w:left w:val="nil"/>
              <w:bottom w:val="nil"/>
              <w:right w:val="nil"/>
            </w:tcBorders>
            <w:shd w:val="clear" w:color="auto" w:fill="auto"/>
            <w:vAlign w:val="center"/>
          </w:tcPr>
          <w:p w14:paraId="1F6AA6D9" w14:textId="77777777" w:rsidR="000F6636" w:rsidRPr="00F119E3" w:rsidRDefault="000F6636" w:rsidP="00484DB0">
            <w:pPr>
              <w:jc w:val="center"/>
              <w:rPr>
                <w:rFonts w:cs="Times New Roman"/>
                <w:sz w:val="18"/>
                <w:szCs w:val="18"/>
              </w:rPr>
            </w:pPr>
            <w:r w:rsidRPr="00F119E3">
              <w:rPr>
                <w:sz w:val="18"/>
                <w:szCs w:val="18"/>
              </w:rPr>
              <w:t>20,3</w:t>
            </w:r>
          </w:p>
        </w:tc>
        <w:tc>
          <w:tcPr>
            <w:tcW w:w="728" w:type="dxa"/>
            <w:gridSpan w:val="3"/>
            <w:tcBorders>
              <w:top w:val="nil"/>
              <w:left w:val="nil"/>
              <w:bottom w:val="nil"/>
              <w:right w:val="nil"/>
            </w:tcBorders>
            <w:shd w:val="clear" w:color="auto" w:fill="auto"/>
            <w:vAlign w:val="center"/>
          </w:tcPr>
          <w:p w14:paraId="598FA58D" w14:textId="77777777" w:rsidR="000F6636" w:rsidRPr="00F119E3" w:rsidRDefault="000F6636" w:rsidP="00484DB0">
            <w:pPr>
              <w:jc w:val="center"/>
              <w:rPr>
                <w:rFonts w:cs="Times New Roman"/>
                <w:sz w:val="18"/>
                <w:szCs w:val="18"/>
              </w:rPr>
            </w:pPr>
            <w:r w:rsidRPr="00F119E3">
              <w:rPr>
                <w:sz w:val="18"/>
                <w:szCs w:val="18"/>
              </w:rPr>
              <w:t>20,6</w:t>
            </w:r>
          </w:p>
        </w:tc>
        <w:tc>
          <w:tcPr>
            <w:tcW w:w="651" w:type="dxa"/>
            <w:gridSpan w:val="2"/>
            <w:tcBorders>
              <w:top w:val="nil"/>
              <w:left w:val="nil"/>
              <w:bottom w:val="nil"/>
              <w:right w:val="nil"/>
            </w:tcBorders>
            <w:shd w:val="clear" w:color="auto" w:fill="auto"/>
            <w:vAlign w:val="center"/>
          </w:tcPr>
          <w:p w14:paraId="76CF0070" w14:textId="77777777" w:rsidR="000F6636" w:rsidRPr="00F119E3" w:rsidRDefault="000F6636" w:rsidP="00484DB0">
            <w:pPr>
              <w:jc w:val="center"/>
              <w:rPr>
                <w:rFonts w:cs="Times New Roman"/>
                <w:sz w:val="18"/>
                <w:szCs w:val="18"/>
              </w:rPr>
            </w:pPr>
            <w:r w:rsidRPr="00F119E3">
              <w:rPr>
                <w:sz w:val="18"/>
                <w:szCs w:val="18"/>
              </w:rPr>
              <w:t>20,6</w:t>
            </w:r>
          </w:p>
        </w:tc>
        <w:tc>
          <w:tcPr>
            <w:tcW w:w="641" w:type="dxa"/>
            <w:tcBorders>
              <w:top w:val="nil"/>
              <w:left w:val="nil"/>
              <w:bottom w:val="nil"/>
              <w:right w:val="nil"/>
            </w:tcBorders>
            <w:shd w:val="clear" w:color="auto" w:fill="auto"/>
            <w:vAlign w:val="center"/>
          </w:tcPr>
          <w:p w14:paraId="7E50D04E" w14:textId="77777777" w:rsidR="000F6636" w:rsidRPr="00F119E3" w:rsidRDefault="000F6636" w:rsidP="00484DB0">
            <w:pPr>
              <w:jc w:val="center"/>
              <w:rPr>
                <w:rFonts w:cs="Times New Roman"/>
                <w:sz w:val="18"/>
                <w:szCs w:val="18"/>
              </w:rPr>
            </w:pPr>
            <w:r w:rsidRPr="00F119E3">
              <w:rPr>
                <w:sz w:val="18"/>
                <w:szCs w:val="18"/>
              </w:rPr>
              <w:t>20,6</w:t>
            </w:r>
          </w:p>
        </w:tc>
      </w:tr>
      <w:tr w:rsidR="000F6636" w:rsidRPr="00F119E3" w14:paraId="71D5B3A1"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22EF4EE2" w14:textId="77777777" w:rsidR="000F6636" w:rsidRPr="00F119E3" w:rsidRDefault="000F6636" w:rsidP="00484DB0">
            <w:pPr>
              <w:rPr>
                <w:rFonts w:cs="Times New Roman"/>
                <w:sz w:val="18"/>
                <w:szCs w:val="18"/>
              </w:rPr>
            </w:pPr>
            <w:r w:rsidRPr="00F119E3">
              <w:rPr>
                <w:rFonts w:cs="Times New Roman"/>
                <w:sz w:val="18"/>
                <w:szCs w:val="18"/>
              </w:rPr>
              <w:t xml:space="preserve"> z toho: dávky v nezamestnanosti</w:t>
            </w:r>
          </w:p>
        </w:tc>
        <w:tc>
          <w:tcPr>
            <w:tcW w:w="933" w:type="dxa"/>
            <w:gridSpan w:val="2"/>
            <w:tcBorders>
              <w:top w:val="nil"/>
              <w:left w:val="nil"/>
              <w:bottom w:val="nil"/>
              <w:right w:val="nil"/>
            </w:tcBorders>
            <w:shd w:val="clear" w:color="auto" w:fill="auto"/>
            <w:hideMark/>
          </w:tcPr>
          <w:p w14:paraId="51B1FFDA" w14:textId="77777777" w:rsidR="000F6636" w:rsidRPr="00F119E3" w:rsidRDefault="000F6636" w:rsidP="00484DB0">
            <w:pPr>
              <w:jc w:val="center"/>
              <w:rPr>
                <w:rFonts w:cs="Times New Roman"/>
                <w:sz w:val="18"/>
                <w:szCs w:val="18"/>
              </w:rPr>
            </w:pPr>
            <w:r w:rsidRPr="00F119E3">
              <w:rPr>
                <w:rFonts w:cs="Times New Roman"/>
                <w:sz w:val="18"/>
                <w:szCs w:val="18"/>
                <w:vertAlign w:val="superscript"/>
              </w:rPr>
              <w:t>[6]</w:t>
            </w:r>
          </w:p>
        </w:tc>
        <w:tc>
          <w:tcPr>
            <w:tcW w:w="845" w:type="dxa"/>
            <w:gridSpan w:val="2"/>
            <w:tcBorders>
              <w:top w:val="nil"/>
              <w:left w:val="nil"/>
              <w:bottom w:val="nil"/>
              <w:right w:val="nil"/>
            </w:tcBorders>
            <w:shd w:val="clear" w:color="auto" w:fill="auto"/>
            <w:vAlign w:val="center"/>
          </w:tcPr>
          <w:p w14:paraId="34B14089" w14:textId="77777777" w:rsidR="000F6636" w:rsidRPr="00F119E3" w:rsidRDefault="000F6636" w:rsidP="00484DB0">
            <w:pPr>
              <w:jc w:val="center"/>
              <w:rPr>
                <w:rFonts w:cs="Times New Roman"/>
                <w:sz w:val="18"/>
                <w:szCs w:val="18"/>
              </w:rPr>
            </w:pPr>
            <w:r w:rsidRPr="00F119E3">
              <w:rPr>
                <w:sz w:val="18"/>
                <w:szCs w:val="18"/>
              </w:rPr>
              <w:t>267</w:t>
            </w:r>
          </w:p>
        </w:tc>
        <w:tc>
          <w:tcPr>
            <w:tcW w:w="795" w:type="dxa"/>
            <w:gridSpan w:val="3"/>
            <w:tcBorders>
              <w:top w:val="nil"/>
              <w:left w:val="nil"/>
              <w:bottom w:val="nil"/>
              <w:right w:val="nil"/>
            </w:tcBorders>
            <w:shd w:val="clear" w:color="auto" w:fill="auto"/>
            <w:vAlign w:val="center"/>
          </w:tcPr>
          <w:p w14:paraId="0F05A8A8" w14:textId="77777777" w:rsidR="000F6636" w:rsidRPr="00F119E3" w:rsidRDefault="000F6636" w:rsidP="00484DB0">
            <w:pPr>
              <w:jc w:val="center"/>
              <w:rPr>
                <w:rFonts w:cs="Times New Roman"/>
                <w:sz w:val="18"/>
                <w:szCs w:val="18"/>
              </w:rPr>
            </w:pPr>
            <w:r w:rsidRPr="00F119E3">
              <w:rPr>
                <w:sz w:val="18"/>
                <w:szCs w:val="18"/>
              </w:rPr>
              <w:t>0,2</w:t>
            </w:r>
          </w:p>
        </w:tc>
        <w:tc>
          <w:tcPr>
            <w:tcW w:w="872" w:type="dxa"/>
            <w:gridSpan w:val="2"/>
            <w:tcBorders>
              <w:top w:val="nil"/>
              <w:left w:val="nil"/>
              <w:bottom w:val="nil"/>
              <w:right w:val="nil"/>
            </w:tcBorders>
            <w:shd w:val="clear" w:color="auto" w:fill="auto"/>
            <w:vAlign w:val="center"/>
          </w:tcPr>
          <w:p w14:paraId="6723E32F" w14:textId="77777777" w:rsidR="000F6636" w:rsidRPr="00F119E3" w:rsidRDefault="000F6636" w:rsidP="00484DB0">
            <w:pPr>
              <w:jc w:val="center"/>
              <w:rPr>
                <w:rFonts w:cs="Times New Roman"/>
                <w:sz w:val="18"/>
                <w:szCs w:val="18"/>
              </w:rPr>
            </w:pPr>
            <w:r w:rsidRPr="00F119E3">
              <w:rPr>
                <w:sz w:val="18"/>
                <w:szCs w:val="18"/>
              </w:rPr>
              <w:t>0,2</w:t>
            </w:r>
          </w:p>
        </w:tc>
        <w:tc>
          <w:tcPr>
            <w:tcW w:w="728" w:type="dxa"/>
            <w:gridSpan w:val="3"/>
            <w:tcBorders>
              <w:top w:val="nil"/>
              <w:left w:val="nil"/>
              <w:bottom w:val="nil"/>
              <w:right w:val="nil"/>
            </w:tcBorders>
            <w:shd w:val="clear" w:color="auto" w:fill="auto"/>
            <w:vAlign w:val="center"/>
          </w:tcPr>
          <w:p w14:paraId="66CF7E14" w14:textId="77777777" w:rsidR="000F6636" w:rsidRPr="00F119E3" w:rsidRDefault="000F6636" w:rsidP="00484DB0">
            <w:pPr>
              <w:jc w:val="center"/>
              <w:rPr>
                <w:rFonts w:cs="Times New Roman"/>
                <w:sz w:val="18"/>
                <w:szCs w:val="18"/>
              </w:rPr>
            </w:pPr>
            <w:r w:rsidRPr="00F119E3">
              <w:rPr>
                <w:sz w:val="18"/>
                <w:szCs w:val="18"/>
              </w:rPr>
              <w:t>0,2</w:t>
            </w:r>
          </w:p>
        </w:tc>
        <w:tc>
          <w:tcPr>
            <w:tcW w:w="651" w:type="dxa"/>
            <w:gridSpan w:val="2"/>
            <w:tcBorders>
              <w:top w:val="nil"/>
              <w:left w:val="nil"/>
              <w:bottom w:val="nil"/>
              <w:right w:val="nil"/>
            </w:tcBorders>
            <w:shd w:val="clear" w:color="auto" w:fill="auto"/>
            <w:vAlign w:val="center"/>
          </w:tcPr>
          <w:p w14:paraId="4124B6B5" w14:textId="77777777" w:rsidR="000F6636" w:rsidRPr="00F119E3" w:rsidRDefault="000F6636" w:rsidP="00484DB0">
            <w:pPr>
              <w:jc w:val="center"/>
              <w:rPr>
                <w:rFonts w:cs="Times New Roman"/>
                <w:sz w:val="18"/>
                <w:szCs w:val="18"/>
              </w:rPr>
            </w:pPr>
            <w:r w:rsidRPr="00F119E3">
              <w:rPr>
                <w:sz w:val="18"/>
                <w:szCs w:val="18"/>
              </w:rPr>
              <w:t>0,2</w:t>
            </w:r>
          </w:p>
        </w:tc>
        <w:tc>
          <w:tcPr>
            <w:tcW w:w="641" w:type="dxa"/>
            <w:tcBorders>
              <w:top w:val="nil"/>
              <w:left w:val="nil"/>
              <w:bottom w:val="nil"/>
              <w:right w:val="nil"/>
            </w:tcBorders>
            <w:shd w:val="clear" w:color="auto" w:fill="auto"/>
            <w:vAlign w:val="center"/>
          </w:tcPr>
          <w:p w14:paraId="388217BE" w14:textId="77777777" w:rsidR="000F6636" w:rsidRPr="00F119E3" w:rsidRDefault="000F6636" w:rsidP="00484DB0">
            <w:pPr>
              <w:jc w:val="center"/>
              <w:rPr>
                <w:rFonts w:cs="Times New Roman"/>
                <w:sz w:val="18"/>
                <w:szCs w:val="18"/>
              </w:rPr>
            </w:pPr>
            <w:r w:rsidRPr="00F119E3">
              <w:rPr>
                <w:sz w:val="18"/>
                <w:szCs w:val="18"/>
              </w:rPr>
              <w:t>0,2</w:t>
            </w:r>
          </w:p>
        </w:tc>
      </w:tr>
      <w:tr w:rsidR="000F6636" w:rsidRPr="00F119E3" w14:paraId="4A1A9F1E"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2E591F00" w14:textId="77777777" w:rsidR="000F6636" w:rsidRPr="00F119E3" w:rsidRDefault="000F6636" w:rsidP="00484DB0">
            <w:pPr>
              <w:rPr>
                <w:rFonts w:cs="Times New Roman"/>
                <w:sz w:val="18"/>
                <w:szCs w:val="18"/>
              </w:rPr>
            </w:pPr>
            <w:r w:rsidRPr="00F119E3">
              <w:rPr>
                <w:rFonts w:cs="Times New Roman"/>
                <w:sz w:val="18"/>
                <w:szCs w:val="18"/>
              </w:rPr>
              <w:t>18a. Naturálne sociálne transfery</w:t>
            </w:r>
          </w:p>
        </w:tc>
        <w:tc>
          <w:tcPr>
            <w:tcW w:w="933" w:type="dxa"/>
            <w:gridSpan w:val="2"/>
            <w:tcBorders>
              <w:top w:val="nil"/>
              <w:left w:val="nil"/>
              <w:bottom w:val="nil"/>
              <w:right w:val="nil"/>
            </w:tcBorders>
            <w:shd w:val="clear" w:color="auto" w:fill="auto"/>
            <w:hideMark/>
          </w:tcPr>
          <w:p w14:paraId="2C07120D" w14:textId="77777777" w:rsidR="000F6636" w:rsidRPr="00F119E3" w:rsidRDefault="000F6636" w:rsidP="00484DB0">
            <w:pPr>
              <w:jc w:val="center"/>
              <w:rPr>
                <w:rFonts w:cs="Times New Roman"/>
                <w:sz w:val="18"/>
                <w:szCs w:val="18"/>
              </w:rPr>
            </w:pPr>
            <w:r w:rsidRPr="00F119E3">
              <w:rPr>
                <w:rFonts w:cs="Times New Roman"/>
                <w:sz w:val="18"/>
                <w:szCs w:val="18"/>
              </w:rPr>
              <w:t>D.632</w:t>
            </w:r>
          </w:p>
        </w:tc>
        <w:tc>
          <w:tcPr>
            <w:tcW w:w="845" w:type="dxa"/>
            <w:gridSpan w:val="2"/>
            <w:tcBorders>
              <w:top w:val="nil"/>
              <w:left w:val="nil"/>
              <w:bottom w:val="nil"/>
              <w:right w:val="nil"/>
            </w:tcBorders>
            <w:shd w:val="clear" w:color="auto" w:fill="auto"/>
            <w:vAlign w:val="center"/>
          </w:tcPr>
          <w:p w14:paraId="264C4867" w14:textId="77777777" w:rsidR="000F6636" w:rsidRPr="00F119E3" w:rsidRDefault="000F6636" w:rsidP="00484DB0">
            <w:pPr>
              <w:jc w:val="center"/>
              <w:rPr>
                <w:rFonts w:cs="Times New Roman"/>
                <w:sz w:val="18"/>
                <w:szCs w:val="18"/>
              </w:rPr>
            </w:pPr>
            <w:r w:rsidRPr="00F119E3">
              <w:rPr>
                <w:sz w:val="18"/>
                <w:szCs w:val="18"/>
              </w:rPr>
              <w:t>4 178</w:t>
            </w:r>
          </w:p>
        </w:tc>
        <w:tc>
          <w:tcPr>
            <w:tcW w:w="795" w:type="dxa"/>
            <w:gridSpan w:val="3"/>
            <w:tcBorders>
              <w:top w:val="nil"/>
              <w:left w:val="nil"/>
              <w:bottom w:val="nil"/>
              <w:right w:val="nil"/>
            </w:tcBorders>
            <w:shd w:val="clear" w:color="auto" w:fill="auto"/>
            <w:vAlign w:val="center"/>
          </w:tcPr>
          <w:p w14:paraId="57825C6D" w14:textId="77777777" w:rsidR="000F6636" w:rsidRPr="00F119E3" w:rsidRDefault="000F6636" w:rsidP="00484DB0">
            <w:pPr>
              <w:jc w:val="center"/>
              <w:rPr>
                <w:rFonts w:cs="Times New Roman"/>
                <w:sz w:val="18"/>
                <w:szCs w:val="18"/>
              </w:rPr>
            </w:pPr>
            <w:r w:rsidRPr="00F119E3">
              <w:rPr>
                <w:sz w:val="18"/>
                <w:szCs w:val="18"/>
              </w:rPr>
              <w:t>3,4</w:t>
            </w:r>
          </w:p>
        </w:tc>
        <w:tc>
          <w:tcPr>
            <w:tcW w:w="872" w:type="dxa"/>
            <w:gridSpan w:val="2"/>
            <w:tcBorders>
              <w:top w:val="nil"/>
              <w:left w:val="nil"/>
              <w:bottom w:val="nil"/>
              <w:right w:val="nil"/>
            </w:tcBorders>
            <w:shd w:val="clear" w:color="auto" w:fill="auto"/>
            <w:vAlign w:val="center"/>
          </w:tcPr>
          <w:p w14:paraId="3F20A69A" w14:textId="77777777" w:rsidR="000F6636" w:rsidRPr="00F119E3" w:rsidRDefault="000F6636" w:rsidP="00484DB0">
            <w:pPr>
              <w:jc w:val="center"/>
              <w:rPr>
                <w:rFonts w:cs="Times New Roman"/>
                <w:sz w:val="18"/>
                <w:szCs w:val="18"/>
              </w:rPr>
            </w:pPr>
            <w:r w:rsidRPr="00F119E3">
              <w:rPr>
                <w:sz w:val="18"/>
                <w:szCs w:val="18"/>
              </w:rPr>
              <w:t>3,8</w:t>
            </w:r>
          </w:p>
        </w:tc>
        <w:tc>
          <w:tcPr>
            <w:tcW w:w="728" w:type="dxa"/>
            <w:gridSpan w:val="3"/>
            <w:tcBorders>
              <w:top w:val="nil"/>
              <w:left w:val="nil"/>
              <w:bottom w:val="nil"/>
              <w:right w:val="nil"/>
            </w:tcBorders>
            <w:shd w:val="clear" w:color="auto" w:fill="auto"/>
            <w:vAlign w:val="center"/>
          </w:tcPr>
          <w:p w14:paraId="62A43617" w14:textId="77777777" w:rsidR="000F6636" w:rsidRPr="00F119E3" w:rsidRDefault="000F6636" w:rsidP="00484DB0">
            <w:pPr>
              <w:jc w:val="center"/>
              <w:rPr>
                <w:rFonts w:cs="Times New Roman"/>
                <w:sz w:val="18"/>
                <w:szCs w:val="18"/>
              </w:rPr>
            </w:pPr>
            <w:r w:rsidRPr="00F119E3">
              <w:rPr>
                <w:sz w:val="18"/>
                <w:szCs w:val="18"/>
              </w:rPr>
              <w:t>3,8</w:t>
            </w:r>
          </w:p>
        </w:tc>
        <w:tc>
          <w:tcPr>
            <w:tcW w:w="651" w:type="dxa"/>
            <w:gridSpan w:val="2"/>
            <w:tcBorders>
              <w:top w:val="nil"/>
              <w:left w:val="nil"/>
              <w:bottom w:val="nil"/>
              <w:right w:val="nil"/>
            </w:tcBorders>
            <w:shd w:val="clear" w:color="auto" w:fill="auto"/>
            <w:vAlign w:val="center"/>
          </w:tcPr>
          <w:p w14:paraId="50BBE985" w14:textId="77777777" w:rsidR="000F6636" w:rsidRPr="00F119E3" w:rsidRDefault="000F6636" w:rsidP="00484DB0">
            <w:pPr>
              <w:jc w:val="center"/>
              <w:rPr>
                <w:rFonts w:cs="Times New Roman"/>
                <w:sz w:val="18"/>
                <w:szCs w:val="18"/>
              </w:rPr>
            </w:pPr>
            <w:r w:rsidRPr="00F119E3">
              <w:rPr>
                <w:sz w:val="18"/>
                <w:szCs w:val="18"/>
              </w:rPr>
              <w:t>3,8</w:t>
            </w:r>
          </w:p>
        </w:tc>
        <w:tc>
          <w:tcPr>
            <w:tcW w:w="641" w:type="dxa"/>
            <w:tcBorders>
              <w:top w:val="nil"/>
              <w:left w:val="nil"/>
              <w:bottom w:val="nil"/>
              <w:right w:val="nil"/>
            </w:tcBorders>
            <w:shd w:val="clear" w:color="auto" w:fill="auto"/>
            <w:vAlign w:val="center"/>
          </w:tcPr>
          <w:p w14:paraId="53FA7300" w14:textId="77777777" w:rsidR="000F6636" w:rsidRPr="00F119E3" w:rsidRDefault="000F6636" w:rsidP="00484DB0">
            <w:pPr>
              <w:jc w:val="center"/>
              <w:rPr>
                <w:rFonts w:cs="Times New Roman"/>
                <w:sz w:val="18"/>
                <w:szCs w:val="18"/>
              </w:rPr>
            </w:pPr>
            <w:r w:rsidRPr="00F119E3">
              <w:rPr>
                <w:sz w:val="18"/>
                <w:szCs w:val="18"/>
              </w:rPr>
              <w:t>3,9</w:t>
            </w:r>
          </w:p>
        </w:tc>
      </w:tr>
      <w:tr w:rsidR="000F6636" w:rsidRPr="00F119E3" w14:paraId="25D91183"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7A570CC0" w14:textId="77777777" w:rsidR="000F6636" w:rsidRPr="00F119E3" w:rsidRDefault="000F6636" w:rsidP="00484DB0">
            <w:pPr>
              <w:rPr>
                <w:rFonts w:cs="Times New Roman"/>
                <w:sz w:val="18"/>
                <w:szCs w:val="18"/>
              </w:rPr>
            </w:pPr>
            <w:r w:rsidRPr="00F119E3">
              <w:rPr>
                <w:rFonts w:cs="Times New Roman"/>
                <w:sz w:val="18"/>
                <w:szCs w:val="18"/>
              </w:rPr>
              <w:t>18b. Sociálne dávky okrem naturálnych soc. transferov</w:t>
            </w:r>
          </w:p>
        </w:tc>
        <w:tc>
          <w:tcPr>
            <w:tcW w:w="933" w:type="dxa"/>
            <w:gridSpan w:val="2"/>
            <w:tcBorders>
              <w:top w:val="nil"/>
              <w:left w:val="nil"/>
              <w:bottom w:val="nil"/>
              <w:right w:val="nil"/>
            </w:tcBorders>
            <w:shd w:val="clear" w:color="auto" w:fill="auto"/>
            <w:hideMark/>
          </w:tcPr>
          <w:p w14:paraId="78910D32" w14:textId="77777777" w:rsidR="000F6636" w:rsidRPr="00F119E3" w:rsidRDefault="000F6636" w:rsidP="00484DB0">
            <w:pPr>
              <w:jc w:val="center"/>
              <w:rPr>
                <w:rFonts w:cs="Times New Roman"/>
                <w:sz w:val="18"/>
                <w:szCs w:val="18"/>
              </w:rPr>
            </w:pPr>
            <w:r w:rsidRPr="00F119E3">
              <w:rPr>
                <w:rFonts w:cs="Times New Roman"/>
                <w:sz w:val="18"/>
                <w:szCs w:val="18"/>
              </w:rPr>
              <w:t>D.62</w:t>
            </w:r>
          </w:p>
        </w:tc>
        <w:tc>
          <w:tcPr>
            <w:tcW w:w="845" w:type="dxa"/>
            <w:gridSpan w:val="2"/>
            <w:tcBorders>
              <w:top w:val="nil"/>
              <w:left w:val="nil"/>
              <w:bottom w:val="nil"/>
              <w:right w:val="nil"/>
            </w:tcBorders>
            <w:shd w:val="clear" w:color="auto" w:fill="auto"/>
            <w:vAlign w:val="center"/>
          </w:tcPr>
          <w:p w14:paraId="6FB42348" w14:textId="77777777" w:rsidR="000F6636" w:rsidRPr="00F119E3" w:rsidRDefault="000F6636" w:rsidP="00484DB0">
            <w:pPr>
              <w:jc w:val="center"/>
              <w:rPr>
                <w:rFonts w:cs="Times New Roman"/>
                <w:sz w:val="18"/>
                <w:szCs w:val="18"/>
              </w:rPr>
            </w:pPr>
            <w:r w:rsidRPr="00F119E3">
              <w:rPr>
                <w:sz w:val="18"/>
                <w:szCs w:val="18"/>
              </w:rPr>
              <w:t>20 008</w:t>
            </w:r>
          </w:p>
        </w:tc>
        <w:tc>
          <w:tcPr>
            <w:tcW w:w="795" w:type="dxa"/>
            <w:gridSpan w:val="3"/>
            <w:tcBorders>
              <w:top w:val="nil"/>
              <w:left w:val="nil"/>
              <w:bottom w:val="nil"/>
              <w:right w:val="nil"/>
            </w:tcBorders>
            <w:shd w:val="clear" w:color="auto" w:fill="auto"/>
            <w:vAlign w:val="center"/>
          </w:tcPr>
          <w:p w14:paraId="6CBA858D" w14:textId="77777777" w:rsidR="000F6636" w:rsidRPr="00F119E3" w:rsidRDefault="000F6636" w:rsidP="00484DB0">
            <w:pPr>
              <w:jc w:val="center"/>
              <w:rPr>
                <w:rFonts w:cs="Times New Roman"/>
                <w:sz w:val="18"/>
                <w:szCs w:val="18"/>
              </w:rPr>
            </w:pPr>
            <w:r w:rsidRPr="00F119E3">
              <w:rPr>
                <w:sz w:val="18"/>
                <w:szCs w:val="18"/>
              </w:rPr>
              <w:t>16,3</w:t>
            </w:r>
          </w:p>
        </w:tc>
        <w:tc>
          <w:tcPr>
            <w:tcW w:w="872" w:type="dxa"/>
            <w:gridSpan w:val="2"/>
            <w:tcBorders>
              <w:top w:val="nil"/>
              <w:left w:val="nil"/>
              <w:bottom w:val="nil"/>
              <w:right w:val="nil"/>
            </w:tcBorders>
            <w:shd w:val="clear" w:color="auto" w:fill="auto"/>
            <w:vAlign w:val="center"/>
          </w:tcPr>
          <w:p w14:paraId="4AA270ED" w14:textId="77777777" w:rsidR="000F6636" w:rsidRPr="00F119E3" w:rsidRDefault="000F6636" w:rsidP="00484DB0">
            <w:pPr>
              <w:jc w:val="center"/>
              <w:rPr>
                <w:rFonts w:cs="Times New Roman"/>
                <w:sz w:val="18"/>
                <w:szCs w:val="18"/>
              </w:rPr>
            </w:pPr>
            <w:r w:rsidRPr="00F119E3">
              <w:rPr>
                <w:sz w:val="18"/>
                <w:szCs w:val="18"/>
              </w:rPr>
              <w:t>16,6</w:t>
            </w:r>
          </w:p>
        </w:tc>
        <w:tc>
          <w:tcPr>
            <w:tcW w:w="728" w:type="dxa"/>
            <w:gridSpan w:val="3"/>
            <w:tcBorders>
              <w:top w:val="nil"/>
              <w:left w:val="nil"/>
              <w:bottom w:val="nil"/>
              <w:right w:val="nil"/>
            </w:tcBorders>
            <w:shd w:val="clear" w:color="auto" w:fill="auto"/>
            <w:vAlign w:val="center"/>
          </w:tcPr>
          <w:p w14:paraId="54D313EE" w14:textId="77777777" w:rsidR="000F6636" w:rsidRPr="00F119E3" w:rsidRDefault="000F6636" w:rsidP="00484DB0">
            <w:pPr>
              <w:jc w:val="center"/>
              <w:rPr>
                <w:rFonts w:cs="Times New Roman"/>
                <w:sz w:val="18"/>
                <w:szCs w:val="18"/>
              </w:rPr>
            </w:pPr>
            <w:r w:rsidRPr="00F119E3">
              <w:rPr>
                <w:sz w:val="18"/>
                <w:szCs w:val="18"/>
              </w:rPr>
              <w:t>16,8</w:t>
            </w:r>
          </w:p>
        </w:tc>
        <w:tc>
          <w:tcPr>
            <w:tcW w:w="651" w:type="dxa"/>
            <w:gridSpan w:val="2"/>
            <w:tcBorders>
              <w:top w:val="nil"/>
              <w:left w:val="nil"/>
              <w:bottom w:val="nil"/>
              <w:right w:val="nil"/>
            </w:tcBorders>
            <w:shd w:val="clear" w:color="auto" w:fill="auto"/>
            <w:vAlign w:val="center"/>
          </w:tcPr>
          <w:p w14:paraId="40B07783" w14:textId="77777777" w:rsidR="000F6636" w:rsidRPr="00F119E3" w:rsidRDefault="000F6636" w:rsidP="00484DB0">
            <w:pPr>
              <w:jc w:val="center"/>
              <w:rPr>
                <w:rFonts w:cs="Times New Roman"/>
                <w:sz w:val="18"/>
                <w:szCs w:val="18"/>
              </w:rPr>
            </w:pPr>
            <w:r w:rsidRPr="00F119E3">
              <w:rPr>
                <w:sz w:val="18"/>
                <w:szCs w:val="18"/>
              </w:rPr>
              <w:t>16,9</w:t>
            </w:r>
          </w:p>
        </w:tc>
        <w:tc>
          <w:tcPr>
            <w:tcW w:w="641" w:type="dxa"/>
            <w:tcBorders>
              <w:top w:val="nil"/>
              <w:left w:val="nil"/>
              <w:bottom w:val="nil"/>
              <w:right w:val="nil"/>
            </w:tcBorders>
            <w:shd w:val="clear" w:color="auto" w:fill="auto"/>
            <w:vAlign w:val="center"/>
          </w:tcPr>
          <w:p w14:paraId="4CE5C590" w14:textId="77777777" w:rsidR="000F6636" w:rsidRPr="00F119E3" w:rsidRDefault="000F6636" w:rsidP="00484DB0">
            <w:pPr>
              <w:jc w:val="center"/>
              <w:rPr>
                <w:rFonts w:cs="Times New Roman"/>
                <w:sz w:val="18"/>
                <w:szCs w:val="18"/>
              </w:rPr>
            </w:pPr>
            <w:r w:rsidRPr="00F119E3">
              <w:rPr>
                <w:sz w:val="18"/>
                <w:szCs w:val="18"/>
              </w:rPr>
              <w:t>16,7</w:t>
            </w:r>
          </w:p>
        </w:tc>
      </w:tr>
      <w:tr w:rsidR="000F6636" w:rsidRPr="00F119E3" w14:paraId="1D40061A"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13818D28" w14:textId="77777777" w:rsidR="000F6636" w:rsidRPr="00F119E3" w:rsidRDefault="000F6636" w:rsidP="00484DB0">
            <w:pPr>
              <w:rPr>
                <w:rFonts w:cs="Times New Roman"/>
                <w:sz w:val="18"/>
                <w:szCs w:val="18"/>
              </w:rPr>
            </w:pPr>
            <w:r w:rsidRPr="00F119E3">
              <w:rPr>
                <w:rFonts w:cs="Times New Roman"/>
                <w:sz w:val="18"/>
                <w:szCs w:val="18"/>
              </w:rPr>
              <w:t>19.=9. Úrokové náklady</w:t>
            </w:r>
          </w:p>
        </w:tc>
        <w:tc>
          <w:tcPr>
            <w:tcW w:w="933" w:type="dxa"/>
            <w:gridSpan w:val="2"/>
            <w:tcBorders>
              <w:top w:val="nil"/>
              <w:left w:val="nil"/>
              <w:bottom w:val="nil"/>
              <w:right w:val="nil"/>
            </w:tcBorders>
            <w:shd w:val="clear" w:color="auto" w:fill="auto"/>
            <w:hideMark/>
          </w:tcPr>
          <w:p w14:paraId="6C1104B4" w14:textId="77777777" w:rsidR="000F6636" w:rsidRPr="00F119E3" w:rsidRDefault="000F6636" w:rsidP="00484DB0">
            <w:pPr>
              <w:jc w:val="center"/>
              <w:rPr>
                <w:rFonts w:cs="Times New Roman"/>
                <w:sz w:val="18"/>
                <w:szCs w:val="18"/>
              </w:rPr>
            </w:pPr>
            <w:r w:rsidRPr="00F119E3">
              <w:rPr>
                <w:rFonts w:cs="Times New Roman"/>
                <w:sz w:val="18"/>
                <w:szCs w:val="18"/>
              </w:rPr>
              <w:t xml:space="preserve">D.41 </w:t>
            </w:r>
          </w:p>
        </w:tc>
        <w:tc>
          <w:tcPr>
            <w:tcW w:w="845" w:type="dxa"/>
            <w:gridSpan w:val="2"/>
            <w:tcBorders>
              <w:top w:val="nil"/>
              <w:left w:val="nil"/>
              <w:bottom w:val="nil"/>
              <w:right w:val="nil"/>
            </w:tcBorders>
            <w:shd w:val="clear" w:color="auto" w:fill="auto"/>
            <w:vAlign w:val="center"/>
          </w:tcPr>
          <w:p w14:paraId="63EE710A" w14:textId="77777777" w:rsidR="000F6636" w:rsidRPr="00F119E3" w:rsidRDefault="000F6636" w:rsidP="00484DB0">
            <w:pPr>
              <w:jc w:val="center"/>
              <w:rPr>
                <w:rFonts w:cs="Times New Roman"/>
                <w:sz w:val="18"/>
                <w:szCs w:val="18"/>
              </w:rPr>
            </w:pPr>
            <w:r w:rsidRPr="00F119E3">
              <w:rPr>
                <w:sz w:val="18"/>
                <w:szCs w:val="18"/>
              </w:rPr>
              <w:t>1 421</w:t>
            </w:r>
          </w:p>
        </w:tc>
        <w:tc>
          <w:tcPr>
            <w:tcW w:w="795" w:type="dxa"/>
            <w:gridSpan w:val="3"/>
            <w:tcBorders>
              <w:top w:val="nil"/>
              <w:left w:val="nil"/>
              <w:bottom w:val="nil"/>
              <w:right w:val="nil"/>
            </w:tcBorders>
            <w:shd w:val="clear" w:color="auto" w:fill="auto"/>
            <w:vAlign w:val="center"/>
          </w:tcPr>
          <w:p w14:paraId="4D736C04" w14:textId="77777777" w:rsidR="000F6636" w:rsidRPr="00F119E3" w:rsidRDefault="000F6636" w:rsidP="00484DB0">
            <w:pPr>
              <w:jc w:val="center"/>
              <w:rPr>
                <w:rFonts w:cs="Times New Roman"/>
                <w:sz w:val="18"/>
                <w:szCs w:val="18"/>
              </w:rPr>
            </w:pPr>
            <w:r w:rsidRPr="00F119E3">
              <w:rPr>
                <w:sz w:val="18"/>
                <w:szCs w:val="18"/>
              </w:rPr>
              <w:t>1,2</w:t>
            </w:r>
          </w:p>
        </w:tc>
        <w:tc>
          <w:tcPr>
            <w:tcW w:w="872" w:type="dxa"/>
            <w:gridSpan w:val="2"/>
            <w:tcBorders>
              <w:top w:val="nil"/>
              <w:left w:val="nil"/>
              <w:bottom w:val="nil"/>
              <w:right w:val="nil"/>
            </w:tcBorders>
            <w:shd w:val="clear" w:color="auto" w:fill="auto"/>
            <w:vAlign w:val="center"/>
          </w:tcPr>
          <w:p w14:paraId="6003B80F" w14:textId="77777777" w:rsidR="000F6636" w:rsidRPr="00F119E3" w:rsidRDefault="000F6636" w:rsidP="00484DB0">
            <w:pPr>
              <w:jc w:val="center"/>
              <w:rPr>
                <w:rFonts w:cs="Times New Roman"/>
                <w:sz w:val="18"/>
                <w:szCs w:val="18"/>
              </w:rPr>
            </w:pPr>
            <w:r w:rsidRPr="00F119E3">
              <w:rPr>
                <w:sz w:val="18"/>
                <w:szCs w:val="18"/>
              </w:rPr>
              <w:t>1,4</w:t>
            </w:r>
          </w:p>
        </w:tc>
        <w:tc>
          <w:tcPr>
            <w:tcW w:w="728" w:type="dxa"/>
            <w:gridSpan w:val="3"/>
            <w:tcBorders>
              <w:top w:val="nil"/>
              <w:left w:val="nil"/>
              <w:bottom w:val="nil"/>
              <w:right w:val="nil"/>
            </w:tcBorders>
            <w:shd w:val="clear" w:color="auto" w:fill="auto"/>
            <w:vAlign w:val="center"/>
          </w:tcPr>
          <w:p w14:paraId="09B8F2CA" w14:textId="77777777" w:rsidR="000F6636" w:rsidRPr="00F119E3" w:rsidRDefault="000F6636" w:rsidP="00484DB0">
            <w:pPr>
              <w:jc w:val="center"/>
              <w:rPr>
                <w:rFonts w:cs="Times New Roman"/>
                <w:sz w:val="18"/>
                <w:szCs w:val="18"/>
              </w:rPr>
            </w:pPr>
            <w:r w:rsidRPr="00F119E3">
              <w:rPr>
                <w:sz w:val="18"/>
                <w:szCs w:val="18"/>
              </w:rPr>
              <w:t>1,6</w:t>
            </w:r>
          </w:p>
        </w:tc>
        <w:tc>
          <w:tcPr>
            <w:tcW w:w="651" w:type="dxa"/>
            <w:gridSpan w:val="2"/>
            <w:tcBorders>
              <w:top w:val="nil"/>
              <w:left w:val="nil"/>
              <w:bottom w:val="nil"/>
              <w:right w:val="nil"/>
            </w:tcBorders>
            <w:shd w:val="clear" w:color="auto" w:fill="auto"/>
            <w:vAlign w:val="center"/>
          </w:tcPr>
          <w:p w14:paraId="1746F2F9" w14:textId="77777777" w:rsidR="000F6636" w:rsidRPr="00F119E3" w:rsidRDefault="000F6636" w:rsidP="00484DB0">
            <w:pPr>
              <w:jc w:val="center"/>
              <w:rPr>
                <w:rFonts w:cs="Times New Roman"/>
                <w:sz w:val="18"/>
                <w:szCs w:val="18"/>
              </w:rPr>
            </w:pPr>
            <w:r w:rsidRPr="00F119E3">
              <w:rPr>
                <w:sz w:val="18"/>
                <w:szCs w:val="18"/>
              </w:rPr>
              <w:t>1,6</w:t>
            </w:r>
          </w:p>
        </w:tc>
        <w:tc>
          <w:tcPr>
            <w:tcW w:w="641" w:type="dxa"/>
            <w:tcBorders>
              <w:top w:val="nil"/>
              <w:left w:val="nil"/>
              <w:bottom w:val="nil"/>
              <w:right w:val="nil"/>
            </w:tcBorders>
            <w:shd w:val="clear" w:color="auto" w:fill="auto"/>
            <w:vAlign w:val="center"/>
          </w:tcPr>
          <w:p w14:paraId="17E3E7CB" w14:textId="77777777" w:rsidR="000F6636" w:rsidRPr="00F119E3" w:rsidRDefault="000F6636" w:rsidP="00484DB0">
            <w:pPr>
              <w:jc w:val="center"/>
              <w:rPr>
                <w:rFonts w:cs="Times New Roman"/>
                <w:sz w:val="18"/>
                <w:szCs w:val="18"/>
              </w:rPr>
            </w:pPr>
            <w:r w:rsidRPr="00F119E3">
              <w:rPr>
                <w:sz w:val="18"/>
                <w:szCs w:val="18"/>
              </w:rPr>
              <w:t>1,9</w:t>
            </w:r>
          </w:p>
        </w:tc>
      </w:tr>
      <w:tr w:rsidR="000F6636" w:rsidRPr="00F119E3" w14:paraId="146F3C5D"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3C36E57E" w14:textId="77777777" w:rsidR="000F6636" w:rsidRPr="00F119E3" w:rsidRDefault="000F6636" w:rsidP="00484DB0">
            <w:pPr>
              <w:rPr>
                <w:rFonts w:cs="Times New Roman"/>
                <w:sz w:val="18"/>
                <w:szCs w:val="18"/>
              </w:rPr>
            </w:pPr>
            <w:r w:rsidRPr="00F119E3">
              <w:rPr>
                <w:rFonts w:cs="Times New Roman"/>
                <w:sz w:val="18"/>
                <w:szCs w:val="18"/>
              </w:rPr>
              <w:lastRenderedPageBreak/>
              <w:t>20. Subvencie</w:t>
            </w:r>
          </w:p>
        </w:tc>
        <w:tc>
          <w:tcPr>
            <w:tcW w:w="933" w:type="dxa"/>
            <w:gridSpan w:val="2"/>
            <w:tcBorders>
              <w:top w:val="nil"/>
              <w:left w:val="nil"/>
              <w:bottom w:val="nil"/>
              <w:right w:val="nil"/>
            </w:tcBorders>
            <w:shd w:val="clear" w:color="auto" w:fill="auto"/>
            <w:hideMark/>
          </w:tcPr>
          <w:p w14:paraId="210EE8A5" w14:textId="77777777" w:rsidR="000F6636" w:rsidRPr="00F119E3" w:rsidRDefault="000F6636" w:rsidP="00484DB0">
            <w:pPr>
              <w:jc w:val="center"/>
              <w:rPr>
                <w:rFonts w:cs="Times New Roman"/>
                <w:sz w:val="18"/>
                <w:szCs w:val="18"/>
              </w:rPr>
            </w:pPr>
            <w:r w:rsidRPr="00F119E3">
              <w:rPr>
                <w:rFonts w:cs="Times New Roman"/>
                <w:sz w:val="18"/>
                <w:szCs w:val="18"/>
              </w:rPr>
              <w:t>D.3</w:t>
            </w:r>
          </w:p>
        </w:tc>
        <w:tc>
          <w:tcPr>
            <w:tcW w:w="845" w:type="dxa"/>
            <w:gridSpan w:val="2"/>
            <w:tcBorders>
              <w:top w:val="nil"/>
              <w:left w:val="nil"/>
              <w:bottom w:val="nil"/>
              <w:right w:val="nil"/>
            </w:tcBorders>
            <w:shd w:val="clear" w:color="auto" w:fill="auto"/>
            <w:vAlign w:val="center"/>
          </w:tcPr>
          <w:p w14:paraId="53FFBB8F" w14:textId="77777777" w:rsidR="000F6636" w:rsidRPr="00F119E3" w:rsidRDefault="000F6636" w:rsidP="00484DB0">
            <w:pPr>
              <w:jc w:val="center"/>
              <w:rPr>
                <w:rFonts w:cs="Times New Roman"/>
                <w:sz w:val="18"/>
                <w:szCs w:val="18"/>
              </w:rPr>
            </w:pPr>
            <w:r w:rsidRPr="00F119E3">
              <w:rPr>
                <w:sz w:val="18"/>
                <w:szCs w:val="18"/>
              </w:rPr>
              <w:t>4 078</w:t>
            </w:r>
          </w:p>
        </w:tc>
        <w:tc>
          <w:tcPr>
            <w:tcW w:w="795" w:type="dxa"/>
            <w:gridSpan w:val="3"/>
            <w:tcBorders>
              <w:top w:val="nil"/>
              <w:left w:val="nil"/>
              <w:bottom w:val="nil"/>
              <w:right w:val="nil"/>
            </w:tcBorders>
            <w:shd w:val="clear" w:color="auto" w:fill="auto"/>
            <w:vAlign w:val="center"/>
          </w:tcPr>
          <w:p w14:paraId="14CB50F1" w14:textId="77777777" w:rsidR="000F6636" w:rsidRPr="00F119E3" w:rsidRDefault="000F6636" w:rsidP="00484DB0">
            <w:pPr>
              <w:jc w:val="center"/>
              <w:rPr>
                <w:rFonts w:cs="Times New Roman"/>
                <w:sz w:val="18"/>
                <w:szCs w:val="18"/>
              </w:rPr>
            </w:pPr>
            <w:r w:rsidRPr="00F119E3">
              <w:rPr>
                <w:sz w:val="18"/>
                <w:szCs w:val="18"/>
              </w:rPr>
              <w:t>3,3</w:t>
            </w:r>
          </w:p>
        </w:tc>
        <w:tc>
          <w:tcPr>
            <w:tcW w:w="872" w:type="dxa"/>
            <w:gridSpan w:val="2"/>
            <w:tcBorders>
              <w:top w:val="nil"/>
              <w:left w:val="nil"/>
              <w:bottom w:val="nil"/>
              <w:right w:val="nil"/>
            </w:tcBorders>
            <w:shd w:val="clear" w:color="auto" w:fill="auto"/>
            <w:vAlign w:val="center"/>
          </w:tcPr>
          <w:p w14:paraId="56ECE7EB" w14:textId="77777777" w:rsidR="000F6636" w:rsidRPr="00F119E3" w:rsidRDefault="000F6636" w:rsidP="00484DB0">
            <w:pPr>
              <w:jc w:val="center"/>
              <w:rPr>
                <w:rFonts w:cs="Times New Roman"/>
                <w:sz w:val="18"/>
                <w:szCs w:val="18"/>
              </w:rPr>
            </w:pPr>
            <w:r w:rsidRPr="00F119E3">
              <w:rPr>
                <w:sz w:val="18"/>
                <w:szCs w:val="18"/>
              </w:rPr>
              <w:t>1,5</w:t>
            </w:r>
          </w:p>
        </w:tc>
        <w:tc>
          <w:tcPr>
            <w:tcW w:w="728" w:type="dxa"/>
            <w:gridSpan w:val="3"/>
            <w:tcBorders>
              <w:top w:val="nil"/>
              <w:left w:val="nil"/>
              <w:bottom w:val="nil"/>
              <w:right w:val="nil"/>
            </w:tcBorders>
            <w:shd w:val="clear" w:color="auto" w:fill="auto"/>
            <w:vAlign w:val="center"/>
          </w:tcPr>
          <w:p w14:paraId="598A0F51" w14:textId="77777777" w:rsidR="000F6636" w:rsidRPr="00F119E3" w:rsidRDefault="000F6636" w:rsidP="00484DB0">
            <w:pPr>
              <w:jc w:val="center"/>
              <w:rPr>
                <w:rFonts w:cs="Times New Roman"/>
                <w:sz w:val="18"/>
                <w:szCs w:val="18"/>
              </w:rPr>
            </w:pPr>
            <w:r w:rsidRPr="00F119E3">
              <w:rPr>
                <w:sz w:val="18"/>
                <w:szCs w:val="18"/>
              </w:rPr>
              <w:t>0,9</w:t>
            </w:r>
          </w:p>
        </w:tc>
        <w:tc>
          <w:tcPr>
            <w:tcW w:w="651" w:type="dxa"/>
            <w:gridSpan w:val="2"/>
            <w:tcBorders>
              <w:top w:val="nil"/>
              <w:left w:val="nil"/>
              <w:bottom w:val="nil"/>
              <w:right w:val="nil"/>
            </w:tcBorders>
            <w:shd w:val="clear" w:color="auto" w:fill="auto"/>
            <w:vAlign w:val="center"/>
          </w:tcPr>
          <w:p w14:paraId="207A7450" w14:textId="77777777" w:rsidR="000F6636" w:rsidRPr="00F119E3" w:rsidRDefault="000F6636" w:rsidP="00484DB0">
            <w:pPr>
              <w:jc w:val="center"/>
              <w:rPr>
                <w:rFonts w:cs="Times New Roman"/>
                <w:sz w:val="18"/>
                <w:szCs w:val="18"/>
              </w:rPr>
            </w:pPr>
            <w:r w:rsidRPr="00F119E3">
              <w:rPr>
                <w:sz w:val="18"/>
                <w:szCs w:val="18"/>
              </w:rPr>
              <w:t>0,8</w:t>
            </w:r>
          </w:p>
        </w:tc>
        <w:tc>
          <w:tcPr>
            <w:tcW w:w="641" w:type="dxa"/>
            <w:tcBorders>
              <w:top w:val="nil"/>
              <w:left w:val="nil"/>
              <w:bottom w:val="nil"/>
              <w:right w:val="nil"/>
            </w:tcBorders>
            <w:shd w:val="clear" w:color="auto" w:fill="auto"/>
            <w:vAlign w:val="center"/>
          </w:tcPr>
          <w:p w14:paraId="14CCEB65" w14:textId="77777777" w:rsidR="000F6636" w:rsidRPr="00F119E3" w:rsidRDefault="000F6636" w:rsidP="00484DB0">
            <w:pPr>
              <w:jc w:val="center"/>
              <w:rPr>
                <w:rFonts w:cs="Times New Roman"/>
                <w:sz w:val="18"/>
                <w:szCs w:val="18"/>
              </w:rPr>
            </w:pPr>
            <w:r w:rsidRPr="00F119E3">
              <w:rPr>
                <w:sz w:val="18"/>
                <w:szCs w:val="18"/>
              </w:rPr>
              <w:t>0,8</w:t>
            </w:r>
          </w:p>
        </w:tc>
      </w:tr>
      <w:tr w:rsidR="000F6636" w:rsidRPr="00F119E3" w14:paraId="5E828062"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0A6B77E2" w14:textId="77777777" w:rsidR="000F6636" w:rsidRPr="00F119E3" w:rsidRDefault="000F6636" w:rsidP="00484DB0">
            <w:pPr>
              <w:rPr>
                <w:rFonts w:cs="Times New Roman"/>
                <w:sz w:val="18"/>
                <w:szCs w:val="18"/>
              </w:rPr>
            </w:pPr>
            <w:r w:rsidRPr="00F119E3">
              <w:rPr>
                <w:rFonts w:cs="Times New Roman"/>
                <w:sz w:val="18"/>
                <w:szCs w:val="18"/>
              </w:rPr>
              <w:t>21. Tvorba hrubého fixného kapitálu</w:t>
            </w:r>
          </w:p>
        </w:tc>
        <w:tc>
          <w:tcPr>
            <w:tcW w:w="933" w:type="dxa"/>
            <w:gridSpan w:val="2"/>
            <w:tcBorders>
              <w:top w:val="nil"/>
              <w:left w:val="nil"/>
              <w:bottom w:val="nil"/>
              <w:right w:val="nil"/>
            </w:tcBorders>
            <w:shd w:val="clear" w:color="auto" w:fill="auto"/>
            <w:hideMark/>
          </w:tcPr>
          <w:p w14:paraId="57E2C023" w14:textId="77777777" w:rsidR="000F6636" w:rsidRPr="00F119E3" w:rsidRDefault="000F6636" w:rsidP="00484DB0">
            <w:pPr>
              <w:jc w:val="center"/>
              <w:rPr>
                <w:rFonts w:cs="Times New Roman"/>
                <w:sz w:val="18"/>
                <w:szCs w:val="18"/>
              </w:rPr>
            </w:pPr>
            <w:r w:rsidRPr="00F119E3">
              <w:rPr>
                <w:rFonts w:cs="Times New Roman"/>
                <w:sz w:val="18"/>
                <w:szCs w:val="18"/>
              </w:rPr>
              <w:t>P.51g</w:t>
            </w:r>
          </w:p>
        </w:tc>
        <w:tc>
          <w:tcPr>
            <w:tcW w:w="845" w:type="dxa"/>
            <w:gridSpan w:val="2"/>
            <w:tcBorders>
              <w:top w:val="nil"/>
              <w:left w:val="nil"/>
              <w:bottom w:val="nil"/>
              <w:right w:val="nil"/>
            </w:tcBorders>
            <w:shd w:val="clear" w:color="auto" w:fill="auto"/>
            <w:vAlign w:val="center"/>
          </w:tcPr>
          <w:p w14:paraId="30F1F0E8" w14:textId="77777777" w:rsidR="000F6636" w:rsidRPr="00F119E3" w:rsidRDefault="000F6636" w:rsidP="00484DB0">
            <w:pPr>
              <w:jc w:val="center"/>
              <w:rPr>
                <w:rFonts w:cs="Times New Roman"/>
                <w:sz w:val="18"/>
                <w:szCs w:val="18"/>
              </w:rPr>
            </w:pPr>
            <w:r w:rsidRPr="00F119E3">
              <w:rPr>
                <w:sz w:val="18"/>
                <w:szCs w:val="18"/>
              </w:rPr>
              <w:t>5 766</w:t>
            </w:r>
          </w:p>
        </w:tc>
        <w:tc>
          <w:tcPr>
            <w:tcW w:w="795" w:type="dxa"/>
            <w:gridSpan w:val="3"/>
            <w:tcBorders>
              <w:top w:val="nil"/>
              <w:left w:val="nil"/>
              <w:bottom w:val="nil"/>
              <w:right w:val="nil"/>
            </w:tcBorders>
            <w:shd w:val="clear" w:color="auto" w:fill="auto"/>
            <w:vAlign w:val="center"/>
          </w:tcPr>
          <w:p w14:paraId="4CB3C73A" w14:textId="77777777" w:rsidR="000F6636" w:rsidRPr="00F119E3" w:rsidRDefault="000F6636" w:rsidP="00484DB0">
            <w:pPr>
              <w:jc w:val="center"/>
              <w:rPr>
                <w:rFonts w:cs="Times New Roman"/>
                <w:sz w:val="18"/>
                <w:szCs w:val="18"/>
              </w:rPr>
            </w:pPr>
            <w:r w:rsidRPr="00F119E3">
              <w:rPr>
                <w:sz w:val="18"/>
                <w:szCs w:val="18"/>
              </w:rPr>
              <w:t>4,7</w:t>
            </w:r>
          </w:p>
        </w:tc>
        <w:tc>
          <w:tcPr>
            <w:tcW w:w="872" w:type="dxa"/>
            <w:gridSpan w:val="2"/>
            <w:tcBorders>
              <w:top w:val="nil"/>
              <w:left w:val="nil"/>
              <w:bottom w:val="nil"/>
              <w:right w:val="nil"/>
            </w:tcBorders>
            <w:shd w:val="clear" w:color="auto" w:fill="auto"/>
            <w:vAlign w:val="center"/>
          </w:tcPr>
          <w:p w14:paraId="27EED8D5" w14:textId="77777777" w:rsidR="000F6636" w:rsidRPr="00F119E3" w:rsidRDefault="000F6636" w:rsidP="00484DB0">
            <w:pPr>
              <w:jc w:val="center"/>
              <w:rPr>
                <w:rFonts w:cs="Times New Roman"/>
                <w:sz w:val="18"/>
                <w:szCs w:val="18"/>
              </w:rPr>
            </w:pPr>
            <w:r w:rsidRPr="00F119E3">
              <w:rPr>
                <w:sz w:val="18"/>
                <w:szCs w:val="18"/>
              </w:rPr>
              <w:t>3,7</w:t>
            </w:r>
          </w:p>
        </w:tc>
        <w:tc>
          <w:tcPr>
            <w:tcW w:w="728" w:type="dxa"/>
            <w:gridSpan w:val="3"/>
            <w:tcBorders>
              <w:top w:val="nil"/>
              <w:left w:val="nil"/>
              <w:bottom w:val="nil"/>
              <w:right w:val="nil"/>
            </w:tcBorders>
            <w:shd w:val="clear" w:color="auto" w:fill="auto"/>
            <w:vAlign w:val="center"/>
          </w:tcPr>
          <w:p w14:paraId="11013847" w14:textId="77777777" w:rsidR="000F6636" w:rsidRPr="00F119E3" w:rsidRDefault="000F6636" w:rsidP="00484DB0">
            <w:pPr>
              <w:jc w:val="center"/>
              <w:rPr>
                <w:rFonts w:cs="Times New Roman"/>
                <w:sz w:val="18"/>
                <w:szCs w:val="18"/>
              </w:rPr>
            </w:pPr>
            <w:r w:rsidRPr="00F119E3">
              <w:rPr>
                <w:sz w:val="18"/>
                <w:szCs w:val="18"/>
              </w:rPr>
              <w:t>4,0</w:t>
            </w:r>
          </w:p>
        </w:tc>
        <w:tc>
          <w:tcPr>
            <w:tcW w:w="651" w:type="dxa"/>
            <w:gridSpan w:val="2"/>
            <w:tcBorders>
              <w:top w:val="nil"/>
              <w:left w:val="nil"/>
              <w:bottom w:val="nil"/>
              <w:right w:val="nil"/>
            </w:tcBorders>
            <w:shd w:val="clear" w:color="auto" w:fill="auto"/>
            <w:vAlign w:val="center"/>
          </w:tcPr>
          <w:p w14:paraId="76D8A78C" w14:textId="77777777" w:rsidR="000F6636" w:rsidRPr="00F119E3" w:rsidRDefault="000F6636" w:rsidP="00484DB0">
            <w:pPr>
              <w:jc w:val="center"/>
              <w:rPr>
                <w:rFonts w:cs="Times New Roman"/>
                <w:sz w:val="18"/>
                <w:szCs w:val="18"/>
              </w:rPr>
            </w:pPr>
            <w:r w:rsidRPr="00F119E3">
              <w:rPr>
                <w:sz w:val="18"/>
                <w:szCs w:val="18"/>
              </w:rPr>
              <w:t>2,9</w:t>
            </w:r>
          </w:p>
        </w:tc>
        <w:tc>
          <w:tcPr>
            <w:tcW w:w="641" w:type="dxa"/>
            <w:tcBorders>
              <w:top w:val="nil"/>
              <w:left w:val="nil"/>
              <w:bottom w:val="nil"/>
              <w:right w:val="nil"/>
            </w:tcBorders>
            <w:shd w:val="clear" w:color="auto" w:fill="auto"/>
            <w:vAlign w:val="center"/>
          </w:tcPr>
          <w:p w14:paraId="70A0A90E" w14:textId="77777777" w:rsidR="000F6636" w:rsidRPr="00F119E3" w:rsidRDefault="000F6636" w:rsidP="00484DB0">
            <w:pPr>
              <w:jc w:val="center"/>
              <w:rPr>
                <w:rFonts w:cs="Times New Roman"/>
                <w:sz w:val="18"/>
                <w:szCs w:val="18"/>
              </w:rPr>
            </w:pPr>
            <w:r w:rsidRPr="00F119E3">
              <w:rPr>
                <w:sz w:val="18"/>
                <w:szCs w:val="18"/>
              </w:rPr>
              <w:t>2,6</w:t>
            </w:r>
          </w:p>
        </w:tc>
      </w:tr>
      <w:tr w:rsidR="000F6636" w:rsidRPr="00F119E3" w14:paraId="71E731EA"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4F842B02" w14:textId="77777777" w:rsidR="000F6636" w:rsidRPr="00F119E3" w:rsidRDefault="000F6636" w:rsidP="00484DB0">
            <w:pPr>
              <w:rPr>
                <w:rFonts w:cs="Times New Roman"/>
                <w:sz w:val="18"/>
                <w:szCs w:val="18"/>
              </w:rPr>
            </w:pPr>
            <w:r w:rsidRPr="00F119E3">
              <w:rPr>
                <w:rFonts w:cs="Times New Roman"/>
                <w:sz w:val="18"/>
                <w:szCs w:val="18"/>
              </w:rPr>
              <w:t>22. Kapitálové transfery</w:t>
            </w:r>
          </w:p>
        </w:tc>
        <w:tc>
          <w:tcPr>
            <w:tcW w:w="933" w:type="dxa"/>
            <w:gridSpan w:val="2"/>
            <w:tcBorders>
              <w:top w:val="nil"/>
              <w:left w:val="nil"/>
              <w:bottom w:val="nil"/>
              <w:right w:val="nil"/>
            </w:tcBorders>
            <w:shd w:val="clear" w:color="auto" w:fill="auto"/>
            <w:hideMark/>
          </w:tcPr>
          <w:p w14:paraId="1C72CBCA" w14:textId="77777777" w:rsidR="000F6636" w:rsidRPr="00F119E3" w:rsidRDefault="000F6636" w:rsidP="00484DB0">
            <w:pPr>
              <w:jc w:val="center"/>
              <w:rPr>
                <w:rFonts w:cs="Times New Roman"/>
                <w:sz w:val="18"/>
                <w:szCs w:val="18"/>
              </w:rPr>
            </w:pPr>
            <w:r w:rsidRPr="00F119E3">
              <w:rPr>
                <w:rFonts w:cs="Times New Roman"/>
                <w:sz w:val="18"/>
                <w:szCs w:val="18"/>
              </w:rPr>
              <w:t>D.9</w:t>
            </w:r>
          </w:p>
        </w:tc>
        <w:tc>
          <w:tcPr>
            <w:tcW w:w="845" w:type="dxa"/>
            <w:gridSpan w:val="2"/>
            <w:tcBorders>
              <w:top w:val="nil"/>
              <w:left w:val="nil"/>
              <w:bottom w:val="nil"/>
              <w:right w:val="nil"/>
            </w:tcBorders>
            <w:shd w:val="clear" w:color="auto" w:fill="auto"/>
            <w:vAlign w:val="center"/>
          </w:tcPr>
          <w:p w14:paraId="7B00B29C" w14:textId="77777777" w:rsidR="000F6636" w:rsidRPr="00F119E3" w:rsidRDefault="000F6636" w:rsidP="00484DB0">
            <w:pPr>
              <w:jc w:val="center"/>
              <w:rPr>
                <w:rFonts w:cs="Times New Roman"/>
                <w:sz w:val="18"/>
                <w:szCs w:val="18"/>
              </w:rPr>
            </w:pPr>
            <w:r w:rsidRPr="00F119E3">
              <w:rPr>
                <w:sz w:val="18"/>
                <w:szCs w:val="18"/>
              </w:rPr>
              <w:t>744</w:t>
            </w:r>
          </w:p>
        </w:tc>
        <w:tc>
          <w:tcPr>
            <w:tcW w:w="795" w:type="dxa"/>
            <w:gridSpan w:val="3"/>
            <w:tcBorders>
              <w:top w:val="nil"/>
              <w:left w:val="nil"/>
              <w:bottom w:val="nil"/>
              <w:right w:val="nil"/>
            </w:tcBorders>
            <w:shd w:val="clear" w:color="auto" w:fill="auto"/>
            <w:vAlign w:val="center"/>
          </w:tcPr>
          <w:p w14:paraId="64D10DA5" w14:textId="77777777" w:rsidR="000F6636" w:rsidRPr="00F119E3" w:rsidRDefault="000F6636" w:rsidP="00484DB0">
            <w:pPr>
              <w:jc w:val="center"/>
              <w:rPr>
                <w:rFonts w:cs="Times New Roman"/>
                <w:sz w:val="18"/>
                <w:szCs w:val="18"/>
              </w:rPr>
            </w:pPr>
            <w:r w:rsidRPr="00F119E3">
              <w:rPr>
                <w:sz w:val="18"/>
                <w:szCs w:val="18"/>
              </w:rPr>
              <w:t>0,6</w:t>
            </w:r>
          </w:p>
        </w:tc>
        <w:tc>
          <w:tcPr>
            <w:tcW w:w="872" w:type="dxa"/>
            <w:gridSpan w:val="2"/>
            <w:tcBorders>
              <w:top w:val="nil"/>
              <w:left w:val="nil"/>
              <w:bottom w:val="nil"/>
              <w:right w:val="nil"/>
            </w:tcBorders>
            <w:shd w:val="clear" w:color="auto" w:fill="auto"/>
            <w:vAlign w:val="center"/>
          </w:tcPr>
          <w:p w14:paraId="43056043" w14:textId="77777777" w:rsidR="000F6636" w:rsidRPr="00F119E3" w:rsidRDefault="000F6636" w:rsidP="00484DB0">
            <w:pPr>
              <w:jc w:val="center"/>
              <w:rPr>
                <w:rFonts w:cs="Times New Roman"/>
                <w:sz w:val="18"/>
                <w:szCs w:val="18"/>
              </w:rPr>
            </w:pPr>
            <w:r w:rsidRPr="00F119E3">
              <w:rPr>
                <w:sz w:val="18"/>
                <w:szCs w:val="18"/>
              </w:rPr>
              <w:t>0,8</w:t>
            </w:r>
          </w:p>
        </w:tc>
        <w:tc>
          <w:tcPr>
            <w:tcW w:w="728" w:type="dxa"/>
            <w:gridSpan w:val="3"/>
            <w:tcBorders>
              <w:top w:val="nil"/>
              <w:left w:val="nil"/>
              <w:bottom w:val="nil"/>
              <w:right w:val="nil"/>
            </w:tcBorders>
            <w:shd w:val="clear" w:color="auto" w:fill="auto"/>
            <w:vAlign w:val="center"/>
          </w:tcPr>
          <w:p w14:paraId="404AC4B4" w14:textId="77777777" w:rsidR="000F6636" w:rsidRPr="00F119E3" w:rsidRDefault="000F6636" w:rsidP="00484DB0">
            <w:pPr>
              <w:jc w:val="center"/>
              <w:rPr>
                <w:rFonts w:cs="Times New Roman"/>
                <w:sz w:val="18"/>
                <w:szCs w:val="18"/>
              </w:rPr>
            </w:pPr>
            <w:r w:rsidRPr="00F119E3">
              <w:rPr>
                <w:sz w:val="18"/>
                <w:szCs w:val="18"/>
              </w:rPr>
              <w:t>0,6</w:t>
            </w:r>
          </w:p>
        </w:tc>
        <w:tc>
          <w:tcPr>
            <w:tcW w:w="651" w:type="dxa"/>
            <w:gridSpan w:val="2"/>
            <w:tcBorders>
              <w:top w:val="nil"/>
              <w:left w:val="nil"/>
              <w:bottom w:val="nil"/>
              <w:right w:val="nil"/>
            </w:tcBorders>
            <w:shd w:val="clear" w:color="auto" w:fill="auto"/>
            <w:vAlign w:val="center"/>
          </w:tcPr>
          <w:p w14:paraId="0F69097B" w14:textId="77777777" w:rsidR="000F6636" w:rsidRPr="00F119E3" w:rsidRDefault="000F6636" w:rsidP="00484DB0">
            <w:pPr>
              <w:jc w:val="center"/>
              <w:rPr>
                <w:rFonts w:cs="Times New Roman"/>
                <w:sz w:val="18"/>
                <w:szCs w:val="18"/>
              </w:rPr>
            </w:pPr>
            <w:r w:rsidRPr="00F119E3">
              <w:rPr>
                <w:sz w:val="18"/>
                <w:szCs w:val="18"/>
              </w:rPr>
              <w:t>0,4</w:t>
            </w:r>
          </w:p>
        </w:tc>
        <w:tc>
          <w:tcPr>
            <w:tcW w:w="641" w:type="dxa"/>
            <w:tcBorders>
              <w:top w:val="nil"/>
              <w:left w:val="nil"/>
              <w:bottom w:val="nil"/>
              <w:right w:val="nil"/>
            </w:tcBorders>
            <w:shd w:val="clear" w:color="auto" w:fill="auto"/>
            <w:vAlign w:val="center"/>
          </w:tcPr>
          <w:p w14:paraId="4B9D703A" w14:textId="77777777" w:rsidR="000F6636" w:rsidRPr="00F119E3" w:rsidRDefault="000F6636" w:rsidP="00484DB0">
            <w:pPr>
              <w:jc w:val="center"/>
              <w:rPr>
                <w:rFonts w:cs="Times New Roman"/>
                <w:sz w:val="18"/>
                <w:szCs w:val="18"/>
              </w:rPr>
            </w:pPr>
            <w:r w:rsidRPr="00F119E3">
              <w:rPr>
                <w:sz w:val="18"/>
                <w:szCs w:val="18"/>
              </w:rPr>
              <w:t>0,4</w:t>
            </w:r>
          </w:p>
        </w:tc>
      </w:tr>
      <w:tr w:rsidR="000F6636" w:rsidRPr="00F119E3" w14:paraId="75DAF13D" w14:textId="77777777" w:rsidTr="00484DB0">
        <w:trPr>
          <w:gridAfter w:val="3"/>
          <w:wAfter w:w="524" w:type="dxa"/>
          <w:trHeight w:val="279"/>
        </w:trPr>
        <w:tc>
          <w:tcPr>
            <w:tcW w:w="3540" w:type="dxa"/>
            <w:gridSpan w:val="3"/>
            <w:tcBorders>
              <w:top w:val="nil"/>
              <w:left w:val="nil"/>
              <w:bottom w:val="nil"/>
              <w:right w:val="nil"/>
            </w:tcBorders>
            <w:shd w:val="clear" w:color="auto" w:fill="auto"/>
            <w:hideMark/>
          </w:tcPr>
          <w:p w14:paraId="4D72DDD6" w14:textId="77777777" w:rsidR="000F6636" w:rsidRPr="00F119E3" w:rsidRDefault="000F6636" w:rsidP="00484DB0">
            <w:pPr>
              <w:rPr>
                <w:rFonts w:cs="Times New Roman"/>
                <w:sz w:val="18"/>
                <w:szCs w:val="18"/>
              </w:rPr>
            </w:pPr>
            <w:r w:rsidRPr="00F119E3">
              <w:rPr>
                <w:rFonts w:cs="Times New Roman"/>
                <w:sz w:val="18"/>
                <w:szCs w:val="18"/>
              </w:rPr>
              <w:t>23. Ostatné</w:t>
            </w:r>
          </w:p>
        </w:tc>
        <w:tc>
          <w:tcPr>
            <w:tcW w:w="933" w:type="dxa"/>
            <w:gridSpan w:val="2"/>
            <w:tcBorders>
              <w:top w:val="nil"/>
              <w:left w:val="nil"/>
              <w:bottom w:val="nil"/>
              <w:right w:val="nil"/>
            </w:tcBorders>
            <w:shd w:val="clear" w:color="auto" w:fill="auto"/>
            <w:hideMark/>
          </w:tcPr>
          <w:p w14:paraId="4AB53016" w14:textId="77777777" w:rsidR="000F6636" w:rsidRPr="00F119E3" w:rsidRDefault="000F6636" w:rsidP="00484DB0">
            <w:pPr>
              <w:jc w:val="center"/>
              <w:rPr>
                <w:rFonts w:cs="Times New Roman"/>
                <w:sz w:val="18"/>
                <w:szCs w:val="18"/>
              </w:rPr>
            </w:pPr>
            <w:r w:rsidRPr="00F119E3">
              <w:rPr>
                <w:rFonts w:cs="Times New Roman"/>
                <w:sz w:val="18"/>
                <w:szCs w:val="18"/>
                <w:vertAlign w:val="superscript"/>
              </w:rPr>
              <w:t>[7]</w:t>
            </w:r>
          </w:p>
        </w:tc>
        <w:tc>
          <w:tcPr>
            <w:tcW w:w="845" w:type="dxa"/>
            <w:gridSpan w:val="2"/>
            <w:tcBorders>
              <w:top w:val="nil"/>
              <w:left w:val="nil"/>
              <w:bottom w:val="nil"/>
              <w:right w:val="nil"/>
            </w:tcBorders>
            <w:shd w:val="clear" w:color="auto" w:fill="auto"/>
            <w:vAlign w:val="center"/>
          </w:tcPr>
          <w:p w14:paraId="24029190" w14:textId="77777777" w:rsidR="000F6636" w:rsidRPr="00F119E3" w:rsidRDefault="000F6636" w:rsidP="00484DB0">
            <w:pPr>
              <w:jc w:val="center"/>
              <w:rPr>
                <w:rFonts w:cs="Times New Roman"/>
                <w:sz w:val="18"/>
                <w:szCs w:val="18"/>
              </w:rPr>
            </w:pPr>
            <w:r w:rsidRPr="00F119E3">
              <w:rPr>
                <w:sz w:val="18"/>
                <w:szCs w:val="18"/>
              </w:rPr>
              <w:t>2 263</w:t>
            </w:r>
          </w:p>
        </w:tc>
        <w:tc>
          <w:tcPr>
            <w:tcW w:w="795" w:type="dxa"/>
            <w:gridSpan w:val="3"/>
            <w:tcBorders>
              <w:top w:val="nil"/>
              <w:left w:val="nil"/>
              <w:bottom w:val="nil"/>
              <w:right w:val="nil"/>
            </w:tcBorders>
            <w:shd w:val="clear" w:color="auto" w:fill="auto"/>
            <w:vAlign w:val="center"/>
          </w:tcPr>
          <w:p w14:paraId="1197056D" w14:textId="77777777" w:rsidR="000F6636" w:rsidRPr="00F119E3" w:rsidRDefault="000F6636" w:rsidP="00484DB0">
            <w:pPr>
              <w:jc w:val="center"/>
              <w:rPr>
                <w:rFonts w:cs="Times New Roman"/>
                <w:sz w:val="18"/>
                <w:szCs w:val="18"/>
              </w:rPr>
            </w:pPr>
            <w:r w:rsidRPr="00F119E3">
              <w:rPr>
                <w:sz w:val="18"/>
                <w:szCs w:val="18"/>
              </w:rPr>
              <w:t>1,8</w:t>
            </w:r>
          </w:p>
        </w:tc>
        <w:tc>
          <w:tcPr>
            <w:tcW w:w="872" w:type="dxa"/>
            <w:gridSpan w:val="2"/>
            <w:tcBorders>
              <w:top w:val="nil"/>
              <w:left w:val="nil"/>
              <w:bottom w:val="nil"/>
              <w:right w:val="nil"/>
            </w:tcBorders>
            <w:shd w:val="clear" w:color="auto" w:fill="auto"/>
            <w:vAlign w:val="center"/>
          </w:tcPr>
          <w:p w14:paraId="69B7DE58" w14:textId="77777777" w:rsidR="000F6636" w:rsidRPr="00F119E3" w:rsidRDefault="000F6636" w:rsidP="00484DB0">
            <w:pPr>
              <w:jc w:val="center"/>
              <w:rPr>
                <w:rFonts w:cs="Times New Roman"/>
                <w:sz w:val="18"/>
                <w:szCs w:val="18"/>
              </w:rPr>
            </w:pPr>
            <w:r w:rsidRPr="00F119E3">
              <w:rPr>
                <w:sz w:val="18"/>
                <w:szCs w:val="18"/>
              </w:rPr>
              <w:t>2,2</w:t>
            </w:r>
          </w:p>
        </w:tc>
        <w:tc>
          <w:tcPr>
            <w:tcW w:w="728" w:type="dxa"/>
            <w:gridSpan w:val="3"/>
            <w:tcBorders>
              <w:top w:val="nil"/>
              <w:left w:val="nil"/>
              <w:bottom w:val="nil"/>
              <w:right w:val="nil"/>
            </w:tcBorders>
            <w:shd w:val="clear" w:color="auto" w:fill="auto"/>
            <w:vAlign w:val="center"/>
          </w:tcPr>
          <w:p w14:paraId="4DD9B534" w14:textId="77777777" w:rsidR="000F6636" w:rsidRPr="00F119E3" w:rsidRDefault="000F6636" w:rsidP="00484DB0">
            <w:pPr>
              <w:jc w:val="center"/>
              <w:rPr>
                <w:rFonts w:cs="Times New Roman"/>
                <w:sz w:val="18"/>
                <w:szCs w:val="18"/>
              </w:rPr>
            </w:pPr>
            <w:r w:rsidRPr="00F119E3">
              <w:rPr>
                <w:sz w:val="18"/>
                <w:szCs w:val="18"/>
              </w:rPr>
              <w:t>2,1</w:t>
            </w:r>
          </w:p>
        </w:tc>
        <w:tc>
          <w:tcPr>
            <w:tcW w:w="651" w:type="dxa"/>
            <w:gridSpan w:val="2"/>
            <w:tcBorders>
              <w:top w:val="nil"/>
              <w:left w:val="nil"/>
              <w:bottom w:val="nil"/>
              <w:right w:val="nil"/>
            </w:tcBorders>
            <w:shd w:val="clear" w:color="auto" w:fill="auto"/>
            <w:vAlign w:val="center"/>
          </w:tcPr>
          <w:p w14:paraId="34096090" w14:textId="77777777" w:rsidR="000F6636" w:rsidRPr="00F119E3" w:rsidRDefault="000F6636" w:rsidP="00484DB0">
            <w:pPr>
              <w:jc w:val="center"/>
              <w:rPr>
                <w:rFonts w:cs="Times New Roman"/>
                <w:sz w:val="18"/>
                <w:szCs w:val="18"/>
              </w:rPr>
            </w:pPr>
            <w:r w:rsidRPr="00F119E3">
              <w:rPr>
                <w:sz w:val="18"/>
                <w:szCs w:val="18"/>
              </w:rPr>
              <w:t>2,4</w:t>
            </w:r>
          </w:p>
        </w:tc>
        <w:tc>
          <w:tcPr>
            <w:tcW w:w="641" w:type="dxa"/>
            <w:tcBorders>
              <w:top w:val="nil"/>
              <w:left w:val="nil"/>
              <w:bottom w:val="nil"/>
              <w:right w:val="nil"/>
            </w:tcBorders>
            <w:shd w:val="clear" w:color="auto" w:fill="auto"/>
            <w:vAlign w:val="center"/>
          </w:tcPr>
          <w:p w14:paraId="66CA3187" w14:textId="77777777" w:rsidR="000F6636" w:rsidRPr="00F119E3" w:rsidRDefault="000F6636" w:rsidP="00484DB0">
            <w:pPr>
              <w:jc w:val="center"/>
              <w:rPr>
                <w:rFonts w:cs="Times New Roman"/>
                <w:sz w:val="18"/>
                <w:szCs w:val="18"/>
              </w:rPr>
            </w:pPr>
            <w:r w:rsidRPr="00F119E3">
              <w:rPr>
                <w:sz w:val="18"/>
                <w:szCs w:val="18"/>
              </w:rPr>
              <w:t>2,4</w:t>
            </w:r>
          </w:p>
        </w:tc>
      </w:tr>
      <w:tr w:rsidR="000F6636" w:rsidRPr="00F119E3" w14:paraId="4E2285BF" w14:textId="77777777" w:rsidTr="00484DB0">
        <w:trPr>
          <w:gridAfter w:val="3"/>
          <w:wAfter w:w="524" w:type="dxa"/>
          <w:trHeight w:val="279"/>
        </w:trPr>
        <w:tc>
          <w:tcPr>
            <w:tcW w:w="3540" w:type="dxa"/>
            <w:gridSpan w:val="3"/>
            <w:tcBorders>
              <w:top w:val="nil"/>
              <w:left w:val="nil"/>
              <w:right w:val="nil"/>
            </w:tcBorders>
            <w:shd w:val="clear" w:color="auto" w:fill="auto"/>
            <w:hideMark/>
          </w:tcPr>
          <w:p w14:paraId="6B65B242" w14:textId="77777777" w:rsidR="000F6636" w:rsidRPr="00F119E3" w:rsidRDefault="000F6636" w:rsidP="00484DB0">
            <w:pPr>
              <w:rPr>
                <w:rFonts w:cs="Times New Roman"/>
                <w:sz w:val="18"/>
                <w:szCs w:val="18"/>
              </w:rPr>
            </w:pPr>
            <w:r w:rsidRPr="00F119E3">
              <w:rPr>
                <w:rFonts w:cs="Times New Roman"/>
                <w:sz w:val="18"/>
                <w:szCs w:val="18"/>
              </w:rPr>
              <w:t>24=7. Celkové výdavky</w:t>
            </w:r>
          </w:p>
        </w:tc>
        <w:tc>
          <w:tcPr>
            <w:tcW w:w="933" w:type="dxa"/>
            <w:gridSpan w:val="2"/>
            <w:tcBorders>
              <w:top w:val="nil"/>
              <w:left w:val="nil"/>
              <w:right w:val="nil"/>
            </w:tcBorders>
            <w:shd w:val="clear" w:color="auto" w:fill="auto"/>
            <w:hideMark/>
          </w:tcPr>
          <w:p w14:paraId="37748CFB" w14:textId="77777777" w:rsidR="000F6636" w:rsidRPr="00F119E3" w:rsidRDefault="000F6636" w:rsidP="00484DB0">
            <w:pPr>
              <w:jc w:val="center"/>
              <w:rPr>
                <w:rFonts w:cs="Times New Roman"/>
                <w:sz w:val="18"/>
                <w:szCs w:val="18"/>
              </w:rPr>
            </w:pPr>
            <w:r w:rsidRPr="00F119E3">
              <w:rPr>
                <w:rFonts w:cs="Times New Roman"/>
                <w:sz w:val="18"/>
                <w:szCs w:val="18"/>
              </w:rPr>
              <w:t>TE [1]</w:t>
            </w:r>
          </w:p>
        </w:tc>
        <w:tc>
          <w:tcPr>
            <w:tcW w:w="845" w:type="dxa"/>
            <w:gridSpan w:val="2"/>
            <w:tcBorders>
              <w:top w:val="nil"/>
              <w:left w:val="nil"/>
              <w:bottom w:val="nil"/>
              <w:right w:val="nil"/>
            </w:tcBorders>
            <w:shd w:val="clear" w:color="auto" w:fill="auto"/>
            <w:vAlign w:val="center"/>
          </w:tcPr>
          <w:p w14:paraId="0D514E88" w14:textId="77777777" w:rsidR="000F6636" w:rsidRPr="00F119E3" w:rsidRDefault="000F6636" w:rsidP="00484DB0">
            <w:pPr>
              <w:jc w:val="center"/>
              <w:rPr>
                <w:rFonts w:cs="Times New Roman"/>
                <w:sz w:val="18"/>
                <w:szCs w:val="18"/>
              </w:rPr>
            </w:pPr>
            <w:r w:rsidRPr="00F119E3">
              <w:rPr>
                <w:sz w:val="18"/>
                <w:szCs w:val="18"/>
              </w:rPr>
              <w:t>58 853</w:t>
            </w:r>
          </w:p>
        </w:tc>
        <w:tc>
          <w:tcPr>
            <w:tcW w:w="795" w:type="dxa"/>
            <w:gridSpan w:val="3"/>
            <w:tcBorders>
              <w:top w:val="nil"/>
              <w:left w:val="nil"/>
              <w:bottom w:val="nil"/>
              <w:right w:val="nil"/>
            </w:tcBorders>
            <w:shd w:val="clear" w:color="auto" w:fill="auto"/>
            <w:vAlign w:val="center"/>
          </w:tcPr>
          <w:p w14:paraId="033E669D" w14:textId="77777777" w:rsidR="000F6636" w:rsidRPr="00F119E3" w:rsidRDefault="000F6636" w:rsidP="00484DB0">
            <w:pPr>
              <w:jc w:val="center"/>
              <w:rPr>
                <w:rFonts w:cs="Times New Roman"/>
                <w:sz w:val="18"/>
                <w:szCs w:val="18"/>
              </w:rPr>
            </w:pPr>
            <w:r w:rsidRPr="00F119E3">
              <w:rPr>
                <w:sz w:val="18"/>
                <w:szCs w:val="18"/>
              </w:rPr>
              <w:t>47,9</w:t>
            </w:r>
          </w:p>
        </w:tc>
        <w:tc>
          <w:tcPr>
            <w:tcW w:w="872" w:type="dxa"/>
            <w:gridSpan w:val="2"/>
            <w:tcBorders>
              <w:top w:val="nil"/>
              <w:left w:val="nil"/>
              <w:bottom w:val="nil"/>
              <w:right w:val="nil"/>
            </w:tcBorders>
            <w:shd w:val="clear" w:color="auto" w:fill="auto"/>
            <w:vAlign w:val="center"/>
          </w:tcPr>
          <w:p w14:paraId="0BF35926" w14:textId="77777777" w:rsidR="000F6636" w:rsidRPr="00F119E3" w:rsidRDefault="000F6636" w:rsidP="00484DB0">
            <w:pPr>
              <w:jc w:val="center"/>
              <w:rPr>
                <w:rFonts w:cs="Times New Roman"/>
                <w:sz w:val="18"/>
                <w:szCs w:val="18"/>
              </w:rPr>
            </w:pPr>
            <w:r w:rsidRPr="00F119E3">
              <w:rPr>
                <w:sz w:val="18"/>
                <w:szCs w:val="18"/>
              </w:rPr>
              <w:t>46,9</w:t>
            </w:r>
          </w:p>
        </w:tc>
        <w:tc>
          <w:tcPr>
            <w:tcW w:w="728" w:type="dxa"/>
            <w:gridSpan w:val="3"/>
            <w:tcBorders>
              <w:top w:val="nil"/>
              <w:left w:val="nil"/>
              <w:bottom w:val="nil"/>
              <w:right w:val="nil"/>
            </w:tcBorders>
            <w:shd w:val="clear" w:color="auto" w:fill="auto"/>
            <w:vAlign w:val="center"/>
          </w:tcPr>
          <w:p w14:paraId="11AFBE8F" w14:textId="77777777" w:rsidR="000F6636" w:rsidRPr="00F119E3" w:rsidRDefault="000F6636" w:rsidP="00484DB0">
            <w:pPr>
              <w:jc w:val="center"/>
              <w:rPr>
                <w:rFonts w:cs="Times New Roman"/>
                <w:sz w:val="18"/>
                <w:szCs w:val="18"/>
              </w:rPr>
            </w:pPr>
            <w:r w:rsidRPr="00F119E3">
              <w:rPr>
                <w:sz w:val="18"/>
                <w:szCs w:val="18"/>
              </w:rPr>
              <w:t>45,9</w:t>
            </w:r>
          </w:p>
        </w:tc>
        <w:tc>
          <w:tcPr>
            <w:tcW w:w="651" w:type="dxa"/>
            <w:gridSpan w:val="2"/>
            <w:tcBorders>
              <w:top w:val="nil"/>
              <w:left w:val="nil"/>
              <w:bottom w:val="nil"/>
              <w:right w:val="nil"/>
            </w:tcBorders>
            <w:shd w:val="clear" w:color="auto" w:fill="auto"/>
            <w:vAlign w:val="center"/>
          </w:tcPr>
          <w:p w14:paraId="1E2E1D74" w14:textId="77777777" w:rsidR="000F6636" w:rsidRPr="00F119E3" w:rsidRDefault="000F6636" w:rsidP="00484DB0">
            <w:pPr>
              <w:jc w:val="center"/>
              <w:rPr>
                <w:rFonts w:cs="Times New Roman"/>
                <w:sz w:val="18"/>
                <w:szCs w:val="18"/>
              </w:rPr>
            </w:pPr>
            <w:r w:rsidRPr="00F119E3">
              <w:rPr>
                <w:sz w:val="18"/>
                <w:szCs w:val="18"/>
              </w:rPr>
              <w:t>44,9</w:t>
            </w:r>
          </w:p>
        </w:tc>
        <w:tc>
          <w:tcPr>
            <w:tcW w:w="641" w:type="dxa"/>
            <w:tcBorders>
              <w:top w:val="nil"/>
              <w:left w:val="nil"/>
              <w:bottom w:val="nil"/>
              <w:right w:val="nil"/>
            </w:tcBorders>
            <w:shd w:val="clear" w:color="auto" w:fill="auto"/>
            <w:vAlign w:val="center"/>
          </w:tcPr>
          <w:p w14:paraId="6A2CA77E" w14:textId="77777777" w:rsidR="000F6636" w:rsidRPr="00F119E3" w:rsidRDefault="000F6636" w:rsidP="00484DB0">
            <w:pPr>
              <w:jc w:val="center"/>
              <w:rPr>
                <w:rFonts w:cs="Times New Roman"/>
                <w:sz w:val="18"/>
                <w:szCs w:val="18"/>
              </w:rPr>
            </w:pPr>
            <w:r w:rsidRPr="00F119E3">
              <w:rPr>
                <w:sz w:val="18"/>
                <w:szCs w:val="18"/>
              </w:rPr>
              <w:t>44,5</w:t>
            </w:r>
          </w:p>
        </w:tc>
      </w:tr>
      <w:tr w:rsidR="000F6636" w:rsidRPr="00F119E3" w14:paraId="1B645124" w14:textId="77777777" w:rsidTr="00484DB0">
        <w:trPr>
          <w:gridAfter w:val="3"/>
          <w:wAfter w:w="524" w:type="dxa"/>
          <w:trHeight w:val="279"/>
        </w:trPr>
        <w:tc>
          <w:tcPr>
            <w:tcW w:w="3540" w:type="dxa"/>
            <w:gridSpan w:val="3"/>
            <w:tcBorders>
              <w:top w:val="nil"/>
              <w:left w:val="nil"/>
              <w:bottom w:val="single" w:sz="8" w:space="0" w:color="auto"/>
              <w:right w:val="nil"/>
            </w:tcBorders>
            <w:shd w:val="clear" w:color="auto" w:fill="auto"/>
            <w:hideMark/>
          </w:tcPr>
          <w:p w14:paraId="1D71C103" w14:textId="77777777" w:rsidR="000F6636" w:rsidRPr="00F119E3" w:rsidRDefault="000F6636" w:rsidP="00484DB0">
            <w:pPr>
              <w:rPr>
                <w:rFonts w:cs="Times New Roman"/>
                <w:sz w:val="18"/>
                <w:szCs w:val="18"/>
              </w:rPr>
            </w:pPr>
            <w:r w:rsidRPr="00F119E3">
              <w:rPr>
                <w:rFonts w:cs="Times New Roman"/>
                <w:sz w:val="18"/>
                <w:szCs w:val="18"/>
              </w:rPr>
              <w:t>p. m.: Spotreba vlády (nominálna)</w:t>
            </w:r>
          </w:p>
        </w:tc>
        <w:tc>
          <w:tcPr>
            <w:tcW w:w="933" w:type="dxa"/>
            <w:gridSpan w:val="2"/>
            <w:tcBorders>
              <w:top w:val="nil"/>
              <w:left w:val="nil"/>
              <w:bottom w:val="single" w:sz="8" w:space="0" w:color="auto"/>
              <w:right w:val="nil"/>
            </w:tcBorders>
            <w:shd w:val="clear" w:color="auto" w:fill="auto"/>
            <w:hideMark/>
          </w:tcPr>
          <w:p w14:paraId="300654A7" w14:textId="77777777" w:rsidR="000F6636" w:rsidRPr="00F119E3" w:rsidRDefault="000F6636" w:rsidP="00484DB0">
            <w:pPr>
              <w:jc w:val="center"/>
              <w:rPr>
                <w:rFonts w:cs="Times New Roman"/>
                <w:sz w:val="18"/>
                <w:szCs w:val="18"/>
              </w:rPr>
            </w:pPr>
            <w:r w:rsidRPr="00F119E3">
              <w:rPr>
                <w:rFonts w:cs="Times New Roman"/>
                <w:sz w:val="18"/>
                <w:szCs w:val="18"/>
              </w:rPr>
              <w:t>P.3</w:t>
            </w:r>
          </w:p>
        </w:tc>
        <w:tc>
          <w:tcPr>
            <w:tcW w:w="845" w:type="dxa"/>
            <w:gridSpan w:val="2"/>
            <w:tcBorders>
              <w:top w:val="nil"/>
              <w:left w:val="nil"/>
              <w:bottom w:val="single" w:sz="4" w:space="0" w:color="auto"/>
              <w:right w:val="nil"/>
            </w:tcBorders>
            <w:shd w:val="clear" w:color="auto" w:fill="auto"/>
            <w:vAlign w:val="center"/>
          </w:tcPr>
          <w:p w14:paraId="7DEA45DC" w14:textId="77777777" w:rsidR="000F6636" w:rsidRPr="00F119E3" w:rsidRDefault="000F6636" w:rsidP="00484DB0">
            <w:pPr>
              <w:jc w:val="center"/>
              <w:rPr>
                <w:rFonts w:cs="Times New Roman"/>
                <w:sz w:val="18"/>
                <w:szCs w:val="18"/>
              </w:rPr>
            </w:pPr>
            <w:r w:rsidRPr="00F119E3">
              <w:rPr>
                <w:sz w:val="18"/>
                <w:szCs w:val="18"/>
              </w:rPr>
              <w:t>24 705</w:t>
            </w:r>
          </w:p>
        </w:tc>
        <w:tc>
          <w:tcPr>
            <w:tcW w:w="795" w:type="dxa"/>
            <w:gridSpan w:val="3"/>
            <w:tcBorders>
              <w:top w:val="nil"/>
              <w:left w:val="nil"/>
              <w:bottom w:val="single" w:sz="4" w:space="0" w:color="auto"/>
              <w:right w:val="nil"/>
            </w:tcBorders>
            <w:shd w:val="clear" w:color="auto" w:fill="auto"/>
            <w:vAlign w:val="center"/>
          </w:tcPr>
          <w:p w14:paraId="1F86F5CC" w14:textId="77777777" w:rsidR="000F6636" w:rsidRPr="00F119E3" w:rsidRDefault="000F6636" w:rsidP="00484DB0">
            <w:pPr>
              <w:jc w:val="center"/>
              <w:rPr>
                <w:rFonts w:cs="Times New Roman"/>
                <w:sz w:val="18"/>
                <w:szCs w:val="18"/>
              </w:rPr>
            </w:pPr>
            <w:r w:rsidRPr="00F119E3">
              <w:rPr>
                <w:sz w:val="18"/>
                <w:szCs w:val="18"/>
              </w:rPr>
              <w:t>20,1</w:t>
            </w:r>
          </w:p>
        </w:tc>
        <w:tc>
          <w:tcPr>
            <w:tcW w:w="872" w:type="dxa"/>
            <w:gridSpan w:val="2"/>
            <w:tcBorders>
              <w:top w:val="nil"/>
              <w:left w:val="nil"/>
              <w:bottom w:val="single" w:sz="4" w:space="0" w:color="auto"/>
              <w:right w:val="nil"/>
            </w:tcBorders>
            <w:shd w:val="clear" w:color="auto" w:fill="auto"/>
            <w:vAlign w:val="center"/>
          </w:tcPr>
          <w:p w14:paraId="179043BE" w14:textId="77777777" w:rsidR="000F6636" w:rsidRPr="00F119E3" w:rsidRDefault="000F6636" w:rsidP="00484DB0">
            <w:pPr>
              <w:jc w:val="center"/>
              <w:rPr>
                <w:rFonts w:cs="Times New Roman"/>
                <w:sz w:val="18"/>
                <w:szCs w:val="18"/>
              </w:rPr>
            </w:pPr>
            <w:r w:rsidRPr="00F119E3">
              <w:rPr>
                <w:sz w:val="18"/>
                <w:szCs w:val="18"/>
              </w:rPr>
              <w:t>21,1</w:t>
            </w:r>
          </w:p>
        </w:tc>
        <w:tc>
          <w:tcPr>
            <w:tcW w:w="728" w:type="dxa"/>
            <w:gridSpan w:val="3"/>
            <w:tcBorders>
              <w:top w:val="nil"/>
              <w:left w:val="nil"/>
              <w:bottom w:val="single" w:sz="4" w:space="0" w:color="auto"/>
              <w:right w:val="nil"/>
            </w:tcBorders>
            <w:shd w:val="clear" w:color="auto" w:fill="auto"/>
            <w:vAlign w:val="center"/>
          </w:tcPr>
          <w:p w14:paraId="14837F15" w14:textId="77777777" w:rsidR="000F6636" w:rsidRPr="00F119E3" w:rsidRDefault="000F6636" w:rsidP="00484DB0">
            <w:pPr>
              <w:jc w:val="center"/>
              <w:rPr>
                <w:rFonts w:cs="Times New Roman"/>
                <w:sz w:val="18"/>
                <w:szCs w:val="18"/>
              </w:rPr>
            </w:pPr>
            <w:r w:rsidRPr="00F119E3">
              <w:rPr>
                <w:sz w:val="18"/>
                <w:szCs w:val="18"/>
              </w:rPr>
              <w:t>20,4</w:t>
            </w:r>
          </w:p>
        </w:tc>
        <w:tc>
          <w:tcPr>
            <w:tcW w:w="651" w:type="dxa"/>
            <w:gridSpan w:val="2"/>
            <w:tcBorders>
              <w:top w:val="nil"/>
              <w:left w:val="nil"/>
              <w:bottom w:val="single" w:sz="4" w:space="0" w:color="auto"/>
              <w:right w:val="nil"/>
            </w:tcBorders>
            <w:shd w:val="clear" w:color="auto" w:fill="auto"/>
            <w:vAlign w:val="center"/>
          </w:tcPr>
          <w:p w14:paraId="13AEFECE" w14:textId="77777777" w:rsidR="000F6636" w:rsidRPr="00F119E3" w:rsidRDefault="000F6636" w:rsidP="00484DB0">
            <w:pPr>
              <w:jc w:val="center"/>
              <w:rPr>
                <w:rFonts w:cs="Times New Roman"/>
                <w:sz w:val="18"/>
                <w:szCs w:val="18"/>
              </w:rPr>
            </w:pPr>
            <w:r w:rsidRPr="00F119E3">
              <w:rPr>
                <w:sz w:val="18"/>
                <w:szCs w:val="18"/>
              </w:rPr>
              <w:t>20,3</w:t>
            </w:r>
          </w:p>
        </w:tc>
        <w:tc>
          <w:tcPr>
            <w:tcW w:w="641" w:type="dxa"/>
            <w:tcBorders>
              <w:top w:val="nil"/>
              <w:left w:val="nil"/>
              <w:bottom w:val="single" w:sz="4" w:space="0" w:color="auto"/>
              <w:right w:val="nil"/>
            </w:tcBorders>
            <w:shd w:val="clear" w:color="auto" w:fill="auto"/>
            <w:vAlign w:val="center"/>
          </w:tcPr>
          <w:p w14:paraId="3B71E4D3" w14:textId="77777777" w:rsidR="000F6636" w:rsidRPr="00F119E3" w:rsidRDefault="000F6636" w:rsidP="00484DB0">
            <w:pPr>
              <w:jc w:val="center"/>
              <w:rPr>
                <w:rFonts w:cs="Times New Roman"/>
                <w:sz w:val="18"/>
                <w:szCs w:val="18"/>
              </w:rPr>
            </w:pPr>
            <w:r w:rsidRPr="00F119E3">
              <w:rPr>
                <w:sz w:val="18"/>
                <w:szCs w:val="18"/>
              </w:rPr>
              <w:t>20,2</w:t>
            </w:r>
          </w:p>
        </w:tc>
      </w:tr>
      <w:tr w:rsidR="000F6636" w:rsidRPr="00F119E3" w14:paraId="5411EBE4" w14:textId="77777777" w:rsidTr="00484DB0">
        <w:trPr>
          <w:gridAfter w:val="2"/>
          <w:wAfter w:w="497" w:type="dxa"/>
          <w:trHeight w:val="224"/>
        </w:trPr>
        <w:tc>
          <w:tcPr>
            <w:tcW w:w="5934" w:type="dxa"/>
            <w:gridSpan w:val="8"/>
            <w:tcBorders>
              <w:top w:val="single" w:sz="8" w:space="0" w:color="auto"/>
              <w:left w:val="nil"/>
              <w:bottom w:val="nil"/>
              <w:right w:val="nil"/>
            </w:tcBorders>
            <w:shd w:val="clear" w:color="auto" w:fill="auto"/>
            <w:noWrap/>
            <w:vAlign w:val="center"/>
            <w:hideMark/>
          </w:tcPr>
          <w:p w14:paraId="7289876D" w14:textId="77777777" w:rsidR="000F6636" w:rsidRPr="00F119E3" w:rsidRDefault="000F6636" w:rsidP="00484DB0">
            <w:pPr>
              <w:rPr>
                <w:rFonts w:cs="Times New Roman"/>
                <w:i/>
                <w:sz w:val="16"/>
                <w:szCs w:val="18"/>
              </w:rPr>
            </w:pPr>
            <w:r w:rsidRPr="00F119E3">
              <w:rPr>
                <w:rFonts w:cs="Times New Roman"/>
                <w:i/>
                <w:sz w:val="16"/>
                <w:szCs w:val="18"/>
              </w:rPr>
              <w:t>[1] Upravené o čisté toky týkajúce sa swapov tak, aby TR-TE=B.9</w:t>
            </w:r>
          </w:p>
        </w:tc>
        <w:tc>
          <w:tcPr>
            <w:tcW w:w="795" w:type="dxa"/>
            <w:gridSpan w:val="3"/>
            <w:tcBorders>
              <w:top w:val="single" w:sz="8" w:space="0" w:color="auto"/>
              <w:left w:val="nil"/>
              <w:bottom w:val="nil"/>
              <w:right w:val="nil"/>
            </w:tcBorders>
            <w:shd w:val="clear" w:color="auto" w:fill="auto"/>
            <w:noWrap/>
            <w:vAlign w:val="bottom"/>
            <w:hideMark/>
          </w:tcPr>
          <w:p w14:paraId="211D4707" w14:textId="77777777" w:rsidR="000F6636" w:rsidRPr="00F119E3" w:rsidRDefault="000F6636" w:rsidP="00484DB0">
            <w:pPr>
              <w:rPr>
                <w:rFonts w:cs="Times New Roman"/>
                <w:i/>
                <w:color w:val="000000"/>
                <w:sz w:val="18"/>
                <w:szCs w:val="18"/>
              </w:rPr>
            </w:pPr>
            <w:r w:rsidRPr="00F119E3">
              <w:rPr>
                <w:rFonts w:cs="Times New Roman"/>
                <w:i/>
                <w:color w:val="000000"/>
                <w:sz w:val="18"/>
                <w:szCs w:val="18"/>
              </w:rPr>
              <w:t> </w:t>
            </w:r>
          </w:p>
        </w:tc>
        <w:tc>
          <w:tcPr>
            <w:tcW w:w="872" w:type="dxa"/>
            <w:gridSpan w:val="3"/>
            <w:tcBorders>
              <w:top w:val="single" w:sz="8" w:space="0" w:color="auto"/>
              <w:left w:val="nil"/>
              <w:bottom w:val="nil"/>
              <w:right w:val="nil"/>
            </w:tcBorders>
            <w:shd w:val="clear" w:color="auto" w:fill="auto"/>
            <w:noWrap/>
            <w:vAlign w:val="bottom"/>
            <w:hideMark/>
          </w:tcPr>
          <w:p w14:paraId="7B3A96B4" w14:textId="77777777" w:rsidR="000F6636" w:rsidRPr="00F119E3" w:rsidRDefault="000F6636" w:rsidP="00484DB0">
            <w:pPr>
              <w:rPr>
                <w:rFonts w:cs="Times New Roman"/>
                <w:i/>
                <w:color w:val="000000"/>
                <w:sz w:val="18"/>
                <w:szCs w:val="18"/>
              </w:rPr>
            </w:pPr>
            <w:r w:rsidRPr="00F119E3">
              <w:rPr>
                <w:rFonts w:cs="Times New Roman"/>
                <w:i/>
                <w:color w:val="000000"/>
                <w:sz w:val="18"/>
                <w:szCs w:val="18"/>
              </w:rPr>
              <w:t> </w:t>
            </w:r>
          </w:p>
        </w:tc>
        <w:tc>
          <w:tcPr>
            <w:tcW w:w="1431" w:type="dxa"/>
            <w:gridSpan w:val="5"/>
            <w:tcBorders>
              <w:top w:val="single" w:sz="8" w:space="0" w:color="auto"/>
              <w:left w:val="nil"/>
              <w:bottom w:val="nil"/>
              <w:right w:val="nil"/>
            </w:tcBorders>
            <w:shd w:val="clear" w:color="auto" w:fill="auto"/>
            <w:noWrap/>
            <w:vAlign w:val="center"/>
            <w:hideMark/>
          </w:tcPr>
          <w:p w14:paraId="11B47C51" w14:textId="77777777" w:rsidR="000F6636" w:rsidRPr="00F119E3" w:rsidRDefault="000F6636" w:rsidP="00484DB0">
            <w:pPr>
              <w:jc w:val="right"/>
              <w:rPr>
                <w:rFonts w:cs="Times New Roman"/>
                <w:i/>
                <w:iCs/>
                <w:sz w:val="18"/>
                <w:szCs w:val="18"/>
              </w:rPr>
            </w:pPr>
            <w:r w:rsidRPr="00F119E3">
              <w:rPr>
                <w:rFonts w:cs="Times New Roman"/>
                <w:i/>
                <w:iCs/>
                <w:sz w:val="16"/>
                <w:szCs w:val="18"/>
              </w:rPr>
              <w:t>Zdroj: MF SR</w:t>
            </w:r>
          </w:p>
        </w:tc>
      </w:tr>
      <w:tr w:rsidR="000F6636" w:rsidRPr="00F119E3" w14:paraId="57F5BA71" w14:textId="77777777" w:rsidTr="00484DB0">
        <w:trPr>
          <w:gridAfter w:val="1"/>
          <w:wAfter w:w="332" w:type="dxa"/>
          <w:trHeight w:val="224"/>
        </w:trPr>
        <w:tc>
          <w:tcPr>
            <w:tcW w:w="9032" w:type="dxa"/>
            <w:gridSpan w:val="19"/>
            <w:tcBorders>
              <w:top w:val="nil"/>
              <w:left w:val="nil"/>
              <w:bottom w:val="nil"/>
              <w:right w:val="nil"/>
            </w:tcBorders>
            <w:shd w:val="clear" w:color="auto" w:fill="auto"/>
            <w:vAlign w:val="center"/>
            <w:hideMark/>
          </w:tcPr>
          <w:p w14:paraId="4E937A12" w14:textId="77777777" w:rsidR="000F6636" w:rsidRPr="00F119E3" w:rsidRDefault="000F6636" w:rsidP="00484DB0">
            <w:pPr>
              <w:rPr>
                <w:rFonts w:cs="Times New Roman"/>
                <w:i/>
                <w:sz w:val="16"/>
                <w:szCs w:val="18"/>
              </w:rPr>
            </w:pPr>
            <w:r w:rsidRPr="00F119E3">
              <w:rPr>
                <w:rFonts w:cs="Times New Roman"/>
                <w:i/>
                <w:sz w:val="16"/>
                <w:szCs w:val="18"/>
              </w:rPr>
              <w:t>[2] Primárne saldo je počítané ako (B.9, položka 8) plus (D.41, položka 9)</w:t>
            </w:r>
          </w:p>
        </w:tc>
        <w:tc>
          <w:tcPr>
            <w:tcW w:w="165" w:type="dxa"/>
            <w:tcBorders>
              <w:top w:val="nil"/>
              <w:left w:val="nil"/>
              <w:bottom w:val="nil"/>
              <w:right w:val="nil"/>
            </w:tcBorders>
            <w:shd w:val="clear" w:color="auto" w:fill="auto"/>
            <w:noWrap/>
            <w:vAlign w:val="bottom"/>
            <w:hideMark/>
          </w:tcPr>
          <w:p w14:paraId="0ABEE221" w14:textId="77777777" w:rsidR="000F6636" w:rsidRPr="00F119E3" w:rsidRDefault="000F6636" w:rsidP="00484DB0">
            <w:pPr>
              <w:rPr>
                <w:rFonts w:cs="Times New Roman"/>
                <w:i/>
                <w:sz w:val="18"/>
                <w:szCs w:val="18"/>
              </w:rPr>
            </w:pPr>
          </w:p>
        </w:tc>
      </w:tr>
      <w:tr w:rsidR="000F6636" w:rsidRPr="00F119E3" w14:paraId="11AAF358" w14:textId="77777777" w:rsidTr="00484DB0">
        <w:trPr>
          <w:gridAfter w:val="1"/>
          <w:wAfter w:w="332" w:type="dxa"/>
          <w:trHeight w:val="224"/>
        </w:trPr>
        <w:tc>
          <w:tcPr>
            <w:tcW w:w="9032" w:type="dxa"/>
            <w:gridSpan w:val="19"/>
            <w:tcBorders>
              <w:top w:val="nil"/>
              <w:left w:val="nil"/>
              <w:bottom w:val="nil"/>
              <w:right w:val="nil"/>
            </w:tcBorders>
            <w:shd w:val="clear" w:color="auto" w:fill="auto"/>
            <w:vAlign w:val="center"/>
            <w:hideMark/>
          </w:tcPr>
          <w:p w14:paraId="08FE7292" w14:textId="77777777" w:rsidR="000F6636" w:rsidRPr="00F119E3" w:rsidRDefault="000F6636" w:rsidP="00484DB0">
            <w:pPr>
              <w:rPr>
                <w:rFonts w:cs="Times New Roman"/>
                <w:i/>
                <w:sz w:val="16"/>
                <w:szCs w:val="18"/>
              </w:rPr>
            </w:pPr>
            <w:r w:rsidRPr="00F119E3">
              <w:rPr>
                <w:rFonts w:cs="Times New Roman"/>
                <w:i/>
                <w:sz w:val="16"/>
                <w:szCs w:val="18"/>
              </w:rPr>
              <w:t>[3] Kladné znamienko predstavuje pozitívny vplyv jednorazového opatrenia na saldo VS</w:t>
            </w:r>
          </w:p>
        </w:tc>
        <w:tc>
          <w:tcPr>
            <w:tcW w:w="165" w:type="dxa"/>
            <w:tcBorders>
              <w:top w:val="nil"/>
              <w:left w:val="nil"/>
              <w:bottom w:val="nil"/>
              <w:right w:val="nil"/>
            </w:tcBorders>
            <w:shd w:val="clear" w:color="auto" w:fill="auto"/>
            <w:noWrap/>
            <w:vAlign w:val="bottom"/>
            <w:hideMark/>
          </w:tcPr>
          <w:p w14:paraId="247E05A3" w14:textId="77777777" w:rsidR="000F6636" w:rsidRPr="00F119E3" w:rsidRDefault="000F6636" w:rsidP="00484DB0">
            <w:pPr>
              <w:rPr>
                <w:rFonts w:cs="Times New Roman"/>
                <w:i/>
                <w:sz w:val="18"/>
                <w:szCs w:val="18"/>
              </w:rPr>
            </w:pPr>
          </w:p>
        </w:tc>
      </w:tr>
      <w:tr w:rsidR="000F6636" w:rsidRPr="00F119E3" w14:paraId="04C82086" w14:textId="77777777" w:rsidTr="00484DB0">
        <w:trPr>
          <w:gridAfter w:val="1"/>
          <w:wAfter w:w="332" w:type="dxa"/>
          <w:trHeight w:val="224"/>
        </w:trPr>
        <w:tc>
          <w:tcPr>
            <w:tcW w:w="9032" w:type="dxa"/>
            <w:gridSpan w:val="19"/>
            <w:tcBorders>
              <w:top w:val="nil"/>
              <w:left w:val="nil"/>
              <w:bottom w:val="nil"/>
              <w:right w:val="nil"/>
            </w:tcBorders>
            <w:shd w:val="clear" w:color="auto" w:fill="auto"/>
            <w:vAlign w:val="center"/>
            <w:hideMark/>
          </w:tcPr>
          <w:p w14:paraId="66462220" w14:textId="77777777" w:rsidR="000F6636" w:rsidRPr="00F119E3" w:rsidRDefault="000F6636" w:rsidP="00484DB0">
            <w:pPr>
              <w:rPr>
                <w:rFonts w:cs="Times New Roman"/>
                <w:i/>
                <w:sz w:val="16"/>
                <w:szCs w:val="18"/>
              </w:rPr>
            </w:pPr>
            <w:r w:rsidRPr="00F119E3">
              <w:rPr>
                <w:rFonts w:cs="Times New Roman"/>
                <w:i/>
                <w:sz w:val="16"/>
                <w:szCs w:val="18"/>
              </w:rPr>
              <w:t>[4] P.11+P.12+P.131+D.39+D.7+D.9 (okrem D.91)</w:t>
            </w:r>
          </w:p>
        </w:tc>
        <w:tc>
          <w:tcPr>
            <w:tcW w:w="165" w:type="dxa"/>
            <w:tcBorders>
              <w:top w:val="nil"/>
              <w:left w:val="nil"/>
              <w:bottom w:val="nil"/>
              <w:right w:val="nil"/>
            </w:tcBorders>
            <w:shd w:val="clear" w:color="auto" w:fill="auto"/>
            <w:noWrap/>
            <w:vAlign w:val="bottom"/>
            <w:hideMark/>
          </w:tcPr>
          <w:p w14:paraId="2B981771" w14:textId="77777777" w:rsidR="000F6636" w:rsidRPr="00F119E3" w:rsidRDefault="000F6636" w:rsidP="00484DB0">
            <w:pPr>
              <w:rPr>
                <w:rFonts w:cs="Times New Roman"/>
                <w:i/>
                <w:sz w:val="18"/>
                <w:szCs w:val="18"/>
              </w:rPr>
            </w:pPr>
          </w:p>
        </w:tc>
      </w:tr>
      <w:tr w:rsidR="000F6636" w:rsidRPr="00F119E3" w14:paraId="7AA1F5ED" w14:textId="77777777" w:rsidTr="00484DB0">
        <w:trPr>
          <w:gridAfter w:val="1"/>
          <w:wAfter w:w="332" w:type="dxa"/>
          <w:trHeight w:val="224"/>
        </w:trPr>
        <w:tc>
          <w:tcPr>
            <w:tcW w:w="9032" w:type="dxa"/>
            <w:gridSpan w:val="19"/>
            <w:tcBorders>
              <w:top w:val="nil"/>
              <w:left w:val="nil"/>
              <w:bottom w:val="nil"/>
              <w:right w:val="nil"/>
            </w:tcBorders>
            <w:shd w:val="clear" w:color="auto" w:fill="auto"/>
            <w:vAlign w:val="center"/>
            <w:hideMark/>
          </w:tcPr>
          <w:p w14:paraId="0C945953" w14:textId="77777777" w:rsidR="000F6636" w:rsidRPr="00F119E3" w:rsidRDefault="000F6636" w:rsidP="00484DB0">
            <w:pPr>
              <w:rPr>
                <w:rFonts w:cs="Times New Roman"/>
                <w:i/>
                <w:sz w:val="16"/>
                <w:szCs w:val="18"/>
              </w:rPr>
            </w:pPr>
            <w:r w:rsidRPr="00F119E3">
              <w:rPr>
                <w:rFonts w:cs="Times New Roman"/>
                <w:i/>
                <w:sz w:val="16"/>
                <w:szCs w:val="18"/>
              </w:rPr>
              <w:t>[5] Vrátane vyberaných EÚ</w:t>
            </w:r>
          </w:p>
        </w:tc>
        <w:tc>
          <w:tcPr>
            <w:tcW w:w="165" w:type="dxa"/>
            <w:tcBorders>
              <w:top w:val="nil"/>
              <w:left w:val="nil"/>
              <w:bottom w:val="nil"/>
              <w:right w:val="nil"/>
            </w:tcBorders>
            <w:shd w:val="clear" w:color="auto" w:fill="auto"/>
            <w:noWrap/>
            <w:vAlign w:val="bottom"/>
            <w:hideMark/>
          </w:tcPr>
          <w:p w14:paraId="323371D0" w14:textId="77777777" w:rsidR="000F6636" w:rsidRPr="00F119E3" w:rsidRDefault="000F6636" w:rsidP="00484DB0">
            <w:pPr>
              <w:rPr>
                <w:rFonts w:cs="Times New Roman"/>
                <w:i/>
                <w:sz w:val="18"/>
                <w:szCs w:val="18"/>
              </w:rPr>
            </w:pPr>
          </w:p>
        </w:tc>
      </w:tr>
      <w:tr w:rsidR="000F6636" w:rsidRPr="00F119E3" w14:paraId="735BC24D" w14:textId="77777777" w:rsidTr="00484DB0">
        <w:trPr>
          <w:gridAfter w:val="1"/>
          <w:wAfter w:w="332" w:type="dxa"/>
          <w:trHeight w:val="224"/>
        </w:trPr>
        <w:tc>
          <w:tcPr>
            <w:tcW w:w="9032" w:type="dxa"/>
            <w:gridSpan w:val="19"/>
            <w:tcBorders>
              <w:top w:val="nil"/>
              <w:left w:val="nil"/>
              <w:bottom w:val="nil"/>
              <w:right w:val="nil"/>
            </w:tcBorders>
            <w:shd w:val="clear" w:color="auto" w:fill="auto"/>
            <w:vAlign w:val="center"/>
            <w:hideMark/>
          </w:tcPr>
          <w:p w14:paraId="32647C3C" w14:textId="77777777" w:rsidR="000F6636" w:rsidRPr="00F119E3" w:rsidRDefault="000F6636" w:rsidP="00484DB0">
            <w:pPr>
              <w:rPr>
                <w:rFonts w:cs="Times New Roman"/>
                <w:i/>
                <w:sz w:val="16"/>
                <w:szCs w:val="18"/>
              </w:rPr>
            </w:pPr>
            <w:r w:rsidRPr="00F119E3">
              <w:rPr>
                <w:rFonts w:cs="Times New Roman"/>
                <w:i/>
                <w:sz w:val="16"/>
                <w:szCs w:val="18"/>
              </w:rPr>
              <w:t>[6] Zahŕňa hotovostné dávky (D.621 a D.624) a naturálne dávky (D.631) súvisiace s dávkami v nezamestnanosti</w:t>
            </w:r>
          </w:p>
        </w:tc>
        <w:tc>
          <w:tcPr>
            <w:tcW w:w="165" w:type="dxa"/>
            <w:tcBorders>
              <w:top w:val="nil"/>
              <w:left w:val="nil"/>
              <w:bottom w:val="nil"/>
              <w:right w:val="nil"/>
            </w:tcBorders>
            <w:shd w:val="clear" w:color="auto" w:fill="auto"/>
            <w:noWrap/>
            <w:vAlign w:val="bottom"/>
            <w:hideMark/>
          </w:tcPr>
          <w:p w14:paraId="53FEDC71" w14:textId="77777777" w:rsidR="000F6636" w:rsidRPr="00F119E3" w:rsidRDefault="000F6636" w:rsidP="00484DB0">
            <w:pPr>
              <w:rPr>
                <w:rFonts w:cs="Times New Roman"/>
                <w:i/>
                <w:sz w:val="18"/>
                <w:szCs w:val="18"/>
              </w:rPr>
            </w:pPr>
          </w:p>
        </w:tc>
      </w:tr>
      <w:tr w:rsidR="000F6636" w:rsidRPr="00F119E3" w14:paraId="22B9F265" w14:textId="77777777" w:rsidTr="00484DB0">
        <w:trPr>
          <w:gridAfter w:val="2"/>
          <w:wAfter w:w="497" w:type="dxa"/>
          <w:trHeight w:val="224"/>
        </w:trPr>
        <w:tc>
          <w:tcPr>
            <w:tcW w:w="9032" w:type="dxa"/>
            <w:gridSpan w:val="19"/>
            <w:tcBorders>
              <w:top w:val="nil"/>
              <w:left w:val="nil"/>
              <w:bottom w:val="nil"/>
              <w:right w:val="nil"/>
            </w:tcBorders>
            <w:shd w:val="clear" w:color="auto" w:fill="auto"/>
            <w:vAlign w:val="center"/>
            <w:hideMark/>
          </w:tcPr>
          <w:p w14:paraId="2239E95A" w14:textId="77777777" w:rsidR="000F6636" w:rsidRPr="00F119E3" w:rsidRDefault="000F6636" w:rsidP="00484DB0">
            <w:pPr>
              <w:rPr>
                <w:rFonts w:cs="Times New Roman"/>
                <w:i/>
                <w:sz w:val="16"/>
                <w:szCs w:val="18"/>
              </w:rPr>
            </w:pPr>
            <w:r w:rsidRPr="00F119E3">
              <w:rPr>
                <w:rFonts w:cs="Times New Roman"/>
                <w:i/>
                <w:sz w:val="16"/>
                <w:szCs w:val="18"/>
              </w:rPr>
              <w:t>[7] D.29+D4 (okrem D.41)+ D.5+D.7+P.52+P.53+K.2+D.8</w:t>
            </w:r>
          </w:p>
        </w:tc>
      </w:tr>
    </w:tbl>
    <w:p w14:paraId="5294D838" w14:textId="77777777" w:rsidR="000F6636" w:rsidRPr="00F119E3" w:rsidRDefault="000F6636" w:rsidP="000F6636"/>
    <w:p w14:paraId="3337B9C8" w14:textId="77777777" w:rsidR="000F6636" w:rsidRPr="0088520B" w:rsidRDefault="000F6636" w:rsidP="000F6636">
      <w:pPr>
        <w:rPr>
          <w:color w:val="5B9BD5"/>
          <w:sz w:val="18"/>
          <w:szCs w:val="18"/>
          <w:highlight w:val="yellow"/>
        </w:rPr>
      </w:pPr>
    </w:p>
    <w:tbl>
      <w:tblPr>
        <w:tblW w:w="9315" w:type="dxa"/>
        <w:tblCellMar>
          <w:left w:w="70" w:type="dxa"/>
          <w:right w:w="70" w:type="dxa"/>
        </w:tblCellMar>
        <w:tblLook w:val="04A0" w:firstRow="1" w:lastRow="0" w:firstColumn="1" w:lastColumn="0" w:noHBand="0" w:noVBand="1"/>
      </w:tblPr>
      <w:tblGrid>
        <w:gridCol w:w="4252"/>
        <w:gridCol w:w="964"/>
        <w:gridCol w:w="964"/>
        <w:gridCol w:w="964"/>
        <w:gridCol w:w="470"/>
        <w:gridCol w:w="494"/>
        <w:gridCol w:w="947"/>
        <w:gridCol w:w="17"/>
        <w:gridCol w:w="243"/>
      </w:tblGrid>
      <w:tr w:rsidR="000F6636" w:rsidRPr="00F653FC" w14:paraId="33582587" w14:textId="77777777" w:rsidTr="00484DB0">
        <w:trPr>
          <w:gridAfter w:val="2"/>
          <w:wAfter w:w="260" w:type="dxa"/>
          <w:trHeight w:val="283"/>
        </w:trPr>
        <w:tc>
          <w:tcPr>
            <w:tcW w:w="9055" w:type="dxa"/>
            <w:gridSpan w:val="7"/>
            <w:tcBorders>
              <w:top w:val="nil"/>
              <w:left w:val="nil"/>
              <w:bottom w:val="single" w:sz="8" w:space="0" w:color="auto"/>
              <w:right w:val="nil"/>
            </w:tcBorders>
            <w:shd w:val="clear" w:color="auto" w:fill="auto"/>
            <w:noWrap/>
            <w:vAlign w:val="bottom"/>
            <w:hideMark/>
          </w:tcPr>
          <w:p w14:paraId="7BDEF489" w14:textId="77777777" w:rsidR="000F6636" w:rsidRPr="00F653FC" w:rsidRDefault="000F6636" w:rsidP="00484DB0">
            <w:pPr>
              <w:rPr>
                <w:rFonts w:eastAsia="Calibri"/>
                <w:b/>
                <w:color w:val="2C9ADC"/>
                <w:sz w:val="20"/>
                <w:szCs w:val="20"/>
              </w:rPr>
            </w:pPr>
            <w:bookmarkStart w:id="259" w:name="_Toc480905415"/>
            <w:bookmarkStart w:id="260" w:name="_Toc6314222"/>
            <w:bookmarkStart w:id="261" w:name="_Toc71622462"/>
            <w:r w:rsidRPr="00F653FC">
              <w:rPr>
                <w:rFonts w:eastAsia="Calibri"/>
                <w:b/>
                <w:color w:val="2C9ADC"/>
                <w:sz w:val="20"/>
                <w:szCs w:val="20"/>
              </w:rPr>
              <w:t>Tabuľka 2b – Scenár nezmenených politík</w:t>
            </w:r>
            <w:bookmarkEnd w:id="259"/>
            <w:bookmarkEnd w:id="260"/>
            <w:bookmarkEnd w:id="261"/>
          </w:p>
        </w:tc>
      </w:tr>
      <w:tr w:rsidR="000F6636" w:rsidRPr="0088520B" w14:paraId="439B1C88" w14:textId="77777777" w:rsidTr="00484DB0">
        <w:trPr>
          <w:gridAfter w:val="1"/>
          <w:wAfter w:w="243" w:type="dxa"/>
          <w:trHeight w:val="283"/>
        </w:trPr>
        <w:tc>
          <w:tcPr>
            <w:tcW w:w="4252" w:type="dxa"/>
            <w:tcBorders>
              <w:top w:val="nil"/>
              <w:left w:val="nil"/>
              <w:bottom w:val="nil"/>
              <w:right w:val="nil"/>
            </w:tcBorders>
            <w:shd w:val="clear" w:color="auto" w:fill="auto"/>
            <w:vAlign w:val="center"/>
            <w:hideMark/>
          </w:tcPr>
          <w:p w14:paraId="57A48C53" w14:textId="77777777" w:rsidR="000F6636" w:rsidRPr="00F653FC" w:rsidRDefault="000F6636" w:rsidP="00484DB0">
            <w:pPr>
              <w:rPr>
                <w:rFonts w:cs="Times New Roman"/>
                <w:b/>
                <w:bCs/>
                <w:color w:val="2C9ADC"/>
                <w:sz w:val="18"/>
                <w:szCs w:val="18"/>
              </w:rPr>
            </w:pPr>
          </w:p>
        </w:tc>
        <w:tc>
          <w:tcPr>
            <w:tcW w:w="964" w:type="dxa"/>
            <w:tcBorders>
              <w:top w:val="nil"/>
              <w:left w:val="nil"/>
              <w:bottom w:val="nil"/>
              <w:right w:val="nil"/>
            </w:tcBorders>
            <w:shd w:val="clear" w:color="auto" w:fill="auto"/>
            <w:vAlign w:val="center"/>
            <w:hideMark/>
          </w:tcPr>
          <w:p w14:paraId="5EA835A6" w14:textId="77777777" w:rsidR="000F6636" w:rsidRPr="00F653FC" w:rsidRDefault="000F6636" w:rsidP="00484DB0">
            <w:pPr>
              <w:jc w:val="center"/>
              <w:rPr>
                <w:rFonts w:cs="Times New Roman"/>
                <w:b/>
                <w:bCs/>
                <w:color w:val="000000"/>
                <w:sz w:val="18"/>
                <w:szCs w:val="18"/>
              </w:rPr>
            </w:pPr>
            <w:r w:rsidRPr="00F653FC">
              <w:rPr>
                <w:b/>
                <w:sz w:val="18"/>
                <w:szCs w:val="18"/>
              </w:rPr>
              <w:t>2024 NPC</w:t>
            </w:r>
          </w:p>
        </w:tc>
        <w:tc>
          <w:tcPr>
            <w:tcW w:w="964" w:type="dxa"/>
            <w:tcBorders>
              <w:top w:val="nil"/>
              <w:left w:val="nil"/>
              <w:bottom w:val="nil"/>
              <w:right w:val="nil"/>
            </w:tcBorders>
            <w:shd w:val="clear" w:color="auto" w:fill="auto"/>
            <w:vAlign w:val="center"/>
            <w:hideMark/>
          </w:tcPr>
          <w:p w14:paraId="761F17EA" w14:textId="77777777" w:rsidR="000F6636" w:rsidRPr="00F653FC" w:rsidRDefault="000F6636" w:rsidP="00484DB0">
            <w:pPr>
              <w:jc w:val="center"/>
              <w:rPr>
                <w:rFonts w:cs="Times New Roman"/>
                <w:b/>
                <w:bCs/>
                <w:color w:val="000000"/>
                <w:sz w:val="18"/>
                <w:szCs w:val="18"/>
              </w:rPr>
            </w:pPr>
            <w:r w:rsidRPr="00F653FC">
              <w:rPr>
                <w:b/>
                <w:sz w:val="18"/>
                <w:szCs w:val="18"/>
              </w:rPr>
              <w:t>2024 NPC</w:t>
            </w:r>
          </w:p>
        </w:tc>
        <w:tc>
          <w:tcPr>
            <w:tcW w:w="964" w:type="dxa"/>
            <w:tcBorders>
              <w:top w:val="nil"/>
              <w:left w:val="nil"/>
              <w:bottom w:val="nil"/>
              <w:right w:val="nil"/>
            </w:tcBorders>
            <w:shd w:val="clear" w:color="auto" w:fill="auto"/>
            <w:vAlign w:val="center"/>
            <w:hideMark/>
          </w:tcPr>
          <w:p w14:paraId="21E55A74" w14:textId="77777777" w:rsidR="000F6636" w:rsidRPr="00F653FC" w:rsidRDefault="000F6636" w:rsidP="00484DB0">
            <w:pPr>
              <w:jc w:val="center"/>
              <w:rPr>
                <w:rFonts w:cs="Times New Roman"/>
                <w:b/>
                <w:bCs/>
                <w:color w:val="000000"/>
                <w:sz w:val="18"/>
                <w:szCs w:val="18"/>
              </w:rPr>
            </w:pPr>
            <w:r w:rsidRPr="00F653FC">
              <w:rPr>
                <w:b/>
                <w:sz w:val="18"/>
                <w:szCs w:val="18"/>
              </w:rPr>
              <w:t>2025 NPC</w:t>
            </w:r>
          </w:p>
        </w:tc>
        <w:tc>
          <w:tcPr>
            <w:tcW w:w="964" w:type="dxa"/>
            <w:gridSpan w:val="2"/>
            <w:tcBorders>
              <w:top w:val="nil"/>
              <w:left w:val="nil"/>
              <w:bottom w:val="nil"/>
              <w:right w:val="nil"/>
            </w:tcBorders>
            <w:shd w:val="clear" w:color="auto" w:fill="auto"/>
            <w:vAlign w:val="center"/>
            <w:hideMark/>
          </w:tcPr>
          <w:p w14:paraId="76CBE416" w14:textId="77777777" w:rsidR="000F6636" w:rsidRPr="00F653FC" w:rsidRDefault="000F6636" w:rsidP="00484DB0">
            <w:pPr>
              <w:jc w:val="center"/>
              <w:rPr>
                <w:rFonts w:cs="Times New Roman"/>
                <w:b/>
                <w:bCs/>
                <w:color w:val="000000"/>
                <w:sz w:val="18"/>
                <w:szCs w:val="18"/>
              </w:rPr>
            </w:pPr>
            <w:r w:rsidRPr="00F653FC">
              <w:rPr>
                <w:b/>
                <w:sz w:val="18"/>
                <w:szCs w:val="18"/>
              </w:rPr>
              <w:t>2026 NPC</w:t>
            </w:r>
          </w:p>
        </w:tc>
        <w:tc>
          <w:tcPr>
            <w:tcW w:w="964" w:type="dxa"/>
            <w:gridSpan w:val="2"/>
            <w:tcBorders>
              <w:top w:val="nil"/>
              <w:left w:val="nil"/>
              <w:bottom w:val="nil"/>
              <w:right w:val="nil"/>
            </w:tcBorders>
            <w:shd w:val="clear" w:color="auto" w:fill="auto"/>
            <w:vAlign w:val="center"/>
            <w:hideMark/>
          </w:tcPr>
          <w:p w14:paraId="06FA18EE" w14:textId="77777777" w:rsidR="000F6636" w:rsidRPr="00F653FC" w:rsidRDefault="000F6636" w:rsidP="00484DB0">
            <w:pPr>
              <w:jc w:val="center"/>
              <w:rPr>
                <w:rFonts w:cs="Times New Roman"/>
                <w:b/>
                <w:bCs/>
                <w:color w:val="000000"/>
                <w:sz w:val="18"/>
                <w:szCs w:val="18"/>
              </w:rPr>
            </w:pPr>
            <w:r w:rsidRPr="00F653FC">
              <w:rPr>
                <w:b/>
                <w:sz w:val="18"/>
                <w:szCs w:val="18"/>
              </w:rPr>
              <w:t>2027 NPC</w:t>
            </w:r>
          </w:p>
        </w:tc>
      </w:tr>
      <w:tr w:rsidR="000F6636" w:rsidRPr="0088520B" w14:paraId="76D17B53" w14:textId="77777777" w:rsidTr="00484DB0">
        <w:trPr>
          <w:gridAfter w:val="1"/>
          <w:wAfter w:w="243" w:type="dxa"/>
          <w:trHeight w:val="283"/>
        </w:trPr>
        <w:tc>
          <w:tcPr>
            <w:tcW w:w="4252" w:type="dxa"/>
            <w:tcBorders>
              <w:top w:val="nil"/>
              <w:left w:val="nil"/>
              <w:bottom w:val="nil"/>
              <w:right w:val="nil"/>
            </w:tcBorders>
            <w:shd w:val="clear" w:color="auto" w:fill="auto"/>
            <w:vAlign w:val="center"/>
            <w:hideMark/>
          </w:tcPr>
          <w:p w14:paraId="30A25E7B" w14:textId="77777777" w:rsidR="000F6636" w:rsidRPr="00F653FC" w:rsidRDefault="000F6636" w:rsidP="00484DB0">
            <w:pPr>
              <w:jc w:val="center"/>
              <w:rPr>
                <w:rFonts w:cs="Times New Roman"/>
                <w:b/>
                <w:bCs/>
                <w:color w:val="000000"/>
                <w:sz w:val="18"/>
                <w:szCs w:val="18"/>
              </w:rPr>
            </w:pPr>
          </w:p>
        </w:tc>
        <w:tc>
          <w:tcPr>
            <w:tcW w:w="964" w:type="dxa"/>
            <w:tcBorders>
              <w:top w:val="nil"/>
              <w:left w:val="nil"/>
              <w:bottom w:val="nil"/>
              <w:right w:val="nil"/>
            </w:tcBorders>
            <w:shd w:val="clear" w:color="auto" w:fill="auto"/>
            <w:vAlign w:val="center"/>
            <w:hideMark/>
          </w:tcPr>
          <w:p w14:paraId="600F5CB0" w14:textId="77777777" w:rsidR="000F6636" w:rsidRPr="00F653FC" w:rsidRDefault="000F6636" w:rsidP="00484DB0">
            <w:pPr>
              <w:jc w:val="center"/>
              <w:rPr>
                <w:rFonts w:cs="Times New Roman"/>
                <w:color w:val="000000"/>
                <w:sz w:val="18"/>
                <w:szCs w:val="18"/>
              </w:rPr>
            </w:pPr>
            <w:r w:rsidRPr="00F653FC">
              <w:rPr>
                <w:sz w:val="18"/>
                <w:szCs w:val="18"/>
              </w:rPr>
              <w:t>mil. eur</w:t>
            </w:r>
          </w:p>
        </w:tc>
        <w:tc>
          <w:tcPr>
            <w:tcW w:w="964" w:type="dxa"/>
            <w:tcBorders>
              <w:top w:val="nil"/>
              <w:left w:val="nil"/>
              <w:bottom w:val="nil"/>
              <w:right w:val="nil"/>
            </w:tcBorders>
            <w:shd w:val="clear" w:color="auto" w:fill="auto"/>
            <w:vAlign w:val="center"/>
            <w:hideMark/>
          </w:tcPr>
          <w:p w14:paraId="4863BB22" w14:textId="77777777" w:rsidR="000F6636" w:rsidRPr="00F653FC" w:rsidRDefault="000F6636" w:rsidP="00484DB0">
            <w:pPr>
              <w:jc w:val="center"/>
              <w:rPr>
                <w:rFonts w:cs="Times New Roman"/>
                <w:color w:val="000000"/>
                <w:sz w:val="18"/>
                <w:szCs w:val="18"/>
              </w:rPr>
            </w:pPr>
            <w:r w:rsidRPr="00F653FC">
              <w:rPr>
                <w:sz w:val="18"/>
                <w:szCs w:val="18"/>
              </w:rPr>
              <w:t>% HDP</w:t>
            </w:r>
          </w:p>
        </w:tc>
        <w:tc>
          <w:tcPr>
            <w:tcW w:w="964" w:type="dxa"/>
            <w:tcBorders>
              <w:top w:val="nil"/>
              <w:left w:val="nil"/>
              <w:bottom w:val="nil"/>
              <w:right w:val="nil"/>
            </w:tcBorders>
            <w:shd w:val="clear" w:color="auto" w:fill="auto"/>
            <w:vAlign w:val="center"/>
            <w:hideMark/>
          </w:tcPr>
          <w:p w14:paraId="350ED01C" w14:textId="77777777" w:rsidR="000F6636" w:rsidRPr="00F653FC" w:rsidRDefault="000F6636" w:rsidP="00484DB0">
            <w:pPr>
              <w:jc w:val="center"/>
              <w:rPr>
                <w:rFonts w:cs="Times New Roman"/>
                <w:color w:val="000000"/>
                <w:sz w:val="18"/>
                <w:szCs w:val="18"/>
              </w:rPr>
            </w:pPr>
            <w:r w:rsidRPr="00F653FC">
              <w:rPr>
                <w:sz w:val="18"/>
                <w:szCs w:val="18"/>
              </w:rPr>
              <w:t>% HDP</w:t>
            </w:r>
          </w:p>
        </w:tc>
        <w:tc>
          <w:tcPr>
            <w:tcW w:w="964" w:type="dxa"/>
            <w:gridSpan w:val="2"/>
            <w:tcBorders>
              <w:top w:val="nil"/>
              <w:left w:val="nil"/>
              <w:bottom w:val="nil"/>
              <w:right w:val="nil"/>
            </w:tcBorders>
            <w:shd w:val="clear" w:color="auto" w:fill="auto"/>
            <w:vAlign w:val="center"/>
            <w:hideMark/>
          </w:tcPr>
          <w:p w14:paraId="145283F6" w14:textId="77777777" w:rsidR="000F6636" w:rsidRPr="00F653FC" w:rsidRDefault="000F6636" w:rsidP="00484DB0">
            <w:pPr>
              <w:jc w:val="center"/>
              <w:rPr>
                <w:rFonts w:cs="Times New Roman"/>
                <w:color w:val="000000"/>
                <w:sz w:val="18"/>
                <w:szCs w:val="18"/>
              </w:rPr>
            </w:pPr>
            <w:r w:rsidRPr="00F653FC">
              <w:rPr>
                <w:sz w:val="18"/>
                <w:szCs w:val="18"/>
              </w:rPr>
              <w:t>% HDP</w:t>
            </w:r>
          </w:p>
        </w:tc>
        <w:tc>
          <w:tcPr>
            <w:tcW w:w="964" w:type="dxa"/>
            <w:gridSpan w:val="2"/>
            <w:tcBorders>
              <w:top w:val="nil"/>
              <w:left w:val="nil"/>
              <w:bottom w:val="nil"/>
              <w:right w:val="nil"/>
            </w:tcBorders>
            <w:shd w:val="clear" w:color="auto" w:fill="auto"/>
            <w:vAlign w:val="center"/>
            <w:hideMark/>
          </w:tcPr>
          <w:p w14:paraId="3C9D3A47" w14:textId="77777777" w:rsidR="000F6636" w:rsidRPr="00F653FC" w:rsidRDefault="000F6636" w:rsidP="00484DB0">
            <w:pPr>
              <w:jc w:val="center"/>
              <w:rPr>
                <w:rFonts w:cs="Times New Roman"/>
                <w:color w:val="000000"/>
                <w:sz w:val="18"/>
                <w:szCs w:val="18"/>
              </w:rPr>
            </w:pPr>
            <w:r w:rsidRPr="00F653FC">
              <w:rPr>
                <w:sz w:val="18"/>
                <w:szCs w:val="18"/>
              </w:rPr>
              <w:t>% HDP</w:t>
            </w:r>
          </w:p>
        </w:tc>
      </w:tr>
      <w:tr w:rsidR="000F6636" w:rsidRPr="0088520B" w14:paraId="60DAC8D8" w14:textId="77777777" w:rsidTr="00484DB0">
        <w:trPr>
          <w:gridAfter w:val="1"/>
          <w:wAfter w:w="243" w:type="dxa"/>
          <w:trHeight w:val="283"/>
        </w:trPr>
        <w:tc>
          <w:tcPr>
            <w:tcW w:w="4252" w:type="dxa"/>
            <w:tcBorders>
              <w:top w:val="single" w:sz="4" w:space="0" w:color="auto"/>
              <w:left w:val="nil"/>
              <w:right w:val="nil"/>
            </w:tcBorders>
            <w:shd w:val="clear" w:color="000000" w:fill="FFFFFF"/>
            <w:vAlign w:val="center"/>
            <w:hideMark/>
          </w:tcPr>
          <w:p w14:paraId="5D750E92" w14:textId="77777777" w:rsidR="000F6636" w:rsidRPr="00F653FC" w:rsidRDefault="000F6636" w:rsidP="00484DB0">
            <w:pPr>
              <w:rPr>
                <w:rFonts w:cs="Times New Roman"/>
                <w:color w:val="000000"/>
                <w:sz w:val="18"/>
                <w:szCs w:val="18"/>
              </w:rPr>
            </w:pPr>
            <w:r w:rsidRPr="00F653FC">
              <w:rPr>
                <w:rFonts w:cs="Times New Roman"/>
                <w:color w:val="000000"/>
                <w:sz w:val="18"/>
                <w:szCs w:val="18"/>
              </w:rPr>
              <w:t>1. Celkové príjmy za predpokladu scenára bez zmien politík</w:t>
            </w:r>
          </w:p>
        </w:tc>
        <w:tc>
          <w:tcPr>
            <w:tcW w:w="964" w:type="dxa"/>
            <w:tcBorders>
              <w:top w:val="single" w:sz="4" w:space="0" w:color="auto"/>
              <w:left w:val="nil"/>
              <w:bottom w:val="nil"/>
              <w:right w:val="nil"/>
            </w:tcBorders>
            <w:shd w:val="clear" w:color="auto" w:fill="auto"/>
            <w:vAlign w:val="center"/>
          </w:tcPr>
          <w:p w14:paraId="6EBCD4C6" w14:textId="77777777" w:rsidR="000F6636" w:rsidRPr="00F653FC" w:rsidRDefault="000F6636" w:rsidP="00484DB0">
            <w:pPr>
              <w:jc w:val="center"/>
              <w:rPr>
                <w:rFonts w:cs="Times New Roman"/>
                <w:color w:val="000000"/>
                <w:sz w:val="18"/>
                <w:szCs w:val="18"/>
              </w:rPr>
            </w:pPr>
          </w:p>
        </w:tc>
        <w:tc>
          <w:tcPr>
            <w:tcW w:w="964" w:type="dxa"/>
            <w:tcBorders>
              <w:top w:val="single" w:sz="4" w:space="0" w:color="auto"/>
              <w:left w:val="nil"/>
              <w:bottom w:val="nil"/>
              <w:right w:val="nil"/>
            </w:tcBorders>
            <w:shd w:val="clear" w:color="auto" w:fill="auto"/>
            <w:vAlign w:val="center"/>
          </w:tcPr>
          <w:p w14:paraId="5D3B92AF" w14:textId="77777777" w:rsidR="000F6636" w:rsidRPr="00F653FC" w:rsidRDefault="000F6636" w:rsidP="00484DB0">
            <w:pPr>
              <w:jc w:val="center"/>
              <w:rPr>
                <w:rFonts w:cs="Times New Roman"/>
                <w:color w:val="000000"/>
                <w:sz w:val="18"/>
                <w:szCs w:val="18"/>
              </w:rPr>
            </w:pPr>
          </w:p>
        </w:tc>
        <w:tc>
          <w:tcPr>
            <w:tcW w:w="964" w:type="dxa"/>
            <w:tcBorders>
              <w:top w:val="single" w:sz="4" w:space="0" w:color="auto"/>
              <w:left w:val="nil"/>
              <w:bottom w:val="nil"/>
              <w:right w:val="nil"/>
            </w:tcBorders>
            <w:shd w:val="clear" w:color="auto" w:fill="auto"/>
            <w:vAlign w:val="center"/>
            <w:hideMark/>
          </w:tcPr>
          <w:p w14:paraId="51772CFF" w14:textId="77777777" w:rsidR="000F6636" w:rsidRPr="00F653FC" w:rsidRDefault="000F6636" w:rsidP="00484DB0">
            <w:pPr>
              <w:jc w:val="center"/>
              <w:rPr>
                <w:rFonts w:cs="Times New Roman"/>
                <w:color w:val="000000"/>
                <w:sz w:val="18"/>
                <w:szCs w:val="18"/>
              </w:rPr>
            </w:pPr>
            <w:r w:rsidRPr="00F653FC">
              <w:rPr>
                <w:color w:val="000000"/>
                <w:sz w:val="18"/>
                <w:szCs w:val="18"/>
              </w:rPr>
              <w:t>40,5</w:t>
            </w:r>
          </w:p>
        </w:tc>
        <w:tc>
          <w:tcPr>
            <w:tcW w:w="964" w:type="dxa"/>
            <w:gridSpan w:val="2"/>
            <w:tcBorders>
              <w:top w:val="single" w:sz="4" w:space="0" w:color="auto"/>
              <w:left w:val="nil"/>
              <w:bottom w:val="nil"/>
              <w:right w:val="nil"/>
            </w:tcBorders>
            <w:shd w:val="clear" w:color="auto" w:fill="auto"/>
            <w:vAlign w:val="center"/>
            <w:hideMark/>
          </w:tcPr>
          <w:p w14:paraId="64062247" w14:textId="77777777" w:rsidR="000F6636" w:rsidRPr="00F653FC" w:rsidRDefault="000F6636" w:rsidP="00484DB0">
            <w:pPr>
              <w:jc w:val="center"/>
              <w:rPr>
                <w:rFonts w:cs="Times New Roman"/>
                <w:color w:val="000000"/>
                <w:sz w:val="18"/>
                <w:szCs w:val="18"/>
              </w:rPr>
            </w:pPr>
            <w:r w:rsidRPr="00F653FC">
              <w:rPr>
                <w:color w:val="000000"/>
                <w:sz w:val="18"/>
                <w:szCs w:val="18"/>
              </w:rPr>
              <w:t>39,7</w:t>
            </w:r>
          </w:p>
        </w:tc>
        <w:tc>
          <w:tcPr>
            <w:tcW w:w="964" w:type="dxa"/>
            <w:gridSpan w:val="2"/>
            <w:tcBorders>
              <w:top w:val="single" w:sz="4" w:space="0" w:color="auto"/>
              <w:left w:val="nil"/>
              <w:bottom w:val="nil"/>
              <w:right w:val="nil"/>
            </w:tcBorders>
            <w:shd w:val="clear" w:color="auto" w:fill="auto"/>
            <w:vAlign w:val="center"/>
            <w:hideMark/>
          </w:tcPr>
          <w:p w14:paraId="5A5DF05B" w14:textId="77777777" w:rsidR="000F6636" w:rsidRPr="00F653FC" w:rsidRDefault="000F6636" w:rsidP="00484DB0">
            <w:pPr>
              <w:jc w:val="center"/>
              <w:rPr>
                <w:rFonts w:cs="Times New Roman"/>
                <w:color w:val="000000"/>
                <w:sz w:val="18"/>
                <w:szCs w:val="18"/>
              </w:rPr>
            </w:pPr>
            <w:r w:rsidRPr="00F653FC">
              <w:rPr>
                <w:color w:val="000000"/>
                <w:sz w:val="18"/>
                <w:szCs w:val="18"/>
              </w:rPr>
              <w:t>39,0</w:t>
            </w:r>
          </w:p>
        </w:tc>
      </w:tr>
      <w:tr w:rsidR="000F6636" w:rsidRPr="00543FD2" w14:paraId="715E9ACA" w14:textId="77777777" w:rsidTr="00484DB0">
        <w:trPr>
          <w:gridAfter w:val="1"/>
          <w:wAfter w:w="243" w:type="dxa"/>
          <w:trHeight w:val="283"/>
        </w:trPr>
        <w:tc>
          <w:tcPr>
            <w:tcW w:w="4252" w:type="dxa"/>
            <w:tcBorders>
              <w:top w:val="nil"/>
              <w:left w:val="nil"/>
              <w:bottom w:val="single" w:sz="8" w:space="0" w:color="auto"/>
              <w:right w:val="nil"/>
            </w:tcBorders>
            <w:shd w:val="clear" w:color="000000" w:fill="FFFFFF"/>
            <w:vAlign w:val="center"/>
            <w:hideMark/>
          </w:tcPr>
          <w:p w14:paraId="4457F4FD" w14:textId="77777777" w:rsidR="000F6636" w:rsidRPr="00543FD2" w:rsidRDefault="000F6636" w:rsidP="00484DB0">
            <w:pPr>
              <w:rPr>
                <w:rFonts w:cs="Times New Roman"/>
                <w:color w:val="000000"/>
                <w:sz w:val="18"/>
                <w:szCs w:val="18"/>
              </w:rPr>
            </w:pPr>
            <w:r w:rsidRPr="00543FD2">
              <w:rPr>
                <w:rFonts w:cs="Times New Roman"/>
                <w:color w:val="000000"/>
                <w:sz w:val="18"/>
                <w:szCs w:val="18"/>
              </w:rPr>
              <w:t>2. Celkové výdavky za predpokladu scenára bez zmien politík</w:t>
            </w:r>
          </w:p>
        </w:tc>
        <w:tc>
          <w:tcPr>
            <w:tcW w:w="964" w:type="dxa"/>
            <w:tcBorders>
              <w:top w:val="nil"/>
              <w:left w:val="nil"/>
              <w:bottom w:val="single" w:sz="4" w:space="0" w:color="auto"/>
              <w:right w:val="nil"/>
            </w:tcBorders>
            <w:shd w:val="clear" w:color="auto" w:fill="auto"/>
            <w:vAlign w:val="center"/>
          </w:tcPr>
          <w:p w14:paraId="7D5E64AC" w14:textId="77777777" w:rsidR="000F6636" w:rsidRPr="00543FD2" w:rsidRDefault="000F6636" w:rsidP="00484DB0">
            <w:pPr>
              <w:jc w:val="center"/>
              <w:rPr>
                <w:rFonts w:cs="Times New Roman"/>
                <w:color w:val="000000"/>
                <w:sz w:val="18"/>
                <w:szCs w:val="18"/>
              </w:rPr>
            </w:pPr>
          </w:p>
        </w:tc>
        <w:tc>
          <w:tcPr>
            <w:tcW w:w="964" w:type="dxa"/>
            <w:tcBorders>
              <w:top w:val="nil"/>
              <w:left w:val="nil"/>
              <w:bottom w:val="single" w:sz="4" w:space="0" w:color="auto"/>
              <w:right w:val="nil"/>
            </w:tcBorders>
            <w:shd w:val="clear" w:color="auto" w:fill="auto"/>
            <w:vAlign w:val="center"/>
          </w:tcPr>
          <w:p w14:paraId="294927BA" w14:textId="77777777" w:rsidR="000F6636" w:rsidRPr="00543FD2" w:rsidRDefault="000F6636" w:rsidP="00484DB0">
            <w:pPr>
              <w:jc w:val="center"/>
              <w:rPr>
                <w:rFonts w:cs="Times New Roman"/>
                <w:color w:val="000000"/>
                <w:sz w:val="18"/>
                <w:szCs w:val="18"/>
              </w:rPr>
            </w:pPr>
          </w:p>
        </w:tc>
        <w:tc>
          <w:tcPr>
            <w:tcW w:w="964" w:type="dxa"/>
            <w:tcBorders>
              <w:top w:val="nil"/>
              <w:left w:val="nil"/>
              <w:bottom w:val="single" w:sz="4" w:space="0" w:color="auto"/>
              <w:right w:val="nil"/>
            </w:tcBorders>
            <w:shd w:val="clear" w:color="auto" w:fill="auto"/>
            <w:vAlign w:val="center"/>
            <w:hideMark/>
          </w:tcPr>
          <w:p w14:paraId="7685CD2E" w14:textId="77777777" w:rsidR="000F6636" w:rsidRPr="00543FD2" w:rsidRDefault="000F6636" w:rsidP="00484DB0">
            <w:pPr>
              <w:jc w:val="center"/>
              <w:rPr>
                <w:rFonts w:cs="Times New Roman"/>
                <w:color w:val="000000"/>
                <w:sz w:val="18"/>
                <w:szCs w:val="18"/>
              </w:rPr>
            </w:pPr>
            <w:r w:rsidRPr="00543FD2">
              <w:rPr>
                <w:color w:val="000000"/>
                <w:sz w:val="18"/>
                <w:szCs w:val="18"/>
              </w:rPr>
              <w:t>45,9</w:t>
            </w:r>
          </w:p>
        </w:tc>
        <w:tc>
          <w:tcPr>
            <w:tcW w:w="964" w:type="dxa"/>
            <w:gridSpan w:val="2"/>
            <w:tcBorders>
              <w:top w:val="nil"/>
              <w:left w:val="nil"/>
              <w:bottom w:val="single" w:sz="4" w:space="0" w:color="auto"/>
              <w:right w:val="nil"/>
            </w:tcBorders>
            <w:shd w:val="clear" w:color="auto" w:fill="auto"/>
            <w:vAlign w:val="center"/>
            <w:hideMark/>
          </w:tcPr>
          <w:p w14:paraId="061D49E9" w14:textId="77777777" w:rsidR="000F6636" w:rsidRPr="00543FD2" w:rsidRDefault="000F6636" w:rsidP="00484DB0">
            <w:pPr>
              <w:jc w:val="center"/>
              <w:rPr>
                <w:rFonts w:cs="Times New Roman"/>
                <w:color w:val="000000"/>
                <w:sz w:val="18"/>
                <w:szCs w:val="18"/>
              </w:rPr>
            </w:pPr>
            <w:r w:rsidRPr="00543FD2">
              <w:rPr>
                <w:color w:val="000000"/>
                <w:sz w:val="18"/>
                <w:szCs w:val="18"/>
              </w:rPr>
              <w:t>44,9</w:t>
            </w:r>
          </w:p>
        </w:tc>
        <w:tc>
          <w:tcPr>
            <w:tcW w:w="964" w:type="dxa"/>
            <w:gridSpan w:val="2"/>
            <w:tcBorders>
              <w:top w:val="nil"/>
              <w:left w:val="nil"/>
              <w:bottom w:val="single" w:sz="4" w:space="0" w:color="auto"/>
              <w:right w:val="nil"/>
            </w:tcBorders>
            <w:shd w:val="clear" w:color="auto" w:fill="auto"/>
            <w:vAlign w:val="center"/>
            <w:hideMark/>
          </w:tcPr>
          <w:p w14:paraId="2CA92E36" w14:textId="77777777" w:rsidR="000F6636" w:rsidRPr="00543FD2" w:rsidRDefault="000F6636" w:rsidP="00484DB0">
            <w:pPr>
              <w:jc w:val="center"/>
              <w:rPr>
                <w:rFonts w:cs="Times New Roman"/>
                <w:color w:val="000000"/>
                <w:sz w:val="18"/>
                <w:szCs w:val="18"/>
              </w:rPr>
            </w:pPr>
            <w:r w:rsidRPr="00543FD2">
              <w:rPr>
                <w:color w:val="000000"/>
                <w:sz w:val="18"/>
                <w:szCs w:val="18"/>
              </w:rPr>
              <w:t>44,5</w:t>
            </w:r>
          </w:p>
        </w:tc>
      </w:tr>
      <w:tr w:rsidR="000F6636" w:rsidRPr="0088520B" w14:paraId="53EAD67D" w14:textId="77777777" w:rsidTr="00484DB0">
        <w:trPr>
          <w:trHeight w:val="283"/>
        </w:trPr>
        <w:tc>
          <w:tcPr>
            <w:tcW w:w="7614" w:type="dxa"/>
            <w:gridSpan w:val="5"/>
            <w:tcBorders>
              <w:top w:val="nil"/>
              <w:left w:val="nil"/>
              <w:bottom w:val="nil"/>
              <w:right w:val="nil"/>
            </w:tcBorders>
            <w:shd w:val="clear" w:color="auto" w:fill="auto"/>
            <w:vAlign w:val="center"/>
            <w:hideMark/>
          </w:tcPr>
          <w:p w14:paraId="55653B08" w14:textId="77777777" w:rsidR="000F6636" w:rsidRPr="00543FD2" w:rsidRDefault="000F6636" w:rsidP="00484DB0">
            <w:pPr>
              <w:rPr>
                <w:rFonts w:cs="Times New Roman"/>
                <w:i/>
                <w:iCs/>
                <w:color w:val="000000"/>
                <w:sz w:val="16"/>
                <w:szCs w:val="18"/>
              </w:rPr>
            </w:pPr>
            <w:r w:rsidRPr="00543FD2">
              <w:rPr>
                <w:rFonts w:cs="Times New Roman"/>
                <w:i/>
                <w:iCs/>
                <w:color w:val="000000"/>
                <w:sz w:val="16"/>
                <w:szCs w:val="18"/>
              </w:rPr>
              <w:t>Pozn.: Pre účely scenára nezmenených politík na roky 2025 až 2027 bol použitý fiškálny rámec rozpočtu verejnej správy.</w:t>
            </w:r>
          </w:p>
        </w:tc>
        <w:tc>
          <w:tcPr>
            <w:tcW w:w="1701" w:type="dxa"/>
            <w:gridSpan w:val="4"/>
            <w:tcBorders>
              <w:top w:val="nil"/>
              <w:left w:val="nil"/>
              <w:bottom w:val="nil"/>
              <w:right w:val="nil"/>
            </w:tcBorders>
            <w:shd w:val="clear" w:color="000000" w:fill="FFFFFF"/>
            <w:vAlign w:val="center"/>
            <w:hideMark/>
          </w:tcPr>
          <w:p w14:paraId="2796814B" w14:textId="77777777" w:rsidR="000F6636" w:rsidRPr="00543FD2" w:rsidRDefault="000F6636" w:rsidP="00484DB0">
            <w:pPr>
              <w:jc w:val="center"/>
              <w:rPr>
                <w:rFonts w:cs="Times New Roman"/>
                <w:i/>
                <w:iCs/>
                <w:color w:val="000000"/>
                <w:sz w:val="16"/>
                <w:szCs w:val="18"/>
              </w:rPr>
            </w:pPr>
            <w:r w:rsidRPr="00543FD2">
              <w:rPr>
                <w:rFonts w:cs="Times New Roman"/>
                <w:i/>
                <w:iCs/>
                <w:color w:val="000000"/>
                <w:sz w:val="16"/>
                <w:szCs w:val="18"/>
              </w:rPr>
              <w:t xml:space="preserve">         Zdroj: MF SR</w:t>
            </w:r>
          </w:p>
        </w:tc>
      </w:tr>
    </w:tbl>
    <w:p w14:paraId="733354BF" w14:textId="77777777" w:rsidR="000F6636" w:rsidRPr="0088520B" w:rsidRDefault="000F6636" w:rsidP="000F6636">
      <w:pPr>
        <w:rPr>
          <w:color w:val="5B9BD5"/>
          <w:sz w:val="18"/>
          <w:szCs w:val="18"/>
          <w:highlight w:val="yellow"/>
        </w:rPr>
      </w:pPr>
    </w:p>
    <w:tbl>
      <w:tblPr>
        <w:tblW w:w="9138" w:type="dxa"/>
        <w:tblCellMar>
          <w:left w:w="70" w:type="dxa"/>
          <w:right w:w="70" w:type="dxa"/>
        </w:tblCellMar>
        <w:tblLook w:val="04A0" w:firstRow="1" w:lastRow="0" w:firstColumn="1" w:lastColumn="0" w:noHBand="0" w:noVBand="1"/>
      </w:tblPr>
      <w:tblGrid>
        <w:gridCol w:w="5045"/>
        <w:gridCol w:w="650"/>
        <w:gridCol w:w="840"/>
        <w:gridCol w:w="650"/>
        <w:gridCol w:w="650"/>
        <w:gridCol w:w="650"/>
        <w:gridCol w:w="653"/>
      </w:tblGrid>
      <w:tr w:rsidR="000F6636" w:rsidRPr="00543FD2" w14:paraId="27D77017" w14:textId="77777777" w:rsidTr="00484DB0">
        <w:trPr>
          <w:trHeight w:val="283"/>
        </w:trPr>
        <w:tc>
          <w:tcPr>
            <w:tcW w:w="9138" w:type="dxa"/>
            <w:gridSpan w:val="7"/>
            <w:tcBorders>
              <w:top w:val="nil"/>
              <w:left w:val="nil"/>
              <w:bottom w:val="single" w:sz="8" w:space="0" w:color="auto"/>
              <w:right w:val="nil"/>
            </w:tcBorders>
            <w:shd w:val="clear" w:color="auto" w:fill="auto"/>
            <w:noWrap/>
            <w:vAlign w:val="bottom"/>
            <w:hideMark/>
          </w:tcPr>
          <w:p w14:paraId="13470D57" w14:textId="77777777" w:rsidR="000F6636" w:rsidRPr="00543FD2" w:rsidRDefault="000F6636" w:rsidP="00484DB0">
            <w:pPr>
              <w:rPr>
                <w:rFonts w:eastAsia="Calibri"/>
                <w:b/>
                <w:color w:val="2C9ADC"/>
                <w:sz w:val="18"/>
                <w:szCs w:val="18"/>
              </w:rPr>
            </w:pPr>
            <w:bookmarkStart w:id="262" w:name="_Toc480905416"/>
            <w:bookmarkStart w:id="263" w:name="_Toc6314223"/>
            <w:bookmarkStart w:id="264" w:name="_Toc71622463"/>
            <w:r w:rsidRPr="00543FD2">
              <w:rPr>
                <w:rFonts w:eastAsia="Calibri"/>
                <w:b/>
                <w:color w:val="2C9ADC"/>
                <w:sz w:val="20"/>
                <w:szCs w:val="18"/>
              </w:rPr>
              <w:t>Tabuľka 2c – Výdavky vylúčené z výdavkového agregátu</w:t>
            </w:r>
            <w:bookmarkEnd w:id="262"/>
            <w:bookmarkEnd w:id="263"/>
            <w:bookmarkEnd w:id="264"/>
          </w:p>
        </w:tc>
      </w:tr>
      <w:tr w:rsidR="000F6636" w:rsidRPr="00543FD2" w14:paraId="4375CFAD" w14:textId="77777777" w:rsidTr="00484DB0">
        <w:trPr>
          <w:trHeight w:val="283"/>
        </w:trPr>
        <w:tc>
          <w:tcPr>
            <w:tcW w:w="5045" w:type="dxa"/>
            <w:tcBorders>
              <w:top w:val="nil"/>
              <w:left w:val="nil"/>
              <w:bottom w:val="nil"/>
              <w:right w:val="nil"/>
            </w:tcBorders>
            <w:shd w:val="clear" w:color="auto" w:fill="auto"/>
            <w:vAlign w:val="center"/>
            <w:hideMark/>
          </w:tcPr>
          <w:p w14:paraId="0EF3DFA6" w14:textId="77777777" w:rsidR="000F6636" w:rsidRPr="00543FD2" w:rsidRDefault="000F6636" w:rsidP="00484DB0">
            <w:pPr>
              <w:rPr>
                <w:rFonts w:cs="Times New Roman"/>
                <w:color w:val="000000"/>
                <w:sz w:val="18"/>
                <w:szCs w:val="18"/>
              </w:rPr>
            </w:pPr>
            <w:r w:rsidRPr="00543FD2">
              <w:rPr>
                <w:rFonts w:cs="Times New Roman"/>
                <w:color w:val="000000"/>
                <w:sz w:val="18"/>
                <w:szCs w:val="18"/>
              </w:rPr>
              <w:t> </w:t>
            </w:r>
          </w:p>
        </w:tc>
        <w:tc>
          <w:tcPr>
            <w:tcW w:w="650" w:type="dxa"/>
            <w:tcBorders>
              <w:top w:val="single" w:sz="8" w:space="0" w:color="auto"/>
              <w:left w:val="nil"/>
              <w:bottom w:val="nil"/>
              <w:right w:val="nil"/>
            </w:tcBorders>
            <w:shd w:val="clear" w:color="auto" w:fill="auto"/>
            <w:vAlign w:val="center"/>
            <w:hideMark/>
          </w:tcPr>
          <w:p w14:paraId="3CD7AD1C" w14:textId="77777777" w:rsidR="000F6636" w:rsidRPr="00543FD2" w:rsidRDefault="000F6636" w:rsidP="00484DB0">
            <w:pPr>
              <w:jc w:val="center"/>
              <w:rPr>
                <w:rFonts w:cs="Times New Roman"/>
                <w:b/>
                <w:bCs/>
                <w:color w:val="000000"/>
                <w:sz w:val="18"/>
                <w:szCs w:val="18"/>
              </w:rPr>
            </w:pPr>
            <w:r w:rsidRPr="00543FD2">
              <w:rPr>
                <w:b/>
                <w:bCs/>
                <w:color w:val="000000"/>
                <w:sz w:val="18"/>
                <w:szCs w:val="18"/>
              </w:rPr>
              <w:t>2023</w:t>
            </w:r>
          </w:p>
        </w:tc>
        <w:tc>
          <w:tcPr>
            <w:tcW w:w="840" w:type="dxa"/>
            <w:tcBorders>
              <w:top w:val="single" w:sz="8" w:space="0" w:color="auto"/>
              <w:left w:val="nil"/>
              <w:bottom w:val="nil"/>
              <w:right w:val="nil"/>
            </w:tcBorders>
            <w:shd w:val="clear" w:color="auto" w:fill="auto"/>
            <w:vAlign w:val="center"/>
            <w:hideMark/>
          </w:tcPr>
          <w:p w14:paraId="3918E1CA" w14:textId="77777777" w:rsidR="000F6636" w:rsidRPr="00543FD2" w:rsidRDefault="000F6636" w:rsidP="00484DB0">
            <w:pPr>
              <w:jc w:val="center"/>
              <w:rPr>
                <w:rFonts w:cs="Times New Roman"/>
                <w:b/>
                <w:bCs/>
                <w:color w:val="000000"/>
                <w:sz w:val="18"/>
                <w:szCs w:val="18"/>
              </w:rPr>
            </w:pPr>
            <w:r w:rsidRPr="00543FD2">
              <w:rPr>
                <w:b/>
                <w:bCs/>
                <w:color w:val="000000"/>
                <w:sz w:val="18"/>
                <w:szCs w:val="18"/>
              </w:rPr>
              <w:t>2023</w:t>
            </w:r>
          </w:p>
        </w:tc>
        <w:tc>
          <w:tcPr>
            <w:tcW w:w="650" w:type="dxa"/>
            <w:tcBorders>
              <w:top w:val="single" w:sz="8" w:space="0" w:color="auto"/>
              <w:left w:val="nil"/>
              <w:bottom w:val="nil"/>
              <w:right w:val="nil"/>
            </w:tcBorders>
            <w:shd w:val="clear" w:color="auto" w:fill="auto"/>
            <w:vAlign w:val="center"/>
            <w:hideMark/>
          </w:tcPr>
          <w:p w14:paraId="0A9ADB54" w14:textId="77777777" w:rsidR="000F6636" w:rsidRPr="00543FD2" w:rsidRDefault="000F6636" w:rsidP="00484DB0">
            <w:pPr>
              <w:jc w:val="center"/>
              <w:rPr>
                <w:rFonts w:cs="Times New Roman"/>
                <w:b/>
                <w:bCs/>
                <w:color w:val="000000"/>
                <w:sz w:val="18"/>
                <w:szCs w:val="18"/>
              </w:rPr>
            </w:pPr>
            <w:r w:rsidRPr="00543FD2">
              <w:rPr>
                <w:b/>
                <w:bCs/>
                <w:color w:val="000000"/>
                <w:sz w:val="18"/>
                <w:szCs w:val="18"/>
              </w:rPr>
              <w:t>2024</w:t>
            </w:r>
          </w:p>
        </w:tc>
        <w:tc>
          <w:tcPr>
            <w:tcW w:w="650" w:type="dxa"/>
            <w:tcBorders>
              <w:top w:val="single" w:sz="8" w:space="0" w:color="auto"/>
              <w:left w:val="nil"/>
              <w:bottom w:val="nil"/>
              <w:right w:val="nil"/>
            </w:tcBorders>
            <w:shd w:val="clear" w:color="auto" w:fill="auto"/>
            <w:vAlign w:val="center"/>
            <w:hideMark/>
          </w:tcPr>
          <w:p w14:paraId="71DCC9EE" w14:textId="77777777" w:rsidR="000F6636" w:rsidRPr="00543FD2" w:rsidRDefault="000F6636" w:rsidP="00484DB0">
            <w:pPr>
              <w:jc w:val="center"/>
              <w:rPr>
                <w:rFonts w:cs="Times New Roman"/>
                <w:b/>
                <w:bCs/>
                <w:color w:val="000000"/>
                <w:sz w:val="18"/>
                <w:szCs w:val="18"/>
              </w:rPr>
            </w:pPr>
            <w:r w:rsidRPr="00543FD2">
              <w:rPr>
                <w:b/>
                <w:bCs/>
                <w:color w:val="000000"/>
                <w:sz w:val="18"/>
                <w:szCs w:val="18"/>
              </w:rPr>
              <w:t>2025</w:t>
            </w:r>
          </w:p>
        </w:tc>
        <w:tc>
          <w:tcPr>
            <w:tcW w:w="650" w:type="dxa"/>
            <w:tcBorders>
              <w:top w:val="single" w:sz="8" w:space="0" w:color="auto"/>
              <w:left w:val="nil"/>
              <w:bottom w:val="nil"/>
              <w:right w:val="nil"/>
            </w:tcBorders>
            <w:shd w:val="clear" w:color="auto" w:fill="auto"/>
            <w:vAlign w:val="center"/>
            <w:hideMark/>
          </w:tcPr>
          <w:p w14:paraId="3E3B93F1" w14:textId="77777777" w:rsidR="000F6636" w:rsidRPr="00543FD2" w:rsidRDefault="000F6636" w:rsidP="00484DB0">
            <w:pPr>
              <w:jc w:val="center"/>
              <w:rPr>
                <w:rFonts w:cs="Times New Roman"/>
                <w:b/>
                <w:bCs/>
                <w:color w:val="000000"/>
                <w:sz w:val="18"/>
                <w:szCs w:val="18"/>
              </w:rPr>
            </w:pPr>
            <w:r w:rsidRPr="00543FD2">
              <w:rPr>
                <w:b/>
                <w:bCs/>
                <w:color w:val="000000"/>
                <w:sz w:val="18"/>
                <w:szCs w:val="18"/>
              </w:rPr>
              <w:t>2026</w:t>
            </w:r>
          </w:p>
        </w:tc>
        <w:tc>
          <w:tcPr>
            <w:tcW w:w="653" w:type="dxa"/>
            <w:tcBorders>
              <w:top w:val="single" w:sz="8" w:space="0" w:color="auto"/>
              <w:left w:val="nil"/>
              <w:bottom w:val="nil"/>
              <w:right w:val="nil"/>
            </w:tcBorders>
            <w:shd w:val="clear" w:color="auto" w:fill="auto"/>
            <w:vAlign w:val="center"/>
            <w:hideMark/>
          </w:tcPr>
          <w:p w14:paraId="0EA74E5C" w14:textId="77777777" w:rsidR="000F6636" w:rsidRPr="00543FD2" w:rsidRDefault="000F6636" w:rsidP="00484DB0">
            <w:pPr>
              <w:jc w:val="center"/>
              <w:rPr>
                <w:rFonts w:cs="Times New Roman"/>
                <w:b/>
                <w:bCs/>
                <w:color w:val="000000"/>
                <w:sz w:val="18"/>
                <w:szCs w:val="18"/>
              </w:rPr>
            </w:pPr>
            <w:r w:rsidRPr="00543FD2">
              <w:rPr>
                <w:b/>
                <w:bCs/>
                <w:color w:val="000000"/>
                <w:sz w:val="18"/>
                <w:szCs w:val="18"/>
              </w:rPr>
              <w:t>2027</w:t>
            </w:r>
          </w:p>
        </w:tc>
      </w:tr>
      <w:tr w:rsidR="000F6636" w:rsidRPr="00543FD2" w14:paraId="59779D82" w14:textId="77777777" w:rsidTr="00484DB0">
        <w:trPr>
          <w:trHeight w:val="283"/>
        </w:trPr>
        <w:tc>
          <w:tcPr>
            <w:tcW w:w="5045" w:type="dxa"/>
            <w:tcBorders>
              <w:top w:val="nil"/>
              <w:left w:val="nil"/>
              <w:bottom w:val="single" w:sz="4" w:space="0" w:color="auto"/>
              <w:right w:val="nil"/>
            </w:tcBorders>
            <w:shd w:val="clear" w:color="auto" w:fill="auto"/>
            <w:vAlign w:val="center"/>
            <w:hideMark/>
          </w:tcPr>
          <w:p w14:paraId="19ACF8CA" w14:textId="77777777" w:rsidR="000F6636" w:rsidRPr="00543FD2" w:rsidRDefault="000F6636" w:rsidP="00484DB0">
            <w:pPr>
              <w:rPr>
                <w:rFonts w:cs="Times New Roman"/>
                <w:color w:val="000000"/>
                <w:sz w:val="18"/>
                <w:szCs w:val="18"/>
              </w:rPr>
            </w:pPr>
            <w:r w:rsidRPr="00543FD2">
              <w:rPr>
                <w:rFonts w:cs="Times New Roman"/>
                <w:color w:val="000000"/>
                <w:sz w:val="18"/>
                <w:szCs w:val="18"/>
              </w:rPr>
              <w:t> </w:t>
            </w:r>
          </w:p>
        </w:tc>
        <w:tc>
          <w:tcPr>
            <w:tcW w:w="650" w:type="dxa"/>
            <w:tcBorders>
              <w:top w:val="nil"/>
              <w:left w:val="nil"/>
              <w:bottom w:val="single" w:sz="4" w:space="0" w:color="auto"/>
              <w:right w:val="nil"/>
            </w:tcBorders>
            <w:shd w:val="clear" w:color="auto" w:fill="auto"/>
            <w:vAlign w:val="center"/>
            <w:hideMark/>
          </w:tcPr>
          <w:p w14:paraId="1BD1282A" w14:textId="77777777" w:rsidR="000F6636" w:rsidRPr="00543FD2" w:rsidRDefault="000F6636" w:rsidP="00484DB0">
            <w:pPr>
              <w:jc w:val="center"/>
              <w:rPr>
                <w:rFonts w:cs="Times New Roman"/>
                <w:color w:val="000000"/>
                <w:sz w:val="18"/>
                <w:szCs w:val="18"/>
              </w:rPr>
            </w:pPr>
            <w:r w:rsidRPr="00543FD2">
              <w:rPr>
                <w:color w:val="000000"/>
                <w:sz w:val="18"/>
                <w:szCs w:val="18"/>
              </w:rPr>
              <w:t>mil. eur</w:t>
            </w:r>
          </w:p>
        </w:tc>
        <w:tc>
          <w:tcPr>
            <w:tcW w:w="840" w:type="dxa"/>
            <w:tcBorders>
              <w:top w:val="nil"/>
              <w:left w:val="nil"/>
              <w:bottom w:val="single" w:sz="4" w:space="0" w:color="auto"/>
              <w:right w:val="nil"/>
            </w:tcBorders>
            <w:shd w:val="clear" w:color="auto" w:fill="auto"/>
            <w:vAlign w:val="center"/>
            <w:hideMark/>
          </w:tcPr>
          <w:p w14:paraId="41FE9160" w14:textId="77777777" w:rsidR="000F6636" w:rsidRPr="00543FD2" w:rsidRDefault="000F6636" w:rsidP="00484DB0">
            <w:pPr>
              <w:jc w:val="center"/>
              <w:rPr>
                <w:rFonts w:cs="Times New Roman"/>
                <w:color w:val="000000"/>
                <w:sz w:val="18"/>
                <w:szCs w:val="18"/>
              </w:rPr>
            </w:pPr>
            <w:r w:rsidRPr="00543FD2">
              <w:rPr>
                <w:color w:val="000000"/>
                <w:sz w:val="18"/>
                <w:szCs w:val="18"/>
              </w:rPr>
              <w:t>% HDP</w:t>
            </w:r>
          </w:p>
        </w:tc>
        <w:tc>
          <w:tcPr>
            <w:tcW w:w="650" w:type="dxa"/>
            <w:tcBorders>
              <w:top w:val="nil"/>
              <w:left w:val="nil"/>
              <w:bottom w:val="single" w:sz="4" w:space="0" w:color="auto"/>
              <w:right w:val="nil"/>
            </w:tcBorders>
            <w:shd w:val="clear" w:color="auto" w:fill="auto"/>
            <w:vAlign w:val="center"/>
            <w:hideMark/>
          </w:tcPr>
          <w:p w14:paraId="5E1BD99A" w14:textId="77777777" w:rsidR="000F6636" w:rsidRPr="00543FD2" w:rsidRDefault="000F6636" w:rsidP="00484DB0">
            <w:pPr>
              <w:jc w:val="center"/>
              <w:rPr>
                <w:rFonts w:cs="Times New Roman"/>
                <w:color w:val="000000"/>
                <w:sz w:val="18"/>
                <w:szCs w:val="18"/>
              </w:rPr>
            </w:pPr>
            <w:r w:rsidRPr="00543FD2">
              <w:rPr>
                <w:color w:val="000000"/>
                <w:sz w:val="18"/>
                <w:szCs w:val="18"/>
              </w:rPr>
              <w:t>% HDP</w:t>
            </w:r>
          </w:p>
        </w:tc>
        <w:tc>
          <w:tcPr>
            <w:tcW w:w="650" w:type="dxa"/>
            <w:tcBorders>
              <w:top w:val="nil"/>
              <w:left w:val="nil"/>
              <w:bottom w:val="single" w:sz="4" w:space="0" w:color="auto"/>
              <w:right w:val="nil"/>
            </w:tcBorders>
            <w:shd w:val="clear" w:color="auto" w:fill="auto"/>
            <w:vAlign w:val="center"/>
            <w:hideMark/>
          </w:tcPr>
          <w:p w14:paraId="6D77DEF4" w14:textId="77777777" w:rsidR="000F6636" w:rsidRPr="00543FD2" w:rsidRDefault="000F6636" w:rsidP="00484DB0">
            <w:pPr>
              <w:jc w:val="center"/>
              <w:rPr>
                <w:rFonts w:cs="Times New Roman"/>
                <w:color w:val="000000"/>
                <w:sz w:val="18"/>
                <w:szCs w:val="18"/>
              </w:rPr>
            </w:pPr>
            <w:r w:rsidRPr="00543FD2">
              <w:rPr>
                <w:color w:val="000000"/>
                <w:sz w:val="18"/>
                <w:szCs w:val="18"/>
              </w:rPr>
              <w:t>% HDP</w:t>
            </w:r>
          </w:p>
        </w:tc>
        <w:tc>
          <w:tcPr>
            <w:tcW w:w="650" w:type="dxa"/>
            <w:tcBorders>
              <w:top w:val="nil"/>
              <w:left w:val="nil"/>
              <w:bottom w:val="single" w:sz="4" w:space="0" w:color="auto"/>
              <w:right w:val="nil"/>
            </w:tcBorders>
            <w:shd w:val="clear" w:color="auto" w:fill="auto"/>
            <w:vAlign w:val="center"/>
            <w:hideMark/>
          </w:tcPr>
          <w:p w14:paraId="2AB13A11" w14:textId="77777777" w:rsidR="000F6636" w:rsidRPr="00543FD2" w:rsidRDefault="000F6636" w:rsidP="00484DB0">
            <w:pPr>
              <w:jc w:val="center"/>
              <w:rPr>
                <w:rFonts w:cs="Times New Roman"/>
                <w:color w:val="000000"/>
                <w:sz w:val="18"/>
                <w:szCs w:val="18"/>
              </w:rPr>
            </w:pPr>
            <w:r w:rsidRPr="00543FD2">
              <w:rPr>
                <w:color w:val="000000"/>
                <w:sz w:val="18"/>
                <w:szCs w:val="18"/>
              </w:rPr>
              <w:t>% HDP</w:t>
            </w:r>
          </w:p>
        </w:tc>
        <w:tc>
          <w:tcPr>
            <w:tcW w:w="653" w:type="dxa"/>
            <w:tcBorders>
              <w:top w:val="nil"/>
              <w:left w:val="nil"/>
              <w:bottom w:val="single" w:sz="4" w:space="0" w:color="auto"/>
              <w:right w:val="nil"/>
            </w:tcBorders>
            <w:shd w:val="clear" w:color="auto" w:fill="auto"/>
            <w:vAlign w:val="center"/>
            <w:hideMark/>
          </w:tcPr>
          <w:p w14:paraId="6C0D68BA" w14:textId="77777777" w:rsidR="000F6636" w:rsidRPr="00543FD2" w:rsidRDefault="000F6636" w:rsidP="00484DB0">
            <w:pPr>
              <w:jc w:val="center"/>
              <w:rPr>
                <w:rFonts w:cs="Times New Roman"/>
                <w:color w:val="000000"/>
                <w:sz w:val="18"/>
                <w:szCs w:val="18"/>
              </w:rPr>
            </w:pPr>
            <w:r w:rsidRPr="00543FD2">
              <w:rPr>
                <w:color w:val="000000"/>
                <w:sz w:val="18"/>
                <w:szCs w:val="18"/>
              </w:rPr>
              <w:t>% HDP</w:t>
            </w:r>
          </w:p>
        </w:tc>
      </w:tr>
      <w:tr w:rsidR="000F6636" w:rsidRPr="00543FD2" w14:paraId="08B98EDD" w14:textId="77777777" w:rsidTr="00484DB0">
        <w:trPr>
          <w:trHeight w:val="283"/>
        </w:trPr>
        <w:tc>
          <w:tcPr>
            <w:tcW w:w="5045" w:type="dxa"/>
            <w:tcBorders>
              <w:top w:val="nil"/>
              <w:left w:val="nil"/>
              <w:bottom w:val="nil"/>
              <w:right w:val="nil"/>
            </w:tcBorders>
            <w:shd w:val="clear" w:color="auto" w:fill="auto"/>
            <w:vAlign w:val="center"/>
            <w:hideMark/>
          </w:tcPr>
          <w:p w14:paraId="5CE25A78" w14:textId="77777777" w:rsidR="000F6636" w:rsidRPr="00543FD2" w:rsidRDefault="000F6636" w:rsidP="00484DB0">
            <w:pPr>
              <w:rPr>
                <w:rFonts w:cs="Times New Roman"/>
                <w:color w:val="000000"/>
                <w:sz w:val="18"/>
                <w:szCs w:val="18"/>
              </w:rPr>
            </w:pPr>
            <w:r w:rsidRPr="00543FD2">
              <w:rPr>
                <w:rFonts w:cs="Times New Roman"/>
                <w:color w:val="000000"/>
                <w:sz w:val="18"/>
                <w:szCs w:val="18"/>
              </w:rPr>
              <w:t>1. Výdavky na programy EÚ plne kryté príjmami z fondov EÚ</w:t>
            </w:r>
          </w:p>
        </w:tc>
        <w:tc>
          <w:tcPr>
            <w:tcW w:w="650" w:type="dxa"/>
            <w:tcBorders>
              <w:top w:val="nil"/>
              <w:left w:val="nil"/>
              <w:bottom w:val="nil"/>
              <w:right w:val="nil"/>
            </w:tcBorders>
            <w:shd w:val="clear" w:color="auto" w:fill="auto"/>
            <w:vAlign w:val="center"/>
            <w:hideMark/>
          </w:tcPr>
          <w:p w14:paraId="72B58A0D" w14:textId="77777777" w:rsidR="000F6636" w:rsidRPr="00543FD2" w:rsidRDefault="000F6636" w:rsidP="00484DB0">
            <w:pPr>
              <w:jc w:val="center"/>
              <w:rPr>
                <w:rFonts w:cs="Times New Roman"/>
                <w:color w:val="000000"/>
                <w:sz w:val="18"/>
                <w:szCs w:val="18"/>
              </w:rPr>
            </w:pPr>
            <w:r w:rsidRPr="00543FD2">
              <w:rPr>
                <w:color w:val="000000"/>
                <w:sz w:val="18"/>
                <w:szCs w:val="18"/>
              </w:rPr>
              <w:t>3081</w:t>
            </w:r>
          </w:p>
        </w:tc>
        <w:tc>
          <w:tcPr>
            <w:tcW w:w="840" w:type="dxa"/>
            <w:tcBorders>
              <w:top w:val="nil"/>
              <w:left w:val="nil"/>
              <w:bottom w:val="nil"/>
              <w:right w:val="nil"/>
            </w:tcBorders>
            <w:shd w:val="clear" w:color="auto" w:fill="auto"/>
            <w:vAlign w:val="center"/>
            <w:hideMark/>
          </w:tcPr>
          <w:p w14:paraId="397E1A78" w14:textId="77777777" w:rsidR="000F6636" w:rsidRPr="00543FD2" w:rsidRDefault="000F6636" w:rsidP="00484DB0">
            <w:pPr>
              <w:jc w:val="center"/>
              <w:rPr>
                <w:rFonts w:cs="Times New Roman"/>
                <w:color w:val="000000"/>
                <w:sz w:val="18"/>
                <w:szCs w:val="18"/>
              </w:rPr>
            </w:pPr>
            <w:r w:rsidRPr="00543FD2">
              <w:rPr>
                <w:color w:val="000000"/>
                <w:sz w:val="18"/>
                <w:szCs w:val="18"/>
              </w:rPr>
              <w:t>1,8</w:t>
            </w:r>
          </w:p>
        </w:tc>
        <w:tc>
          <w:tcPr>
            <w:tcW w:w="650" w:type="dxa"/>
            <w:tcBorders>
              <w:top w:val="nil"/>
              <w:left w:val="nil"/>
              <w:bottom w:val="nil"/>
              <w:right w:val="nil"/>
            </w:tcBorders>
            <w:shd w:val="clear" w:color="auto" w:fill="auto"/>
            <w:vAlign w:val="center"/>
            <w:hideMark/>
          </w:tcPr>
          <w:p w14:paraId="35CA5046" w14:textId="77777777" w:rsidR="000F6636" w:rsidRPr="00543FD2" w:rsidRDefault="000F6636" w:rsidP="00484DB0">
            <w:pPr>
              <w:jc w:val="center"/>
              <w:rPr>
                <w:rFonts w:cs="Times New Roman"/>
                <w:color w:val="000000"/>
                <w:sz w:val="18"/>
                <w:szCs w:val="18"/>
              </w:rPr>
            </w:pPr>
            <w:r w:rsidRPr="00543FD2">
              <w:rPr>
                <w:color w:val="000000"/>
                <w:sz w:val="18"/>
                <w:szCs w:val="18"/>
              </w:rPr>
              <w:t>1,0</w:t>
            </w:r>
          </w:p>
        </w:tc>
        <w:tc>
          <w:tcPr>
            <w:tcW w:w="650" w:type="dxa"/>
            <w:tcBorders>
              <w:top w:val="nil"/>
              <w:left w:val="nil"/>
              <w:bottom w:val="nil"/>
              <w:right w:val="nil"/>
            </w:tcBorders>
            <w:shd w:val="clear" w:color="auto" w:fill="auto"/>
            <w:vAlign w:val="center"/>
            <w:hideMark/>
          </w:tcPr>
          <w:p w14:paraId="2D766FBD" w14:textId="77777777" w:rsidR="000F6636" w:rsidRPr="00543FD2" w:rsidRDefault="000F6636" w:rsidP="00484DB0">
            <w:pPr>
              <w:jc w:val="center"/>
              <w:rPr>
                <w:rFonts w:cs="Times New Roman"/>
                <w:color w:val="000000"/>
                <w:sz w:val="18"/>
                <w:szCs w:val="18"/>
              </w:rPr>
            </w:pPr>
            <w:r w:rsidRPr="00543FD2">
              <w:rPr>
                <w:color w:val="000000"/>
                <w:sz w:val="18"/>
                <w:szCs w:val="18"/>
              </w:rPr>
              <w:t>0,7</w:t>
            </w:r>
          </w:p>
        </w:tc>
        <w:tc>
          <w:tcPr>
            <w:tcW w:w="650" w:type="dxa"/>
            <w:tcBorders>
              <w:top w:val="nil"/>
              <w:left w:val="nil"/>
              <w:bottom w:val="nil"/>
              <w:right w:val="nil"/>
            </w:tcBorders>
            <w:shd w:val="clear" w:color="auto" w:fill="auto"/>
            <w:vAlign w:val="center"/>
            <w:hideMark/>
          </w:tcPr>
          <w:p w14:paraId="33A96520" w14:textId="77777777" w:rsidR="000F6636" w:rsidRPr="00543FD2" w:rsidRDefault="000F6636" w:rsidP="00484DB0">
            <w:pPr>
              <w:jc w:val="center"/>
              <w:rPr>
                <w:rFonts w:cs="Times New Roman"/>
                <w:color w:val="000000"/>
                <w:sz w:val="18"/>
                <w:szCs w:val="18"/>
              </w:rPr>
            </w:pPr>
            <w:r w:rsidRPr="00543FD2">
              <w:rPr>
                <w:color w:val="000000"/>
                <w:sz w:val="18"/>
                <w:szCs w:val="18"/>
              </w:rPr>
              <w:t>0,4</w:t>
            </w:r>
          </w:p>
        </w:tc>
        <w:tc>
          <w:tcPr>
            <w:tcW w:w="653" w:type="dxa"/>
            <w:tcBorders>
              <w:top w:val="nil"/>
              <w:left w:val="nil"/>
              <w:bottom w:val="nil"/>
              <w:right w:val="nil"/>
            </w:tcBorders>
            <w:shd w:val="clear" w:color="auto" w:fill="auto"/>
            <w:vAlign w:val="center"/>
            <w:hideMark/>
          </w:tcPr>
          <w:p w14:paraId="049950B3" w14:textId="77777777" w:rsidR="000F6636" w:rsidRPr="00543FD2" w:rsidRDefault="000F6636" w:rsidP="00484DB0">
            <w:pPr>
              <w:jc w:val="center"/>
              <w:rPr>
                <w:rFonts w:cs="Times New Roman"/>
                <w:color w:val="000000"/>
                <w:sz w:val="18"/>
                <w:szCs w:val="18"/>
              </w:rPr>
            </w:pPr>
            <w:r w:rsidRPr="00543FD2">
              <w:rPr>
                <w:color w:val="000000"/>
                <w:sz w:val="18"/>
                <w:szCs w:val="18"/>
              </w:rPr>
              <w:t>0,1</w:t>
            </w:r>
          </w:p>
        </w:tc>
      </w:tr>
      <w:tr w:rsidR="000F6636" w:rsidRPr="00543FD2" w14:paraId="3E97940C" w14:textId="77777777" w:rsidTr="00484DB0">
        <w:trPr>
          <w:trHeight w:val="283"/>
        </w:trPr>
        <w:tc>
          <w:tcPr>
            <w:tcW w:w="5045" w:type="dxa"/>
            <w:tcBorders>
              <w:top w:val="nil"/>
              <w:left w:val="nil"/>
              <w:bottom w:val="nil"/>
              <w:right w:val="nil"/>
            </w:tcBorders>
            <w:shd w:val="clear" w:color="auto" w:fill="auto"/>
            <w:vAlign w:val="center"/>
            <w:hideMark/>
          </w:tcPr>
          <w:p w14:paraId="51AA71BA" w14:textId="0DCE0DA5" w:rsidR="000F6636" w:rsidRPr="00543FD2" w:rsidRDefault="000F6636" w:rsidP="00484DB0">
            <w:pPr>
              <w:rPr>
                <w:rFonts w:cs="Times New Roman"/>
                <w:color w:val="000000"/>
                <w:sz w:val="18"/>
                <w:szCs w:val="18"/>
              </w:rPr>
            </w:pPr>
            <w:r w:rsidRPr="00543FD2">
              <w:rPr>
                <w:rFonts w:cs="Times New Roman"/>
                <w:color w:val="000000"/>
                <w:sz w:val="18"/>
                <w:szCs w:val="18"/>
              </w:rPr>
              <w:t>1.a. z toho investície plne kryté príjmami z fondov EÚ</w:t>
            </w:r>
          </w:p>
        </w:tc>
        <w:tc>
          <w:tcPr>
            <w:tcW w:w="650" w:type="dxa"/>
            <w:tcBorders>
              <w:top w:val="nil"/>
              <w:left w:val="nil"/>
              <w:bottom w:val="nil"/>
              <w:right w:val="nil"/>
            </w:tcBorders>
            <w:shd w:val="clear" w:color="auto" w:fill="auto"/>
            <w:vAlign w:val="center"/>
            <w:hideMark/>
          </w:tcPr>
          <w:p w14:paraId="12D9C450" w14:textId="77777777" w:rsidR="000F6636" w:rsidRPr="00543FD2" w:rsidRDefault="000F6636" w:rsidP="00484DB0">
            <w:pPr>
              <w:jc w:val="center"/>
              <w:rPr>
                <w:rFonts w:cs="Times New Roman"/>
                <w:color w:val="000000"/>
                <w:sz w:val="18"/>
                <w:szCs w:val="18"/>
              </w:rPr>
            </w:pPr>
            <w:r w:rsidRPr="00543FD2">
              <w:rPr>
                <w:color w:val="000000"/>
                <w:sz w:val="18"/>
                <w:szCs w:val="18"/>
              </w:rPr>
              <w:t>2200</w:t>
            </w:r>
          </w:p>
        </w:tc>
        <w:tc>
          <w:tcPr>
            <w:tcW w:w="840" w:type="dxa"/>
            <w:tcBorders>
              <w:top w:val="nil"/>
              <w:left w:val="nil"/>
              <w:bottom w:val="nil"/>
              <w:right w:val="nil"/>
            </w:tcBorders>
            <w:shd w:val="clear" w:color="auto" w:fill="auto"/>
            <w:vAlign w:val="center"/>
            <w:hideMark/>
          </w:tcPr>
          <w:p w14:paraId="474CFF70" w14:textId="77777777" w:rsidR="000F6636" w:rsidRPr="00543FD2" w:rsidRDefault="000F6636" w:rsidP="00484DB0">
            <w:pPr>
              <w:jc w:val="center"/>
              <w:rPr>
                <w:rFonts w:cs="Times New Roman"/>
                <w:color w:val="000000"/>
                <w:sz w:val="18"/>
                <w:szCs w:val="18"/>
              </w:rPr>
            </w:pPr>
            <w:r w:rsidRPr="00543FD2">
              <w:rPr>
                <w:color w:val="000000"/>
                <w:sz w:val="18"/>
                <w:szCs w:val="18"/>
              </w:rPr>
              <w:t>0,7</w:t>
            </w:r>
          </w:p>
        </w:tc>
        <w:tc>
          <w:tcPr>
            <w:tcW w:w="650" w:type="dxa"/>
            <w:tcBorders>
              <w:top w:val="nil"/>
              <w:left w:val="nil"/>
              <w:bottom w:val="nil"/>
              <w:right w:val="nil"/>
            </w:tcBorders>
            <w:shd w:val="clear" w:color="auto" w:fill="auto"/>
            <w:vAlign w:val="center"/>
            <w:hideMark/>
          </w:tcPr>
          <w:p w14:paraId="6FF04560" w14:textId="77777777" w:rsidR="000F6636" w:rsidRPr="00543FD2" w:rsidRDefault="000F6636" w:rsidP="00484DB0">
            <w:pPr>
              <w:jc w:val="center"/>
              <w:rPr>
                <w:rFonts w:cs="Times New Roman"/>
                <w:color w:val="000000"/>
                <w:sz w:val="18"/>
                <w:szCs w:val="18"/>
              </w:rPr>
            </w:pPr>
            <w:r w:rsidRPr="00543FD2">
              <w:rPr>
                <w:color w:val="000000"/>
                <w:sz w:val="18"/>
                <w:szCs w:val="18"/>
              </w:rPr>
              <w:t>0,9</w:t>
            </w:r>
          </w:p>
        </w:tc>
        <w:tc>
          <w:tcPr>
            <w:tcW w:w="650" w:type="dxa"/>
            <w:tcBorders>
              <w:top w:val="nil"/>
              <w:left w:val="nil"/>
              <w:bottom w:val="nil"/>
              <w:right w:val="nil"/>
            </w:tcBorders>
            <w:shd w:val="clear" w:color="auto" w:fill="auto"/>
            <w:vAlign w:val="center"/>
            <w:hideMark/>
          </w:tcPr>
          <w:p w14:paraId="6FA25DF9" w14:textId="77777777" w:rsidR="000F6636" w:rsidRPr="00543FD2" w:rsidRDefault="000F6636" w:rsidP="00484DB0">
            <w:pPr>
              <w:jc w:val="center"/>
              <w:rPr>
                <w:rFonts w:cs="Times New Roman"/>
                <w:color w:val="000000"/>
                <w:sz w:val="18"/>
                <w:szCs w:val="18"/>
              </w:rPr>
            </w:pPr>
            <w:r w:rsidRPr="00543FD2">
              <w:rPr>
                <w:color w:val="000000"/>
                <w:sz w:val="18"/>
                <w:szCs w:val="18"/>
              </w:rPr>
              <w:t>0,9</w:t>
            </w:r>
          </w:p>
        </w:tc>
        <w:tc>
          <w:tcPr>
            <w:tcW w:w="650" w:type="dxa"/>
            <w:tcBorders>
              <w:top w:val="nil"/>
              <w:left w:val="nil"/>
              <w:bottom w:val="nil"/>
              <w:right w:val="nil"/>
            </w:tcBorders>
            <w:shd w:val="clear" w:color="auto" w:fill="auto"/>
            <w:vAlign w:val="center"/>
            <w:hideMark/>
          </w:tcPr>
          <w:p w14:paraId="42FBFB17" w14:textId="77777777" w:rsidR="000F6636" w:rsidRPr="00543FD2" w:rsidRDefault="000F6636" w:rsidP="00484DB0">
            <w:pPr>
              <w:jc w:val="center"/>
              <w:rPr>
                <w:rFonts w:cs="Times New Roman"/>
                <w:color w:val="000000"/>
                <w:sz w:val="18"/>
                <w:szCs w:val="18"/>
              </w:rPr>
            </w:pPr>
            <w:r w:rsidRPr="00543FD2">
              <w:rPr>
                <w:color w:val="000000"/>
                <w:sz w:val="18"/>
                <w:szCs w:val="18"/>
              </w:rPr>
              <w:t>1,2</w:t>
            </w:r>
          </w:p>
        </w:tc>
        <w:tc>
          <w:tcPr>
            <w:tcW w:w="653" w:type="dxa"/>
            <w:tcBorders>
              <w:top w:val="nil"/>
              <w:left w:val="nil"/>
              <w:bottom w:val="nil"/>
              <w:right w:val="nil"/>
            </w:tcBorders>
            <w:shd w:val="clear" w:color="auto" w:fill="auto"/>
            <w:vAlign w:val="center"/>
            <w:hideMark/>
          </w:tcPr>
          <w:p w14:paraId="57DC6EE8" w14:textId="77777777" w:rsidR="000F6636" w:rsidRPr="00543FD2" w:rsidRDefault="000F6636" w:rsidP="00484DB0">
            <w:pPr>
              <w:jc w:val="center"/>
              <w:rPr>
                <w:rFonts w:cs="Times New Roman"/>
                <w:color w:val="000000"/>
                <w:sz w:val="18"/>
                <w:szCs w:val="18"/>
              </w:rPr>
            </w:pPr>
            <w:r w:rsidRPr="00543FD2">
              <w:rPr>
                <w:color w:val="000000"/>
                <w:sz w:val="18"/>
                <w:szCs w:val="18"/>
              </w:rPr>
              <w:t>0,9</w:t>
            </w:r>
          </w:p>
        </w:tc>
      </w:tr>
      <w:tr w:rsidR="000F6636" w:rsidRPr="00543FD2" w14:paraId="76FA3C67" w14:textId="77777777" w:rsidTr="00484DB0">
        <w:trPr>
          <w:trHeight w:val="283"/>
        </w:trPr>
        <w:tc>
          <w:tcPr>
            <w:tcW w:w="5045" w:type="dxa"/>
            <w:tcBorders>
              <w:top w:val="nil"/>
              <w:left w:val="nil"/>
              <w:bottom w:val="nil"/>
              <w:right w:val="nil"/>
            </w:tcBorders>
            <w:shd w:val="clear" w:color="000000" w:fill="FFFFFF"/>
            <w:vAlign w:val="center"/>
            <w:hideMark/>
          </w:tcPr>
          <w:p w14:paraId="58175B10" w14:textId="77777777" w:rsidR="000F6636" w:rsidRPr="00543FD2" w:rsidRDefault="000F6636" w:rsidP="00484DB0">
            <w:pPr>
              <w:rPr>
                <w:rFonts w:cs="Times New Roman"/>
                <w:color w:val="000000"/>
                <w:sz w:val="18"/>
                <w:szCs w:val="18"/>
              </w:rPr>
            </w:pPr>
            <w:r w:rsidRPr="00543FD2">
              <w:rPr>
                <w:rFonts w:cs="Times New Roman"/>
                <w:color w:val="000000"/>
                <w:sz w:val="18"/>
                <w:szCs w:val="18"/>
              </w:rPr>
              <w:t>2. Výdavky na dávky v nezamestnanosti nesúvisiace s opatreniami vlády (cyklická zložka)</w:t>
            </w:r>
          </w:p>
        </w:tc>
        <w:tc>
          <w:tcPr>
            <w:tcW w:w="650" w:type="dxa"/>
            <w:tcBorders>
              <w:top w:val="nil"/>
              <w:left w:val="nil"/>
              <w:bottom w:val="nil"/>
              <w:right w:val="nil"/>
            </w:tcBorders>
            <w:shd w:val="clear" w:color="auto" w:fill="auto"/>
            <w:vAlign w:val="center"/>
            <w:hideMark/>
          </w:tcPr>
          <w:p w14:paraId="130D5253" w14:textId="77777777" w:rsidR="000F6636" w:rsidRPr="00543FD2" w:rsidRDefault="000F6636" w:rsidP="00484DB0">
            <w:pPr>
              <w:jc w:val="center"/>
              <w:rPr>
                <w:rFonts w:cs="Times New Roman"/>
                <w:color w:val="000000"/>
                <w:sz w:val="18"/>
                <w:szCs w:val="18"/>
              </w:rPr>
            </w:pPr>
            <w:r w:rsidRPr="00543FD2">
              <w:rPr>
                <w:sz w:val="18"/>
                <w:szCs w:val="18"/>
              </w:rPr>
              <w:t>6</w:t>
            </w:r>
          </w:p>
        </w:tc>
        <w:tc>
          <w:tcPr>
            <w:tcW w:w="840" w:type="dxa"/>
            <w:tcBorders>
              <w:top w:val="nil"/>
              <w:left w:val="nil"/>
              <w:bottom w:val="nil"/>
              <w:right w:val="nil"/>
            </w:tcBorders>
            <w:shd w:val="clear" w:color="auto" w:fill="auto"/>
            <w:vAlign w:val="center"/>
            <w:hideMark/>
          </w:tcPr>
          <w:p w14:paraId="011C0802" w14:textId="77777777" w:rsidR="000F6636" w:rsidRPr="00543FD2" w:rsidRDefault="000F6636" w:rsidP="00484DB0">
            <w:pPr>
              <w:jc w:val="center"/>
              <w:rPr>
                <w:rFonts w:cs="Times New Roman"/>
                <w:color w:val="000000"/>
                <w:sz w:val="18"/>
                <w:szCs w:val="18"/>
              </w:rPr>
            </w:pPr>
            <w:r w:rsidRPr="00543FD2">
              <w:rPr>
                <w:sz w:val="18"/>
                <w:szCs w:val="18"/>
              </w:rPr>
              <w:t>0,0</w:t>
            </w:r>
          </w:p>
        </w:tc>
        <w:tc>
          <w:tcPr>
            <w:tcW w:w="650" w:type="dxa"/>
            <w:tcBorders>
              <w:top w:val="nil"/>
              <w:left w:val="nil"/>
              <w:bottom w:val="nil"/>
              <w:right w:val="nil"/>
            </w:tcBorders>
            <w:shd w:val="clear" w:color="auto" w:fill="auto"/>
            <w:vAlign w:val="center"/>
            <w:hideMark/>
          </w:tcPr>
          <w:p w14:paraId="2B6BDDA4" w14:textId="77777777" w:rsidR="000F6636" w:rsidRPr="00543FD2" w:rsidRDefault="000F6636" w:rsidP="00484DB0">
            <w:pPr>
              <w:jc w:val="center"/>
              <w:rPr>
                <w:rFonts w:cs="Times New Roman"/>
                <w:color w:val="000000"/>
                <w:sz w:val="18"/>
                <w:szCs w:val="18"/>
              </w:rPr>
            </w:pPr>
            <w:r w:rsidRPr="00543FD2">
              <w:rPr>
                <w:sz w:val="18"/>
                <w:szCs w:val="18"/>
              </w:rPr>
              <w:t>0,0</w:t>
            </w:r>
          </w:p>
        </w:tc>
        <w:tc>
          <w:tcPr>
            <w:tcW w:w="650" w:type="dxa"/>
            <w:tcBorders>
              <w:top w:val="nil"/>
              <w:left w:val="nil"/>
              <w:bottom w:val="nil"/>
              <w:right w:val="nil"/>
            </w:tcBorders>
            <w:shd w:val="clear" w:color="auto" w:fill="auto"/>
            <w:vAlign w:val="center"/>
            <w:hideMark/>
          </w:tcPr>
          <w:p w14:paraId="642296CC" w14:textId="77777777" w:rsidR="000F6636" w:rsidRPr="00543FD2" w:rsidRDefault="000F6636" w:rsidP="00484DB0">
            <w:pPr>
              <w:jc w:val="center"/>
              <w:rPr>
                <w:rFonts w:cs="Times New Roman"/>
                <w:color w:val="000000"/>
                <w:sz w:val="18"/>
                <w:szCs w:val="18"/>
              </w:rPr>
            </w:pPr>
            <w:r w:rsidRPr="00543FD2">
              <w:rPr>
                <w:sz w:val="18"/>
                <w:szCs w:val="18"/>
              </w:rPr>
              <w:t>0,0</w:t>
            </w:r>
          </w:p>
        </w:tc>
        <w:tc>
          <w:tcPr>
            <w:tcW w:w="650" w:type="dxa"/>
            <w:tcBorders>
              <w:top w:val="nil"/>
              <w:left w:val="nil"/>
              <w:bottom w:val="nil"/>
              <w:right w:val="nil"/>
            </w:tcBorders>
            <w:shd w:val="clear" w:color="auto" w:fill="auto"/>
            <w:vAlign w:val="center"/>
            <w:hideMark/>
          </w:tcPr>
          <w:p w14:paraId="1DFFFA9F" w14:textId="77777777" w:rsidR="000F6636" w:rsidRPr="00543FD2" w:rsidRDefault="000F6636" w:rsidP="00484DB0">
            <w:pPr>
              <w:jc w:val="center"/>
              <w:rPr>
                <w:rFonts w:cs="Times New Roman"/>
                <w:color w:val="000000"/>
                <w:sz w:val="18"/>
                <w:szCs w:val="18"/>
              </w:rPr>
            </w:pPr>
            <w:r w:rsidRPr="00543FD2">
              <w:rPr>
                <w:sz w:val="18"/>
                <w:szCs w:val="18"/>
              </w:rPr>
              <w:t>0,0</w:t>
            </w:r>
          </w:p>
        </w:tc>
        <w:tc>
          <w:tcPr>
            <w:tcW w:w="653" w:type="dxa"/>
            <w:tcBorders>
              <w:top w:val="nil"/>
              <w:left w:val="nil"/>
              <w:bottom w:val="nil"/>
              <w:right w:val="nil"/>
            </w:tcBorders>
            <w:shd w:val="clear" w:color="auto" w:fill="auto"/>
            <w:vAlign w:val="center"/>
            <w:hideMark/>
          </w:tcPr>
          <w:p w14:paraId="003E7424" w14:textId="77777777" w:rsidR="000F6636" w:rsidRPr="00543FD2" w:rsidRDefault="000F6636" w:rsidP="00484DB0">
            <w:pPr>
              <w:jc w:val="center"/>
              <w:rPr>
                <w:rFonts w:cs="Times New Roman"/>
                <w:color w:val="000000"/>
                <w:sz w:val="18"/>
                <w:szCs w:val="18"/>
              </w:rPr>
            </w:pPr>
            <w:r w:rsidRPr="00543FD2">
              <w:rPr>
                <w:sz w:val="18"/>
                <w:szCs w:val="18"/>
              </w:rPr>
              <w:t>0,0</w:t>
            </w:r>
          </w:p>
        </w:tc>
      </w:tr>
      <w:tr w:rsidR="000F6636" w:rsidRPr="00543FD2" w14:paraId="0B1D3EB3" w14:textId="77777777" w:rsidTr="00484DB0">
        <w:trPr>
          <w:trHeight w:val="283"/>
        </w:trPr>
        <w:tc>
          <w:tcPr>
            <w:tcW w:w="5045" w:type="dxa"/>
            <w:tcBorders>
              <w:top w:val="nil"/>
              <w:left w:val="nil"/>
              <w:right w:val="nil"/>
            </w:tcBorders>
            <w:shd w:val="clear" w:color="000000" w:fill="FFFFFF"/>
            <w:vAlign w:val="center"/>
            <w:hideMark/>
          </w:tcPr>
          <w:p w14:paraId="78EC2584" w14:textId="77777777" w:rsidR="000F6636" w:rsidRPr="00543FD2" w:rsidRDefault="000F6636" w:rsidP="00484DB0">
            <w:pPr>
              <w:rPr>
                <w:rFonts w:cs="Times New Roman"/>
                <w:color w:val="000000"/>
                <w:sz w:val="18"/>
                <w:szCs w:val="18"/>
              </w:rPr>
            </w:pPr>
            <w:r w:rsidRPr="00543FD2">
              <w:rPr>
                <w:rFonts w:cs="Times New Roman"/>
                <w:color w:val="000000"/>
                <w:sz w:val="18"/>
                <w:szCs w:val="18"/>
              </w:rPr>
              <w:t xml:space="preserve">3. Zmena príjmov z titulu opatrení </w:t>
            </w:r>
          </w:p>
        </w:tc>
        <w:tc>
          <w:tcPr>
            <w:tcW w:w="650" w:type="dxa"/>
            <w:tcBorders>
              <w:top w:val="nil"/>
              <w:left w:val="nil"/>
              <w:bottom w:val="nil"/>
              <w:right w:val="nil"/>
            </w:tcBorders>
            <w:shd w:val="clear" w:color="auto" w:fill="auto"/>
            <w:vAlign w:val="center"/>
            <w:hideMark/>
          </w:tcPr>
          <w:p w14:paraId="166828F9" w14:textId="77777777" w:rsidR="000F6636" w:rsidRPr="00543FD2" w:rsidRDefault="000F6636" w:rsidP="00484DB0">
            <w:pPr>
              <w:jc w:val="center"/>
              <w:rPr>
                <w:rFonts w:cs="Times New Roman"/>
                <w:color w:val="000000"/>
                <w:sz w:val="18"/>
                <w:szCs w:val="18"/>
              </w:rPr>
            </w:pPr>
            <w:r w:rsidRPr="00543FD2">
              <w:rPr>
                <w:color w:val="000000"/>
                <w:sz w:val="18"/>
                <w:szCs w:val="18"/>
              </w:rPr>
              <w:t>36</w:t>
            </w:r>
          </w:p>
        </w:tc>
        <w:tc>
          <w:tcPr>
            <w:tcW w:w="840" w:type="dxa"/>
            <w:tcBorders>
              <w:top w:val="nil"/>
              <w:left w:val="nil"/>
              <w:bottom w:val="nil"/>
              <w:right w:val="nil"/>
            </w:tcBorders>
            <w:shd w:val="clear" w:color="auto" w:fill="auto"/>
            <w:vAlign w:val="center"/>
            <w:hideMark/>
          </w:tcPr>
          <w:p w14:paraId="34F8A137"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c>
          <w:tcPr>
            <w:tcW w:w="650" w:type="dxa"/>
            <w:tcBorders>
              <w:top w:val="nil"/>
              <w:left w:val="nil"/>
              <w:bottom w:val="nil"/>
              <w:right w:val="nil"/>
            </w:tcBorders>
            <w:shd w:val="clear" w:color="auto" w:fill="auto"/>
            <w:vAlign w:val="center"/>
            <w:hideMark/>
          </w:tcPr>
          <w:p w14:paraId="414D7CC5" w14:textId="77777777" w:rsidR="000F6636" w:rsidRPr="00543FD2" w:rsidRDefault="000F6636" w:rsidP="00484DB0">
            <w:pPr>
              <w:jc w:val="center"/>
              <w:rPr>
                <w:rFonts w:cs="Times New Roman"/>
                <w:color w:val="000000"/>
                <w:sz w:val="18"/>
                <w:szCs w:val="18"/>
              </w:rPr>
            </w:pPr>
            <w:r w:rsidRPr="00543FD2">
              <w:rPr>
                <w:color w:val="000000"/>
                <w:sz w:val="18"/>
                <w:szCs w:val="18"/>
              </w:rPr>
              <w:t>0,9</w:t>
            </w:r>
          </w:p>
        </w:tc>
        <w:tc>
          <w:tcPr>
            <w:tcW w:w="650" w:type="dxa"/>
            <w:tcBorders>
              <w:top w:val="nil"/>
              <w:left w:val="nil"/>
              <w:bottom w:val="nil"/>
              <w:right w:val="nil"/>
            </w:tcBorders>
            <w:shd w:val="clear" w:color="auto" w:fill="auto"/>
            <w:vAlign w:val="center"/>
            <w:hideMark/>
          </w:tcPr>
          <w:p w14:paraId="54B85779"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c>
          <w:tcPr>
            <w:tcW w:w="650" w:type="dxa"/>
            <w:tcBorders>
              <w:top w:val="nil"/>
              <w:left w:val="nil"/>
              <w:bottom w:val="nil"/>
              <w:right w:val="nil"/>
            </w:tcBorders>
            <w:shd w:val="clear" w:color="auto" w:fill="auto"/>
            <w:vAlign w:val="center"/>
            <w:hideMark/>
          </w:tcPr>
          <w:p w14:paraId="3F00A8DB" w14:textId="5A629269" w:rsidR="000F6636" w:rsidRPr="00543FD2" w:rsidRDefault="00901ECB" w:rsidP="00484DB0">
            <w:pPr>
              <w:jc w:val="center"/>
              <w:rPr>
                <w:rFonts w:cs="Times New Roman"/>
                <w:color w:val="000000"/>
                <w:sz w:val="18"/>
                <w:szCs w:val="18"/>
              </w:rPr>
            </w:pPr>
            <w:r>
              <w:rPr>
                <w:color w:val="000000"/>
                <w:sz w:val="18"/>
                <w:szCs w:val="18"/>
              </w:rPr>
              <w:t>-0</w:t>
            </w:r>
            <w:r w:rsidR="000F6636" w:rsidRPr="00543FD2">
              <w:rPr>
                <w:color w:val="000000"/>
                <w:sz w:val="18"/>
                <w:szCs w:val="18"/>
              </w:rPr>
              <w:t>,</w:t>
            </w:r>
            <w:r>
              <w:rPr>
                <w:color w:val="000000"/>
                <w:sz w:val="18"/>
                <w:szCs w:val="18"/>
              </w:rPr>
              <w:t>1</w:t>
            </w:r>
          </w:p>
        </w:tc>
        <w:tc>
          <w:tcPr>
            <w:tcW w:w="653" w:type="dxa"/>
            <w:tcBorders>
              <w:top w:val="nil"/>
              <w:left w:val="nil"/>
              <w:bottom w:val="nil"/>
              <w:right w:val="nil"/>
            </w:tcBorders>
            <w:shd w:val="clear" w:color="auto" w:fill="auto"/>
            <w:vAlign w:val="center"/>
            <w:hideMark/>
          </w:tcPr>
          <w:p w14:paraId="175AA29E"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r>
      <w:tr w:rsidR="000F6636" w:rsidRPr="00543FD2" w14:paraId="077B92FE" w14:textId="77777777" w:rsidTr="00484DB0">
        <w:trPr>
          <w:trHeight w:val="283"/>
        </w:trPr>
        <w:tc>
          <w:tcPr>
            <w:tcW w:w="5045" w:type="dxa"/>
            <w:tcBorders>
              <w:top w:val="nil"/>
              <w:left w:val="nil"/>
              <w:bottom w:val="single" w:sz="8" w:space="0" w:color="auto"/>
              <w:right w:val="nil"/>
            </w:tcBorders>
            <w:shd w:val="clear" w:color="000000" w:fill="FFFFFF"/>
            <w:vAlign w:val="center"/>
            <w:hideMark/>
          </w:tcPr>
          <w:p w14:paraId="7BFB0E73" w14:textId="77777777" w:rsidR="000F6636" w:rsidRPr="00543FD2" w:rsidRDefault="000F6636" w:rsidP="00484DB0">
            <w:pPr>
              <w:rPr>
                <w:rFonts w:cs="Times New Roman"/>
                <w:color w:val="000000"/>
                <w:sz w:val="18"/>
                <w:szCs w:val="18"/>
              </w:rPr>
            </w:pPr>
            <w:r w:rsidRPr="00543FD2">
              <w:rPr>
                <w:rFonts w:cs="Times New Roman"/>
                <w:color w:val="000000"/>
                <w:sz w:val="18"/>
                <w:szCs w:val="18"/>
              </w:rPr>
              <w:t>4. Automatická zmena príjmov z dôvodu uplatňovania legislatívy</w:t>
            </w:r>
          </w:p>
        </w:tc>
        <w:tc>
          <w:tcPr>
            <w:tcW w:w="650" w:type="dxa"/>
            <w:tcBorders>
              <w:top w:val="nil"/>
              <w:left w:val="nil"/>
              <w:bottom w:val="single" w:sz="4" w:space="0" w:color="auto"/>
              <w:right w:val="nil"/>
            </w:tcBorders>
            <w:shd w:val="clear" w:color="auto" w:fill="auto"/>
            <w:vAlign w:val="center"/>
            <w:hideMark/>
          </w:tcPr>
          <w:p w14:paraId="69663F2C" w14:textId="77777777" w:rsidR="000F6636" w:rsidRPr="00543FD2" w:rsidRDefault="000F6636" w:rsidP="00484DB0">
            <w:pPr>
              <w:jc w:val="center"/>
              <w:rPr>
                <w:rFonts w:cs="Times New Roman"/>
                <w:color w:val="000000"/>
                <w:sz w:val="18"/>
                <w:szCs w:val="18"/>
              </w:rPr>
            </w:pPr>
            <w:r w:rsidRPr="00543FD2">
              <w:rPr>
                <w:color w:val="000000"/>
                <w:sz w:val="18"/>
                <w:szCs w:val="18"/>
              </w:rPr>
              <w:t>0</w:t>
            </w:r>
          </w:p>
        </w:tc>
        <w:tc>
          <w:tcPr>
            <w:tcW w:w="840" w:type="dxa"/>
            <w:tcBorders>
              <w:top w:val="nil"/>
              <w:left w:val="nil"/>
              <w:bottom w:val="single" w:sz="4" w:space="0" w:color="auto"/>
              <w:right w:val="nil"/>
            </w:tcBorders>
            <w:shd w:val="clear" w:color="auto" w:fill="auto"/>
            <w:vAlign w:val="center"/>
            <w:hideMark/>
          </w:tcPr>
          <w:p w14:paraId="12925C52"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c>
          <w:tcPr>
            <w:tcW w:w="650" w:type="dxa"/>
            <w:tcBorders>
              <w:top w:val="nil"/>
              <w:left w:val="nil"/>
              <w:bottom w:val="single" w:sz="4" w:space="0" w:color="auto"/>
              <w:right w:val="nil"/>
            </w:tcBorders>
            <w:shd w:val="clear" w:color="auto" w:fill="auto"/>
            <w:vAlign w:val="center"/>
            <w:hideMark/>
          </w:tcPr>
          <w:p w14:paraId="13EC6765"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c>
          <w:tcPr>
            <w:tcW w:w="650" w:type="dxa"/>
            <w:tcBorders>
              <w:top w:val="nil"/>
              <w:left w:val="nil"/>
              <w:bottom w:val="single" w:sz="4" w:space="0" w:color="auto"/>
              <w:right w:val="nil"/>
            </w:tcBorders>
            <w:shd w:val="clear" w:color="auto" w:fill="auto"/>
            <w:vAlign w:val="center"/>
            <w:hideMark/>
          </w:tcPr>
          <w:p w14:paraId="6F474A9B"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c>
          <w:tcPr>
            <w:tcW w:w="650" w:type="dxa"/>
            <w:tcBorders>
              <w:top w:val="nil"/>
              <w:left w:val="nil"/>
              <w:bottom w:val="single" w:sz="4" w:space="0" w:color="auto"/>
              <w:right w:val="nil"/>
            </w:tcBorders>
            <w:shd w:val="clear" w:color="auto" w:fill="auto"/>
            <w:vAlign w:val="center"/>
            <w:hideMark/>
          </w:tcPr>
          <w:p w14:paraId="1D061000"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c>
          <w:tcPr>
            <w:tcW w:w="653" w:type="dxa"/>
            <w:tcBorders>
              <w:top w:val="nil"/>
              <w:left w:val="nil"/>
              <w:bottom w:val="single" w:sz="4" w:space="0" w:color="auto"/>
              <w:right w:val="nil"/>
            </w:tcBorders>
            <w:shd w:val="clear" w:color="auto" w:fill="auto"/>
            <w:vAlign w:val="center"/>
            <w:hideMark/>
          </w:tcPr>
          <w:p w14:paraId="0CA094DD" w14:textId="77777777" w:rsidR="000F6636" w:rsidRPr="00543FD2" w:rsidRDefault="000F6636" w:rsidP="00484DB0">
            <w:pPr>
              <w:jc w:val="center"/>
              <w:rPr>
                <w:rFonts w:cs="Times New Roman"/>
                <w:color w:val="000000"/>
                <w:sz w:val="18"/>
                <w:szCs w:val="18"/>
              </w:rPr>
            </w:pPr>
            <w:r w:rsidRPr="00543FD2">
              <w:rPr>
                <w:color w:val="000000"/>
                <w:sz w:val="18"/>
                <w:szCs w:val="18"/>
              </w:rPr>
              <w:t>0,0</w:t>
            </w:r>
          </w:p>
        </w:tc>
      </w:tr>
      <w:tr w:rsidR="000F6636" w:rsidRPr="00543FD2" w14:paraId="5D86A53F" w14:textId="77777777" w:rsidTr="00484DB0">
        <w:trPr>
          <w:trHeight w:val="283"/>
        </w:trPr>
        <w:tc>
          <w:tcPr>
            <w:tcW w:w="5045" w:type="dxa"/>
            <w:tcBorders>
              <w:top w:val="single" w:sz="8" w:space="0" w:color="auto"/>
              <w:left w:val="nil"/>
              <w:bottom w:val="nil"/>
              <w:right w:val="nil"/>
            </w:tcBorders>
            <w:shd w:val="clear" w:color="auto" w:fill="auto"/>
            <w:vAlign w:val="center"/>
            <w:hideMark/>
          </w:tcPr>
          <w:p w14:paraId="2AC2D04C" w14:textId="77777777" w:rsidR="000F6636" w:rsidRPr="00543FD2" w:rsidRDefault="000F6636" w:rsidP="00484DB0">
            <w:pPr>
              <w:jc w:val="center"/>
              <w:rPr>
                <w:rFonts w:cs="Times New Roman"/>
                <w:color w:val="000000"/>
                <w:sz w:val="18"/>
                <w:szCs w:val="18"/>
              </w:rPr>
            </w:pPr>
          </w:p>
        </w:tc>
        <w:tc>
          <w:tcPr>
            <w:tcW w:w="650" w:type="dxa"/>
            <w:tcBorders>
              <w:top w:val="single" w:sz="8" w:space="0" w:color="auto"/>
              <w:left w:val="nil"/>
              <w:bottom w:val="nil"/>
              <w:right w:val="nil"/>
            </w:tcBorders>
            <w:shd w:val="clear" w:color="auto" w:fill="auto"/>
            <w:vAlign w:val="center"/>
            <w:hideMark/>
          </w:tcPr>
          <w:p w14:paraId="0EBDCC07" w14:textId="77777777" w:rsidR="000F6636" w:rsidRPr="00543FD2" w:rsidRDefault="000F6636" w:rsidP="00484DB0">
            <w:pPr>
              <w:rPr>
                <w:rFonts w:ascii="Times New Roman" w:hAnsi="Times New Roman" w:cs="Times New Roman"/>
                <w:sz w:val="18"/>
                <w:szCs w:val="18"/>
              </w:rPr>
            </w:pPr>
          </w:p>
        </w:tc>
        <w:tc>
          <w:tcPr>
            <w:tcW w:w="840" w:type="dxa"/>
            <w:tcBorders>
              <w:top w:val="single" w:sz="8" w:space="0" w:color="auto"/>
              <w:left w:val="nil"/>
              <w:bottom w:val="nil"/>
              <w:right w:val="nil"/>
            </w:tcBorders>
            <w:shd w:val="clear" w:color="auto" w:fill="auto"/>
            <w:vAlign w:val="center"/>
            <w:hideMark/>
          </w:tcPr>
          <w:p w14:paraId="2248E8E9" w14:textId="77777777" w:rsidR="000F6636" w:rsidRPr="00543FD2" w:rsidRDefault="000F6636" w:rsidP="00484DB0">
            <w:pPr>
              <w:rPr>
                <w:rFonts w:ascii="Times New Roman" w:hAnsi="Times New Roman" w:cs="Times New Roman"/>
                <w:sz w:val="18"/>
                <w:szCs w:val="18"/>
              </w:rPr>
            </w:pPr>
          </w:p>
        </w:tc>
        <w:tc>
          <w:tcPr>
            <w:tcW w:w="650" w:type="dxa"/>
            <w:tcBorders>
              <w:top w:val="single" w:sz="8" w:space="0" w:color="auto"/>
              <w:left w:val="nil"/>
              <w:bottom w:val="nil"/>
              <w:right w:val="nil"/>
            </w:tcBorders>
            <w:shd w:val="clear" w:color="auto" w:fill="auto"/>
            <w:vAlign w:val="center"/>
            <w:hideMark/>
          </w:tcPr>
          <w:p w14:paraId="621BE73E" w14:textId="77777777" w:rsidR="000F6636" w:rsidRPr="00543FD2" w:rsidRDefault="000F6636" w:rsidP="00484DB0">
            <w:pPr>
              <w:rPr>
                <w:rFonts w:ascii="Times New Roman" w:hAnsi="Times New Roman" w:cs="Times New Roman"/>
                <w:sz w:val="18"/>
                <w:szCs w:val="18"/>
              </w:rPr>
            </w:pPr>
          </w:p>
        </w:tc>
        <w:tc>
          <w:tcPr>
            <w:tcW w:w="650" w:type="dxa"/>
            <w:tcBorders>
              <w:top w:val="single" w:sz="8" w:space="0" w:color="auto"/>
              <w:left w:val="nil"/>
              <w:bottom w:val="nil"/>
              <w:right w:val="nil"/>
            </w:tcBorders>
            <w:shd w:val="clear" w:color="auto" w:fill="auto"/>
            <w:vAlign w:val="center"/>
            <w:hideMark/>
          </w:tcPr>
          <w:p w14:paraId="638322FE" w14:textId="77777777" w:rsidR="000F6636" w:rsidRPr="00543FD2" w:rsidRDefault="000F6636" w:rsidP="00484DB0">
            <w:pPr>
              <w:rPr>
                <w:rFonts w:ascii="Times New Roman" w:hAnsi="Times New Roman" w:cs="Times New Roman"/>
                <w:sz w:val="18"/>
                <w:szCs w:val="18"/>
              </w:rPr>
            </w:pPr>
          </w:p>
        </w:tc>
        <w:tc>
          <w:tcPr>
            <w:tcW w:w="1303" w:type="dxa"/>
            <w:gridSpan w:val="2"/>
            <w:tcBorders>
              <w:top w:val="single" w:sz="8" w:space="0" w:color="auto"/>
              <w:left w:val="nil"/>
              <w:bottom w:val="nil"/>
              <w:right w:val="nil"/>
            </w:tcBorders>
            <w:shd w:val="clear" w:color="auto" w:fill="auto"/>
            <w:vAlign w:val="center"/>
            <w:hideMark/>
          </w:tcPr>
          <w:p w14:paraId="38E25293" w14:textId="77777777" w:rsidR="000F6636" w:rsidRPr="00543FD2" w:rsidRDefault="000F6636" w:rsidP="00484DB0">
            <w:pPr>
              <w:jc w:val="right"/>
              <w:rPr>
                <w:rFonts w:cs="Times New Roman"/>
                <w:i/>
                <w:iCs/>
                <w:color w:val="000000"/>
                <w:sz w:val="18"/>
                <w:szCs w:val="18"/>
              </w:rPr>
            </w:pPr>
            <w:r w:rsidRPr="00543FD2">
              <w:rPr>
                <w:rFonts w:cs="Times New Roman"/>
                <w:i/>
                <w:iCs/>
                <w:color w:val="000000"/>
                <w:sz w:val="16"/>
                <w:szCs w:val="18"/>
              </w:rPr>
              <w:t>Zdroj: MF SR</w:t>
            </w:r>
          </w:p>
        </w:tc>
      </w:tr>
    </w:tbl>
    <w:p w14:paraId="117E458B" w14:textId="77777777" w:rsidR="000F6636" w:rsidRPr="0088520B" w:rsidRDefault="000F6636" w:rsidP="000F6636">
      <w:pPr>
        <w:rPr>
          <w:color w:val="5B9BD5"/>
          <w:sz w:val="18"/>
          <w:szCs w:val="18"/>
          <w:highlight w:val="yellow"/>
        </w:rPr>
      </w:pPr>
    </w:p>
    <w:tbl>
      <w:tblPr>
        <w:tblW w:w="9138" w:type="dxa"/>
        <w:tblCellMar>
          <w:left w:w="70" w:type="dxa"/>
          <w:right w:w="70" w:type="dxa"/>
        </w:tblCellMar>
        <w:tblLook w:val="04A0" w:firstRow="1" w:lastRow="0" w:firstColumn="1" w:lastColumn="0" w:noHBand="0" w:noVBand="1"/>
      </w:tblPr>
      <w:tblGrid>
        <w:gridCol w:w="3772"/>
        <w:gridCol w:w="1291"/>
        <w:gridCol w:w="1493"/>
        <w:gridCol w:w="968"/>
        <w:gridCol w:w="1614"/>
      </w:tblGrid>
      <w:tr w:rsidR="000F6636" w:rsidRPr="0088520B" w14:paraId="63D7F397" w14:textId="77777777" w:rsidTr="00484DB0">
        <w:trPr>
          <w:trHeight w:val="283"/>
        </w:trPr>
        <w:tc>
          <w:tcPr>
            <w:tcW w:w="9138" w:type="dxa"/>
            <w:gridSpan w:val="5"/>
            <w:tcBorders>
              <w:top w:val="nil"/>
              <w:left w:val="nil"/>
              <w:bottom w:val="single" w:sz="8" w:space="0" w:color="auto"/>
              <w:right w:val="nil"/>
            </w:tcBorders>
            <w:shd w:val="clear" w:color="auto" w:fill="auto"/>
            <w:noWrap/>
            <w:vAlign w:val="bottom"/>
            <w:hideMark/>
          </w:tcPr>
          <w:p w14:paraId="343EAF4D" w14:textId="77777777" w:rsidR="000F6636" w:rsidRPr="00A060D4" w:rsidRDefault="000F6636" w:rsidP="00484DB0">
            <w:pPr>
              <w:rPr>
                <w:rFonts w:eastAsia="Calibri"/>
                <w:b/>
                <w:color w:val="2C9ADC"/>
                <w:sz w:val="18"/>
                <w:szCs w:val="18"/>
              </w:rPr>
            </w:pPr>
            <w:bookmarkStart w:id="265" w:name="_Toc480905417"/>
            <w:bookmarkStart w:id="266" w:name="_Toc6314224"/>
            <w:bookmarkStart w:id="267" w:name="_Toc71622464"/>
            <w:r w:rsidRPr="00A060D4">
              <w:rPr>
                <w:rFonts w:eastAsia="Calibri"/>
                <w:b/>
                <w:color w:val="2C9ADC"/>
                <w:sz w:val="20"/>
                <w:szCs w:val="18"/>
              </w:rPr>
              <w:t>Tabuľka 3 – Výdavky verejnej správy (% HDP)</w:t>
            </w:r>
            <w:bookmarkEnd w:id="265"/>
            <w:bookmarkEnd w:id="266"/>
            <w:bookmarkEnd w:id="267"/>
          </w:p>
        </w:tc>
      </w:tr>
      <w:tr w:rsidR="000F6636" w:rsidRPr="0088520B" w14:paraId="389F7C53" w14:textId="77777777" w:rsidTr="00143757">
        <w:trPr>
          <w:trHeight w:val="283"/>
        </w:trPr>
        <w:tc>
          <w:tcPr>
            <w:tcW w:w="3772" w:type="dxa"/>
            <w:tcBorders>
              <w:top w:val="single" w:sz="8" w:space="0" w:color="auto"/>
              <w:left w:val="nil"/>
              <w:right w:val="nil"/>
            </w:tcBorders>
            <w:shd w:val="clear" w:color="000000" w:fill="FFFFFF"/>
            <w:vAlign w:val="center"/>
          </w:tcPr>
          <w:p w14:paraId="6EA8C0CB" w14:textId="77777777" w:rsidR="000F6636" w:rsidRPr="00543FD2" w:rsidRDefault="000F6636" w:rsidP="00484DB0">
            <w:pPr>
              <w:rPr>
                <w:rFonts w:cs="Times New Roman"/>
                <w:sz w:val="18"/>
                <w:szCs w:val="18"/>
              </w:rPr>
            </w:pPr>
          </w:p>
        </w:tc>
        <w:tc>
          <w:tcPr>
            <w:tcW w:w="1291" w:type="dxa"/>
            <w:tcBorders>
              <w:top w:val="single" w:sz="8" w:space="0" w:color="auto"/>
              <w:left w:val="nil"/>
              <w:right w:val="nil"/>
            </w:tcBorders>
            <w:shd w:val="clear" w:color="000000" w:fill="FFFFFF"/>
            <w:vAlign w:val="center"/>
          </w:tcPr>
          <w:p w14:paraId="5AF91CE3" w14:textId="77777777" w:rsidR="000F6636" w:rsidRPr="00543FD2" w:rsidRDefault="000F6636" w:rsidP="00484DB0">
            <w:pPr>
              <w:tabs>
                <w:tab w:val="left" w:pos="510"/>
                <w:tab w:val="center" w:pos="570"/>
              </w:tabs>
              <w:jc w:val="center"/>
              <w:rPr>
                <w:rFonts w:cs="Times New Roman"/>
                <w:sz w:val="18"/>
                <w:szCs w:val="18"/>
              </w:rPr>
            </w:pPr>
            <w:r w:rsidRPr="00543FD2">
              <w:rPr>
                <w:rFonts w:cs="Times New Roman"/>
                <w:b/>
                <w:bCs/>
                <w:sz w:val="18"/>
                <w:szCs w:val="18"/>
              </w:rPr>
              <w:t>COFOG kód</w:t>
            </w:r>
          </w:p>
        </w:tc>
        <w:tc>
          <w:tcPr>
            <w:tcW w:w="1493" w:type="dxa"/>
            <w:tcBorders>
              <w:top w:val="nil"/>
              <w:left w:val="nil"/>
              <w:right w:val="nil"/>
            </w:tcBorders>
            <w:shd w:val="clear" w:color="auto" w:fill="auto"/>
            <w:vAlign w:val="center"/>
          </w:tcPr>
          <w:p w14:paraId="21D61519" w14:textId="77777777" w:rsidR="000F6636" w:rsidRPr="00543FD2" w:rsidRDefault="000F6636" w:rsidP="00484DB0">
            <w:pPr>
              <w:jc w:val="center"/>
              <w:rPr>
                <w:rFonts w:cs="Times New Roman"/>
                <w:b/>
                <w:sz w:val="18"/>
                <w:szCs w:val="18"/>
              </w:rPr>
            </w:pPr>
          </w:p>
        </w:tc>
        <w:tc>
          <w:tcPr>
            <w:tcW w:w="968" w:type="dxa"/>
            <w:tcBorders>
              <w:top w:val="nil"/>
              <w:left w:val="nil"/>
              <w:right w:val="nil"/>
            </w:tcBorders>
            <w:shd w:val="clear" w:color="auto" w:fill="auto"/>
            <w:vAlign w:val="center"/>
          </w:tcPr>
          <w:p w14:paraId="2CF41163" w14:textId="6C20610C" w:rsidR="00E21419" w:rsidRPr="00143757" w:rsidRDefault="000F6636" w:rsidP="00143757">
            <w:pPr>
              <w:jc w:val="center"/>
              <w:rPr>
                <w:rFonts w:cs="Times New Roman"/>
                <w:b/>
                <w:sz w:val="18"/>
                <w:szCs w:val="18"/>
              </w:rPr>
            </w:pPr>
            <w:r w:rsidRPr="00E21419">
              <w:rPr>
                <w:rFonts w:cs="Times New Roman"/>
                <w:b/>
                <w:sz w:val="18"/>
                <w:szCs w:val="18"/>
              </w:rPr>
              <w:t>2022</w:t>
            </w:r>
          </w:p>
        </w:tc>
        <w:tc>
          <w:tcPr>
            <w:tcW w:w="1614" w:type="dxa"/>
            <w:tcBorders>
              <w:top w:val="nil"/>
              <w:left w:val="nil"/>
              <w:right w:val="nil"/>
            </w:tcBorders>
            <w:shd w:val="clear" w:color="auto" w:fill="auto"/>
            <w:vAlign w:val="center"/>
          </w:tcPr>
          <w:p w14:paraId="2A4BCA60" w14:textId="297C2EB8" w:rsidR="00E21419" w:rsidRPr="00A060D4" w:rsidRDefault="000F6636" w:rsidP="00143757">
            <w:pPr>
              <w:jc w:val="center"/>
              <w:rPr>
                <w:b/>
                <w:sz w:val="18"/>
                <w:szCs w:val="18"/>
              </w:rPr>
            </w:pPr>
            <w:r w:rsidRPr="00A060D4">
              <w:rPr>
                <w:b/>
                <w:sz w:val="18"/>
                <w:szCs w:val="18"/>
              </w:rPr>
              <w:t>2027</w:t>
            </w:r>
          </w:p>
        </w:tc>
      </w:tr>
      <w:tr w:rsidR="00143757" w:rsidRPr="0088520B" w14:paraId="34F3C464" w14:textId="77777777" w:rsidTr="00143757">
        <w:trPr>
          <w:trHeight w:val="283"/>
        </w:trPr>
        <w:tc>
          <w:tcPr>
            <w:tcW w:w="3772" w:type="dxa"/>
            <w:tcBorders>
              <w:left w:val="nil"/>
              <w:bottom w:val="single" w:sz="4" w:space="0" w:color="auto"/>
              <w:right w:val="nil"/>
            </w:tcBorders>
            <w:shd w:val="clear" w:color="000000" w:fill="FFFFFF"/>
            <w:vAlign w:val="center"/>
          </w:tcPr>
          <w:p w14:paraId="4F181215" w14:textId="77777777" w:rsidR="00143757" w:rsidRPr="00543FD2" w:rsidRDefault="00143757" w:rsidP="00484DB0">
            <w:pPr>
              <w:rPr>
                <w:rFonts w:cs="Times New Roman"/>
                <w:sz w:val="18"/>
                <w:szCs w:val="18"/>
              </w:rPr>
            </w:pPr>
          </w:p>
        </w:tc>
        <w:tc>
          <w:tcPr>
            <w:tcW w:w="1291" w:type="dxa"/>
            <w:tcBorders>
              <w:left w:val="nil"/>
              <w:bottom w:val="single" w:sz="4" w:space="0" w:color="auto"/>
              <w:right w:val="nil"/>
            </w:tcBorders>
            <w:shd w:val="clear" w:color="000000" w:fill="FFFFFF"/>
            <w:vAlign w:val="center"/>
          </w:tcPr>
          <w:p w14:paraId="697A80F4" w14:textId="77777777" w:rsidR="00143757" w:rsidRPr="00543FD2" w:rsidRDefault="00143757" w:rsidP="00484DB0">
            <w:pPr>
              <w:tabs>
                <w:tab w:val="left" w:pos="510"/>
                <w:tab w:val="center" w:pos="570"/>
              </w:tabs>
              <w:jc w:val="center"/>
              <w:rPr>
                <w:rFonts w:cs="Times New Roman"/>
                <w:b/>
                <w:bCs/>
                <w:sz w:val="18"/>
                <w:szCs w:val="18"/>
              </w:rPr>
            </w:pPr>
          </w:p>
        </w:tc>
        <w:tc>
          <w:tcPr>
            <w:tcW w:w="1493" w:type="dxa"/>
            <w:tcBorders>
              <w:left w:val="nil"/>
              <w:bottom w:val="single" w:sz="4" w:space="0" w:color="auto"/>
              <w:right w:val="nil"/>
            </w:tcBorders>
            <w:shd w:val="clear" w:color="auto" w:fill="auto"/>
            <w:vAlign w:val="center"/>
          </w:tcPr>
          <w:p w14:paraId="1BB1F4F9" w14:textId="77777777" w:rsidR="00143757" w:rsidRPr="00143757" w:rsidRDefault="00143757" w:rsidP="00484DB0">
            <w:pPr>
              <w:jc w:val="center"/>
              <w:rPr>
                <w:rFonts w:cs="Times New Roman"/>
                <w:bCs/>
                <w:sz w:val="18"/>
                <w:szCs w:val="18"/>
              </w:rPr>
            </w:pPr>
          </w:p>
        </w:tc>
        <w:tc>
          <w:tcPr>
            <w:tcW w:w="968" w:type="dxa"/>
            <w:tcBorders>
              <w:left w:val="nil"/>
              <w:bottom w:val="single" w:sz="4" w:space="0" w:color="auto"/>
              <w:right w:val="nil"/>
            </w:tcBorders>
            <w:shd w:val="clear" w:color="auto" w:fill="auto"/>
            <w:vAlign w:val="center"/>
          </w:tcPr>
          <w:p w14:paraId="150FB041" w14:textId="61D95F49" w:rsidR="00143757" w:rsidRPr="00143757" w:rsidRDefault="00143757" w:rsidP="00484DB0">
            <w:pPr>
              <w:jc w:val="center"/>
              <w:rPr>
                <w:rFonts w:cs="Times New Roman"/>
                <w:bCs/>
                <w:sz w:val="18"/>
                <w:szCs w:val="18"/>
              </w:rPr>
            </w:pPr>
            <w:r w:rsidRPr="00143757">
              <w:rPr>
                <w:rFonts w:cs="Times New Roman"/>
                <w:bCs/>
                <w:sz w:val="18"/>
                <w:szCs w:val="18"/>
              </w:rPr>
              <w:t>% HDP</w:t>
            </w:r>
          </w:p>
        </w:tc>
        <w:tc>
          <w:tcPr>
            <w:tcW w:w="1614" w:type="dxa"/>
            <w:tcBorders>
              <w:left w:val="nil"/>
              <w:bottom w:val="single" w:sz="4" w:space="0" w:color="auto"/>
              <w:right w:val="nil"/>
            </w:tcBorders>
            <w:shd w:val="clear" w:color="auto" w:fill="auto"/>
            <w:vAlign w:val="center"/>
          </w:tcPr>
          <w:p w14:paraId="15E95F25" w14:textId="2AE61E46" w:rsidR="00143757" w:rsidRPr="00A060D4" w:rsidRDefault="00143757" w:rsidP="00484DB0">
            <w:pPr>
              <w:jc w:val="center"/>
              <w:rPr>
                <w:bCs/>
                <w:sz w:val="18"/>
                <w:szCs w:val="18"/>
              </w:rPr>
            </w:pPr>
            <w:r w:rsidRPr="00A060D4">
              <w:rPr>
                <w:bCs/>
                <w:sz w:val="18"/>
                <w:szCs w:val="18"/>
              </w:rPr>
              <w:t>% HDP</w:t>
            </w:r>
          </w:p>
        </w:tc>
      </w:tr>
      <w:tr w:rsidR="000F6636" w:rsidRPr="0088520B" w14:paraId="7F3CB138" w14:textId="77777777" w:rsidTr="00143757">
        <w:trPr>
          <w:trHeight w:val="283"/>
        </w:trPr>
        <w:tc>
          <w:tcPr>
            <w:tcW w:w="3772" w:type="dxa"/>
            <w:tcBorders>
              <w:top w:val="single" w:sz="4" w:space="0" w:color="auto"/>
              <w:left w:val="nil"/>
              <w:bottom w:val="nil"/>
              <w:right w:val="nil"/>
            </w:tcBorders>
            <w:shd w:val="clear" w:color="000000" w:fill="FFFFFF"/>
            <w:vAlign w:val="center"/>
            <w:hideMark/>
          </w:tcPr>
          <w:p w14:paraId="59713F83" w14:textId="77777777" w:rsidR="000F6636" w:rsidRPr="00543FD2" w:rsidRDefault="000F6636" w:rsidP="00484DB0">
            <w:pPr>
              <w:rPr>
                <w:rFonts w:cs="Times New Roman"/>
                <w:sz w:val="18"/>
                <w:szCs w:val="18"/>
              </w:rPr>
            </w:pPr>
            <w:r w:rsidRPr="00543FD2">
              <w:rPr>
                <w:rFonts w:cs="Times New Roman"/>
                <w:sz w:val="18"/>
                <w:szCs w:val="18"/>
              </w:rPr>
              <w:t>1. Všeobecné verejné služby</w:t>
            </w:r>
          </w:p>
        </w:tc>
        <w:tc>
          <w:tcPr>
            <w:tcW w:w="1291" w:type="dxa"/>
            <w:tcBorders>
              <w:top w:val="single" w:sz="4" w:space="0" w:color="auto"/>
              <w:left w:val="nil"/>
              <w:bottom w:val="nil"/>
              <w:right w:val="nil"/>
            </w:tcBorders>
            <w:shd w:val="clear" w:color="000000" w:fill="FFFFFF"/>
            <w:vAlign w:val="center"/>
            <w:hideMark/>
          </w:tcPr>
          <w:p w14:paraId="689E69BE" w14:textId="77777777" w:rsidR="000F6636" w:rsidRPr="00543FD2" w:rsidRDefault="000F6636" w:rsidP="00484DB0">
            <w:pPr>
              <w:tabs>
                <w:tab w:val="left" w:pos="510"/>
                <w:tab w:val="center" w:pos="570"/>
              </w:tabs>
              <w:jc w:val="center"/>
              <w:rPr>
                <w:rFonts w:cs="Times New Roman"/>
                <w:sz w:val="18"/>
                <w:szCs w:val="18"/>
              </w:rPr>
            </w:pPr>
            <w:r w:rsidRPr="00543FD2">
              <w:rPr>
                <w:rFonts w:cs="Times New Roman"/>
                <w:sz w:val="18"/>
                <w:szCs w:val="18"/>
              </w:rPr>
              <w:t>1</w:t>
            </w:r>
          </w:p>
        </w:tc>
        <w:tc>
          <w:tcPr>
            <w:tcW w:w="1493" w:type="dxa"/>
            <w:tcBorders>
              <w:top w:val="single" w:sz="4" w:space="0" w:color="auto"/>
              <w:left w:val="nil"/>
              <w:bottom w:val="nil"/>
              <w:right w:val="nil"/>
            </w:tcBorders>
            <w:shd w:val="clear" w:color="auto" w:fill="auto"/>
            <w:vAlign w:val="center"/>
          </w:tcPr>
          <w:p w14:paraId="204B801B" w14:textId="77777777" w:rsidR="000F6636" w:rsidRPr="00543FD2" w:rsidRDefault="000F6636" w:rsidP="00484DB0">
            <w:pPr>
              <w:jc w:val="center"/>
              <w:rPr>
                <w:rFonts w:cs="Times New Roman"/>
                <w:sz w:val="18"/>
                <w:szCs w:val="18"/>
              </w:rPr>
            </w:pPr>
          </w:p>
        </w:tc>
        <w:tc>
          <w:tcPr>
            <w:tcW w:w="968" w:type="dxa"/>
            <w:tcBorders>
              <w:top w:val="single" w:sz="4" w:space="0" w:color="auto"/>
              <w:left w:val="nil"/>
              <w:bottom w:val="nil"/>
              <w:right w:val="nil"/>
            </w:tcBorders>
            <w:shd w:val="clear" w:color="auto" w:fill="auto"/>
            <w:vAlign w:val="center"/>
            <w:hideMark/>
          </w:tcPr>
          <w:p w14:paraId="0B7E5CBC" w14:textId="77777777" w:rsidR="000F6636" w:rsidRPr="0088520B" w:rsidRDefault="000F6636" w:rsidP="00484DB0">
            <w:pPr>
              <w:jc w:val="center"/>
              <w:rPr>
                <w:rFonts w:cs="Times New Roman"/>
                <w:sz w:val="18"/>
                <w:szCs w:val="18"/>
                <w:highlight w:val="yellow"/>
              </w:rPr>
            </w:pPr>
            <w:r>
              <w:rPr>
                <w:sz w:val="18"/>
                <w:szCs w:val="18"/>
              </w:rPr>
              <w:t>4,7</w:t>
            </w:r>
          </w:p>
        </w:tc>
        <w:tc>
          <w:tcPr>
            <w:tcW w:w="1614" w:type="dxa"/>
            <w:tcBorders>
              <w:top w:val="single" w:sz="4" w:space="0" w:color="auto"/>
              <w:left w:val="nil"/>
              <w:bottom w:val="nil"/>
              <w:right w:val="nil"/>
            </w:tcBorders>
            <w:shd w:val="clear" w:color="auto" w:fill="auto"/>
            <w:vAlign w:val="center"/>
            <w:hideMark/>
          </w:tcPr>
          <w:p w14:paraId="09B8525F" w14:textId="4E65FCD1" w:rsidR="000F6636" w:rsidRPr="00A060D4" w:rsidRDefault="00A060D4" w:rsidP="00484DB0">
            <w:pPr>
              <w:jc w:val="center"/>
              <w:rPr>
                <w:rFonts w:cs="Times New Roman"/>
                <w:sz w:val="18"/>
                <w:szCs w:val="18"/>
              </w:rPr>
            </w:pPr>
            <w:r w:rsidRPr="00A060D4">
              <w:rPr>
                <w:sz w:val="18"/>
                <w:szCs w:val="18"/>
              </w:rPr>
              <w:t>6,5</w:t>
            </w:r>
          </w:p>
        </w:tc>
      </w:tr>
      <w:tr w:rsidR="000F6636" w:rsidRPr="0088520B" w14:paraId="7274C73F" w14:textId="77777777" w:rsidTr="00484DB0">
        <w:trPr>
          <w:trHeight w:val="283"/>
        </w:trPr>
        <w:tc>
          <w:tcPr>
            <w:tcW w:w="3772" w:type="dxa"/>
            <w:tcBorders>
              <w:top w:val="nil"/>
              <w:left w:val="nil"/>
              <w:bottom w:val="nil"/>
              <w:right w:val="nil"/>
            </w:tcBorders>
            <w:shd w:val="clear" w:color="000000" w:fill="FFFFFF"/>
            <w:vAlign w:val="center"/>
            <w:hideMark/>
          </w:tcPr>
          <w:p w14:paraId="56679FB6" w14:textId="77777777" w:rsidR="000F6636" w:rsidRPr="00543FD2" w:rsidRDefault="000F6636" w:rsidP="00484DB0">
            <w:pPr>
              <w:rPr>
                <w:rFonts w:cs="Times New Roman"/>
                <w:sz w:val="18"/>
                <w:szCs w:val="18"/>
              </w:rPr>
            </w:pPr>
            <w:r w:rsidRPr="00543FD2">
              <w:rPr>
                <w:rFonts w:cs="Times New Roman"/>
                <w:sz w:val="18"/>
                <w:szCs w:val="18"/>
              </w:rPr>
              <w:t>2. Obrana</w:t>
            </w:r>
          </w:p>
        </w:tc>
        <w:tc>
          <w:tcPr>
            <w:tcW w:w="1291" w:type="dxa"/>
            <w:tcBorders>
              <w:top w:val="nil"/>
              <w:left w:val="nil"/>
              <w:bottom w:val="nil"/>
              <w:right w:val="nil"/>
            </w:tcBorders>
            <w:shd w:val="clear" w:color="000000" w:fill="FFFFFF"/>
            <w:vAlign w:val="center"/>
            <w:hideMark/>
          </w:tcPr>
          <w:p w14:paraId="6066F862" w14:textId="77777777" w:rsidR="000F6636" w:rsidRPr="00543FD2" w:rsidRDefault="000F6636" w:rsidP="00484DB0">
            <w:pPr>
              <w:jc w:val="center"/>
              <w:rPr>
                <w:rFonts w:cs="Times New Roman"/>
                <w:sz w:val="18"/>
                <w:szCs w:val="18"/>
              </w:rPr>
            </w:pPr>
            <w:r w:rsidRPr="00543FD2">
              <w:rPr>
                <w:rFonts w:cs="Times New Roman"/>
                <w:sz w:val="18"/>
                <w:szCs w:val="18"/>
              </w:rPr>
              <w:t>2</w:t>
            </w:r>
          </w:p>
        </w:tc>
        <w:tc>
          <w:tcPr>
            <w:tcW w:w="1493" w:type="dxa"/>
            <w:tcBorders>
              <w:top w:val="nil"/>
              <w:left w:val="nil"/>
              <w:bottom w:val="nil"/>
              <w:right w:val="nil"/>
            </w:tcBorders>
            <w:shd w:val="clear" w:color="auto" w:fill="auto"/>
            <w:vAlign w:val="center"/>
          </w:tcPr>
          <w:p w14:paraId="6953BDB0"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4CA0ECF7" w14:textId="77777777" w:rsidR="000F6636" w:rsidRPr="0088520B" w:rsidRDefault="000F6636" w:rsidP="00484DB0">
            <w:pPr>
              <w:jc w:val="center"/>
              <w:rPr>
                <w:rFonts w:cs="Times New Roman"/>
                <w:sz w:val="18"/>
                <w:szCs w:val="18"/>
                <w:highlight w:val="yellow"/>
              </w:rPr>
            </w:pPr>
            <w:r>
              <w:rPr>
                <w:sz w:val="18"/>
                <w:szCs w:val="18"/>
              </w:rPr>
              <w:t>1,5</w:t>
            </w:r>
          </w:p>
        </w:tc>
        <w:tc>
          <w:tcPr>
            <w:tcW w:w="1614" w:type="dxa"/>
            <w:tcBorders>
              <w:top w:val="nil"/>
              <w:left w:val="nil"/>
              <w:bottom w:val="nil"/>
              <w:right w:val="nil"/>
            </w:tcBorders>
            <w:shd w:val="clear" w:color="auto" w:fill="auto"/>
            <w:vAlign w:val="center"/>
            <w:hideMark/>
          </w:tcPr>
          <w:p w14:paraId="54AFAC60" w14:textId="55B723EC" w:rsidR="000F6636" w:rsidRPr="00A060D4" w:rsidRDefault="00A060D4" w:rsidP="00484DB0">
            <w:pPr>
              <w:jc w:val="center"/>
              <w:rPr>
                <w:rFonts w:cs="Times New Roman"/>
                <w:sz w:val="18"/>
                <w:szCs w:val="18"/>
              </w:rPr>
            </w:pPr>
            <w:r w:rsidRPr="00A060D4">
              <w:rPr>
                <w:sz w:val="18"/>
                <w:szCs w:val="18"/>
              </w:rPr>
              <w:t>1,8</w:t>
            </w:r>
          </w:p>
        </w:tc>
      </w:tr>
      <w:tr w:rsidR="000F6636" w:rsidRPr="0088520B" w14:paraId="401A6015" w14:textId="77777777" w:rsidTr="00484DB0">
        <w:trPr>
          <w:trHeight w:val="283"/>
        </w:trPr>
        <w:tc>
          <w:tcPr>
            <w:tcW w:w="3772" w:type="dxa"/>
            <w:tcBorders>
              <w:top w:val="nil"/>
              <w:left w:val="nil"/>
              <w:bottom w:val="nil"/>
              <w:right w:val="nil"/>
            </w:tcBorders>
            <w:shd w:val="clear" w:color="000000" w:fill="FFFFFF"/>
            <w:vAlign w:val="center"/>
            <w:hideMark/>
          </w:tcPr>
          <w:p w14:paraId="050CBD11" w14:textId="77777777" w:rsidR="000F6636" w:rsidRPr="00543FD2" w:rsidRDefault="000F6636" w:rsidP="00484DB0">
            <w:pPr>
              <w:rPr>
                <w:rFonts w:cs="Times New Roman"/>
                <w:sz w:val="18"/>
                <w:szCs w:val="18"/>
              </w:rPr>
            </w:pPr>
            <w:r w:rsidRPr="00543FD2">
              <w:rPr>
                <w:rFonts w:cs="Times New Roman"/>
                <w:sz w:val="18"/>
                <w:szCs w:val="18"/>
              </w:rPr>
              <w:t>3. Verejný poriadok a bezpečnosť</w:t>
            </w:r>
          </w:p>
        </w:tc>
        <w:tc>
          <w:tcPr>
            <w:tcW w:w="1291" w:type="dxa"/>
            <w:tcBorders>
              <w:top w:val="nil"/>
              <w:left w:val="nil"/>
              <w:bottom w:val="nil"/>
              <w:right w:val="nil"/>
            </w:tcBorders>
            <w:shd w:val="clear" w:color="000000" w:fill="FFFFFF"/>
            <w:vAlign w:val="center"/>
            <w:hideMark/>
          </w:tcPr>
          <w:p w14:paraId="54BDEE58" w14:textId="77777777" w:rsidR="000F6636" w:rsidRPr="00543FD2" w:rsidRDefault="000F6636" w:rsidP="00484DB0">
            <w:pPr>
              <w:jc w:val="center"/>
              <w:rPr>
                <w:rFonts w:cs="Times New Roman"/>
                <w:sz w:val="18"/>
                <w:szCs w:val="18"/>
              </w:rPr>
            </w:pPr>
            <w:r w:rsidRPr="00543FD2">
              <w:rPr>
                <w:rFonts w:cs="Times New Roman"/>
                <w:sz w:val="18"/>
                <w:szCs w:val="18"/>
              </w:rPr>
              <w:t>3</w:t>
            </w:r>
          </w:p>
        </w:tc>
        <w:tc>
          <w:tcPr>
            <w:tcW w:w="1493" w:type="dxa"/>
            <w:tcBorders>
              <w:top w:val="nil"/>
              <w:left w:val="nil"/>
              <w:bottom w:val="nil"/>
              <w:right w:val="nil"/>
            </w:tcBorders>
            <w:shd w:val="clear" w:color="auto" w:fill="auto"/>
            <w:vAlign w:val="center"/>
          </w:tcPr>
          <w:p w14:paraId="156D9684"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2833F2B0" w14:textId="77777777" w:rsidR="000F6636" w:rsidRPr="0088520B" w:rsidRDefault="000F6636" w:rsidP="00484DB0">
            <w:pPr>
              <w:jc w:val="center"/>
              <w:rPr>
                <w:rFonts w:cs="Times New Roman"/>
                <w:sz w:val="18"/>
                <w:szCs w:val="18"/>
                <w:highlight w:val="yellow"/>
              </w:rPr>
            </w:pPr>
            <w:r>
              <w:rPr>
                <w:sz w:val="18"/>
                <w:szCs w:val="18"/>
              </w:rPr>
              <w:t>2,3</w:t>
            </w:r>
          </w:p>
        </w:tc>
        <w:tc>
          <w:tcPr>
            <w:tcW w:w="1614" w:type="dxa"/>
            <w:tcBorders>
              <w:top w:val="nil"/>
              <w:left w:val="nil"/>
              <w:bottom w:val="nil"/>
              <w:right w:val="nil"/>
            </w:tcBorders>
            <w:shd w:val="clear" w:color="auto" w:fill="auto"/>
            <w:vAlign w:val="center"/>
            <w:hideMark/>
          </w:tcPr>
          <w:p w14:paraId="6BF20E45" w14:textId="77777777" w:rsidR="000F6636" w:rsidRPr="00A060D4" w:rsidRDefault="000F6636" w:rsidP="00484DB0">
            <w:pPr>
              <w:jc w:val="center"/>
              <w:rPr>
                <w:rFonts w:cs="Times New Roman"/>
                <w:sz w:val="18"/>
                <w:szCs w:val="18"/>
              </w:rPr>
            </w:pPr>
            <w:r w:rsidRPr="00A060D4">
              <w:rPr>
                <w:sz w:val="18"/>
                <w:szCs w:val="18"/>
              </w:rPr>
              <w:t>1,9</w:t>
            </w:r>
          </w:p>
        </w:tc>
      </w:tr>
      <w:tr w:rsidR="000F6636" w:rsidRPr="0088520B" w14:paraId="522AEBB4" w14:textId="77777777" w:rsidTr="00484DB0">
        <w:trPr>
          <w:trHeight w:val="283"/>
        </w:trPr>
        <w:tc>
          <w:tcPr>
            <w:tcW w:w="3772" w:type="dxa"/>
            <w:tcBorders>
              <w:top w:val="nil"/>
              <w:left w:val="nil"/>
              <w:bottom w:val="nil"/>
              <w:right w:val="nil"/>
            </w:tcBorders>
            <w:shd w:val="clear" w:color="000000" w:fill="FFFFFF"/>
            <w:vAlign w:val="center"/>
            <w:hideMark/>
          </w:tcPr>
          <w:p w14:paraId="4EE4D893" w14:textId="77777777" w:rsidR="000F6636" w:rsidRPr="00543FD2" w:rsidRDefault="000F6636" w:rsidP="00484DB0">
            <w:pPr>
              <w:rPr>
                <w:rFonts w:cs="Times New Roman"/>
                <w:sz w:val="18"/>
                <w:szCs w:val="18"/>
              </w:rPr>
            </w:pPr>
            <w:r w:rsidRPr="00543FD2">
              <w:rPr>
                <w:rFonts w:cs="Times New Roman"/>
                <w:sz w:val="18"/>
                <w:szCs w:val="18"/>
              </w:rPr>
              <w:t>4. Ekonomická oblasť</w:t>
            </w:r>
          </w:p>
        </w:tc>
        <w:tc>
          <w:tcPr>
            <w:tcW w:w="1291" w:type="dxa"/>
            <w:tcBorders>
              <w:top w:val="nil"/>
              <w:left w:val="nil"/>
              <w:bottom w:val="nil"/>
              <w:right w:val="nil"/>
            </w:tcBorders>
            <w:shd w:val="clear" w:color="000000" w:fill="FFFFFF"/>
            <w:vAlign w:val="center"/>
            <w:hideMark/>
          </w:tcPr>
          <w:p w14:paraId="3C555C2A" w14:textId="77777777" w:rsidR="000F6636" w:rsidRPr="00543FD2" w:rsidRDefault="000F6636" w:rsidP="00484DB0">
            <w:pPr>
              <w:jc w:val="center"/>
              <w:rPr>
                <w:rFonts w:cs="Times New Roman"/>
                <w:sz w:val="18"/>
                <w:szCs w:val="18"/>
              </w:rPr>
            </w:pPr>
            <w:r w:rsidRPr="00543FD2">
              <w:rPr>
                <w:rFonts w:cs="Times New Roman"/>
                <w:sz w:val="18"/>
                <w:szCs w:val="18"/>
              </w:rPr>
              <w:t>4</w:t>
            </w:r>
          </w:p>
        </w:tc>
        <w:tc>
          <w:tcPr>
            <w:tcW w:w="1493" w:type="dxa"/>
            <w:tcBorders>
              <w:top w:val="nil"/>
              <w:left w:val="nil"/>
              <w:bottom w:val="nil"/>
              <w:right w:val="nil"/>
            </w:tcBorders>
            <w:shd w:val="clear" w:color="auto" w:fill="auto"/>
            <w:vAlign w:val="center"/>
          </w:tcPr>
          <w:p w14:paraId="31BD8C27"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4FB6864A" w14:textId="77777777" w:rsidR="000F6636" w:rsidRPr="0088520B" w:rsidRDefault="000F6636" w:rsidP="00484DB0">
            <w:pPr>
              <w:jc w:val="center"/>
              <w:rPr>
                <w:rFonts w:cs="Times New Roman"/>
                <w:sz w:val="18"/>
                <w:szCs w:val="18"/>
                <w:highlight w:val="yellow"/>
              </w:rPr>
            </w:pPr>
            <w:r>
              <w:rPr>
                <w:sz w:val="18"/>
                <w:szCs w:val="18"/>
              </w:rPr>
              <w:t>4,8</w:t>
            </w:r>
          </w:p>
        </w:tc>
        <w:tc>
          <w:tcPr>
            <w:tcW w:w="1614" w:type="dxa"/>
            <w:tcBorders>
              <w:top w:val="nil"/>
              <w:left w:val="nil"/>
              <w:bottom w:val="nil"/>
              <w:right w:val="nil"/>
            </w:tcBorders>
            <w:shd w:val="clear" w:color="auto" w:fill="auto"/>
            <w:vAlign w:val="center"/>
            <w:hideMark/>
          </w:tcPr>
          <w:p w14:paraId="284AA1B9" w14:textId="279ECA85" w:rsidR="000F6636" w:rsidRPr="00A060D4" w:rsidRDefault="00A060D4" w:rsidP="00484DB0">
            <w:pPr>
              <w:jc w:val="center"/>
              <w:rPr>
                <w:rFonts w:cs="Times New Roman"/>
                <w:sz w:val="18"/>
                <w:szCs w:val="18"/>
              </w:rPr>
            </w:pPr>
            <w:r w:rsidRPr="00A060D4">
              <w:rPr>
                <w:sz w:val="18"/>
                <w:szCs w:val="18"/>
              </w:rPr>
              <w:t>4,4</w:t>
            </w:r>
          </w:p>
        </w:tc>
      </w:tr>
      <w:tr w:rsidR="000F6636" w:rsidRPr="0088520B" w14:paraId="5543B865" w14:textId="77777777" w:rsidTr="00484DB0">
        <w:trPr>
          <w:trHeight w:val="283"/>
        </w:trPr>
        <w:tc>
          <w:tcPr>
            <w:tcW w:w="3772" w:type="dxa"/>
            <w:tcBorders>
              <w:top w:val="nil"/>
              <w:left w:val="nil"/>
              <w:bottom w:val="nil"/>
              <w:right w:val="nil"/>
            </w:tcBorders>
            <w:shd w:val="clear" w:color="000000" w:fill="FFFFFF"/>
            <w:vAlign w:val="center"/>
            <w:hideMark/>
          </w:tcPr>
          <w:p w14:paraId="53A14CC1" w14:textId="77777777" w:rsidR="000F6636" w:rsidRPr="00543FD2" w:rsidRDefault="000F6636" w:rsidP="00484DB0">
            <w:pPr>
              <w:rPr>
                <w:rFonts w:cs="Times New Roman"/>
                <w:sz w:val="18"/>
                <w:szCs w:val="18"/>
              </w:rPr>
            </w:pPr>
            <w:r w:rsidRPr="00543FD2">
              <w:rPr>
                <w:rFonts w:cs="Times New Roman"/>
                <w:sz w:val="18"/>
                <w:szCs w:val="18"/>
              </w:rPr>
              <w:t>5. Ochrana životného prostredia</w:t>
            </w:r>
          </w:p>
        </w:tc>
        <w:tc>
          <w:tcPr>
            <w:tcW w:w="1291" w:type="dxa"/>
            <w:tcBorders>
              <w:top w:val="nil"/>
              <w:left w:val="nil"/>
              <w:bottom w:val="nil"/>
              <w:right w:val="nil"/>
            </w:tcBorders>
            <w:shd w:val="clear" w:color="000000" w:fill="FFFFFF"/>
            <w:vAlign w:val="center"/>
            <w:hideMark/>
          </w:tcPr>
          <w:p w14:paraId="6E0A6552" w14:textId="77777777" w:rsidR="000F6636" w:rsidRPr="00543FD2" w:rsidRDefault="000F6636" w:rsidP="00484DB0">
            <w:pPr>
              <w:jc w:val="center"/>
              <w:rPr>
                <w:rFonts w:cs="Times New Roman"/>
                <w:sz w:val="18"/>
                <w:szCs w:val="18"/>
              </w:rPr>
            </w:pPr>
            <w:r w:rsidRPr="00543FD2">
              <w:rPr>
                <w:rFonts w:cs="Times New Roman"/>
                <w:sz w:val="18"/>
                <w:szCs w:val="18"/>
              </w:rPr>
              <w:t>5</w:t>
            </w:r>
          </w:p>
        </w:tc>
        <w:tc>
          <w:tcPr>
            <w:tcW w:w="1493" w:type="dxa"/>
            <w:tcBorders>
              <w:top w:val="nil"/>
              <w:left w:val="nil"/>
              <w:bottom w:val="nil"/>
              <w:right w:val="nil"/>
            </w:tcBorders>
            <w:shd w:val="clear" w:color="auto" w:fill="auto"/>
            <w:vAlign w:val="center"/>
          </w:tcPr>
          <w:p w14:paraId="1FDDF97F"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21B9369C" w14:textId="77777777" w:rsidR="000F6636" w:rsidRPr="0088520B" w:rsidRDefault="000F6636" w:rsidP="00484DB0">
            <w:pPr>
              <w:jc w:val="center"/>
              <w:rPr>
                <w:rFonts w:cs="Times New Roman"/>
                <w:sz w:val="18"/>
                <w:szCs w:val="18"/>
                <w:highlight w:val="yellow"/>
              </w:rPr>
            </w:pPr>
            <w:r>
              <w:rPr>
                <w:sz w:val="18"/>
                <w:szCs w:val="18"/>
              </w:rPr>
              <w:t>0,8</w:t>
            </w:r>
          </w:p>
        </w:tc>
        <w:tc>
          <w:tcPr>
            <w:tcW w:w="1614" w:type="dxa"/>
            <w:tcBorders>
              <w:top w:val="nil"/>
              <w:left w:val="nil"/>
              <w:bottom w:val="nil"/>
              <w:right w:val="nil"/>
            </w:tcBorders>
            <w:shd w:val="clear" w:color="auto" w:fill="auto"/>
            <w:vAlign w:val="center"/>
            <w:hideMark/>
          </w:tcPr>
          <w:p w14:paraId="5970BE5C" w14:textId="5CBFBD23" w:rsidR="000F6636" w:rsidRPr="00A060D4" w:rsidRDefault="000F6636" w:rsidP="00484DB0">
            <w:pPr>
              <w:jc w:val="center"/>
              <w:rPr>
                <w:rFonts w:cs="Times New Roman"/>
                <w:sz w:val="18"/>
                <w:szCs w:val="18"/>
              </w:rPr>
            </w:pPr>
            <w:r w:rsidRPr="00A060D4">
              <w:rPr>
                <w:sz w:val="18"/>
                <w:szCs w:val="18"/>
              </w:rPr>
              <w:t>0,</w:t>
            </w:r>
            <w:r w:rsidR="00A060D4" w:rsidRPr="00A060D4">
              <w:rPr>
                <w:sz w:val="18"/>
                <w:szCs w:val="18"/>
              </w:rPr>
              <w:t>8</w:t>
            </w:r>
          </w:p>
        </w:tc>
      </w:tr>
      <w:tr w:rsidR="000F6636" w:rsidRPr="0088520B" w14:paraId="6B239EFD" w14:textId="77777777" w:rsidTr="00484DB0">
        <w:trPr>
          <w:trHeight w:val="283"/>
        </w:trPr>
        <w:tc>
          <w:tcPr>
            <w:tcW w:w="3772" w:type="dxa"/>
            <w:tcBorders>
              <w:top w:val="nil"/>
              <w:left w:val="nil"/>
              <w:bottom w:val="nil"/>
              <w:right w:val="nil"/>
            </w:tcBorders>
            <w:shd w:val="clear" w:color="000000" w:fill="FFFFFF"/>
            <w:vAlign w:val="center"/>
            <w:hideMark/>
          </w:tcPr>
          <w:p w14:paraId="2205E6E4" w14:textId="77777777" w:rsidR="000F6636" w:rsidRPr="00543FD2" w:rsidRDefault="000F6636" w:rsidP="00484DB0">
            <w:pPr>
              <w:rPr>
                <w:rFonts w:cs="Times New Roman"/>
                <w:sz w:val="18"/>
                <w:szCs w:val="18"/>
              </w:rPr>
            </w:pPr>
            <w:r w:rsidRPr="00543FD2">
              <w:rPr>
                <w:rFonts w:cs="Times New Roman"/>
                <w:sz w:val="18"/>
                <w:szCs w:val="18"/>
              </w:rPr>
              <w:t>6. Bývanie a občianska vybavenosť</w:t>
            </w:r>
          </w:p>
        </w:tc>
        <w:tc>
          <w:tcPr>
            <w:tcW w:w="1291" w:type="dxa"/>
            <w:tcBorders>
              <w:top w:val="nil"/>
              <w:left w:val="nil"/>
              <w:bottom w:val="nil"/>
              <w:right w:val="nil"/>
            </w:tcBorders>
            <w:shd w:val="clear" w:color="000000" w:fill="FFFFFF"/>
            <w:vAlign w:val="center"/>
            <w:hideMark/>
          </w:tcPr>
          <w:p w14:paraId="57777764" w14:textId="77777777" w:rsidR="000F6636" w:rsidRPr="00543FD2" w:rsidRDefault="000F6636" w:rsidP="00484DB0">
            <w:pPr>
              <w:jc w:val="center"/>
              <w:rPr>
                <w:rFonts w:cs="Times New Roman"/>
                <w:sz w:val="18"/>
                <w:szCs w:val="18"/>
              </w:rPr>
            </w:pPr>
            <w:r w:rsidRPr="00543FD2">
              <w:rPr>
                <w:rFonts w:cs="Times New Roman"/>
                <w:sz w:val="18"/>
                <w:szCs w:val="18"/>
              </w:rPr>
              <w:t>6</w:t>
            </w:r>
          </w:p>
        </w:tc>
        <w:tc>
          <w:tcPr>
            <w:tcW w:w="1493" w:type="dxa"/>
            <w:tcBorders>
              <w:top w:val="nil"/>
              <w:left w:val="nil"/>
              <w:bottom w:val="nil"/>
              <w:right w:val="nil"/>
            </w:tcBorders>
            <w:shd w:val="clear" w:color="auto" w:fill="auto"/>
            <w:vAlign w:val="center"/>
          </w:tcPr>
          <w:p w14:paraId="1D2C2ADF"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427563EF" w14:textId="77777777" w:rsidR="000F6636" w:rsidRPr="0088520B" w:rsidRDefault="000F6636" w:rsidP="00484DB0">
            <w:pPr>
              <w:jc w:val="center"/>
              <w:rPr>
                <w:rFonts w:cs="Times New Roman"/>
                <w:sz w:val="18"/>
                <w:szCs w:val="18"/>
                <w:highlight w:val="yellow"/>
              </w:rPr>
            </w:pPr>
            <w:r>
              <w:rPr>
                <w:sz w:val="18"/>
                <w:szCs w:val="18"/>
              </w:rPr>
              <w:t>0,5</w:t>
            </w:r>
          </w:p>
        </w:tc>
        <w:tc>
          <w:tcPr>
            <w:tcW w:w="1614" w:type="dxa"/>
            <w:tcBorders>
              <w:top w:val="nil"/>
              <w:left w:val="nil"/>
              <w:bottom w:val="nil"/>
              <w:right w:val="nil"/>
            </w:tcBorders>
            <w:shd w:val="clear" w:color="auto" w:fill="auto"/>
            <w:vAlign w:val="center"/>
            <w:hideMark/>
          </w:tcPr>
          <w:p w14:paraId="2C87A722" w14:textId="77777777" w:rsidR="000F6636" w:rsidRPr="00A060D4" w:rsidRDefault="000F6636" w:rsidP="00484DB0">
            <w:pPr>
              <w:jc w:val="center"/>
              <w:rPr>
                <w:rFonts w:cs="Times New Roman"/>
                <w:sz w:val="18"/>
                <w:szCs w:val="18"/>
              </w:rPr>
            </w:pPr>
            <w:r w:rsidRPr="00A060D4">
              <w:rPr>
                <w:sz w:val="18"/>
                <w:szCs w:val="18"/>
              </w:rPr>
              <w:t>0,5</w:t>
            </w:r>
          </w:p>
        </w:tc>
      </w:tr>
      <w:tr w:rsidR="000F6636" w:rsidRPr="0088520B" w14:paraId="5FB0C458" w14:textId="77777777" w:rsidTr="00484DB0">
        <w:trPr>
          <w:trHeight w:val="283"/>
        </w:trPr>
        <w:tc>
          <w:tcPr>
            <w:tcW w:w="3772" w:type="dxa"/>
            <w:tcBorders>
              <w:top w:val="nil"/>
              <w:left w:val="nil"/>
              <w:bottom w:val="nil"/>
              <w:right w:val="nil"/>
            </w:tcBorders>
            <w:shd w:val="clear" w:color="000000" w:fill="FFFFFF"/>
            <w:vAlign w:val="center"/>
            <w:hideMark/>
          </w:tcPr>
          <w:p w14:paraId="50972F5E" w14:textId="77777777" w:rsidR="000F6636" w:rsidRPr="00543FD2" w:rsidRDefault="000F6636" w:rsidP="00484DB0">
            <w:pPr>
              <w:rPr>
                <w:rFonts w:cs="Times New Roman"/>
                <w:sz w:val="18"/>
                <w:szCs w:val="18"/>
              </w:rPr>
            </w:pPr>
            <w:r w:rsidRPr="00543FD2">
              <w:rPr>
                <w:rFonts w:cs="Times New Roman"/>
                <w:sz w:val="18"/>
                <w:szCs w:val="18"/>
              </w:rPr>
              <w:t>7. Zdravotníctvo</w:t>
            </w:r>
          </w:p>
        </w:tc>
        <w:tc>
          <w:tcPr>
            <w:tcW w:w="1291" w:type="dxa"/>
            <w:tcBorders>
              <w:top w:val="nil"/>
              <w:left w:val="nil"/>
              <w:bottom w:val="nil"/>
              <w:right w:val="nil"/>
            </w:tcBorders>
            <w:shd w:val="clear" w:color="000000" w:fill="FFFFFF"/>
            <w:vAlign w:val="center"/>
            <w:hideMark/>
          </w:tcPr>
          <w:p w14:paraId="530112DF" w14:textId="77777777" w:rsidR="000F6636" w:rsidRPr="00543FD2" w:rsidRDefault="000F6636" w:rsidP="00484DB0">
            <w:pPr>
              <w:jc w:val="center"/>
              <w:rPr>
                <w:rFonts w:cs="Times New Roman"/>
                <w:sz w:val="18"/>
                <w:szCs w:val="18"/>
              </w:rPr>
            </w:pPr>
            <w:r w:rsidRPr="00543FD2">
              <w:rPr>
                <w:rFonts w:cs="Times New Roman"/>
                <w:sz w:val="18"/>
                <w:szCs w:val="18"/>
              </w:rPr>
              <w:t>7</w:t>
            </w:r>
          </w:p>
        </w:tc>
        <w:tc>
          <w:tcPr>
            <w:tcW w:w="1493" w:type="dxa"/>
            <w:tcBorders>
              <w:top w:val="nil"/>
              <w:left w:val="nil"/>
              <w:bottom w:val="nil"/>
              <w:right w:val="nil"/>
            </w:tcBorders>
            <w:shd w:val="clear" w:color="auto" w:fill="auto"/>
            <w:vAlign w:val="center"/>
          </w:tcPr>
          <w:p w14:paraId="6B3DDA2A"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3EE75F57" w14:textId="77777777" w:rsidR="000F6636" w:rsidRPr="0088520B" w:rsidRDefault="000F6636" w:rsidP="00484DB0">
            <w:pPr>
              <w:jc w:val="center"/>
              <w:rPr>
                <w:rFonts w:cs="Times New Roman"/>
                <w:sz w:val="18"/>
                <w:szCs w:val="18"/>
                <w:highlight w:val="yellow"/>
              </w:rPr>
            </w:pPr>
            <w:r>
              <w:rPr>
                <w:sz w:val="18"/>
                <w:szCs w:val="18"/>
              </w:rPr>
              <w:t>6,4</w:t>
            </w:r>
          </w:p>
        </w:tc>
        <w:tc>
          <w:tcPr>
            <w:tcW w:w="1614" w:type="dxa"/>
            <w:tcBorders>
              <w:top w:val="nil"/>
              <w:left w:val="nil"/>
              <w:bottom w:val="nil"/>
              <w:right w:val="nil"/>
            </w:tcBorders>
            <w:shd w:val="clear" w:color="auto" w:fill="auto"/>
            <w:vAlign w:val="center"/>
            <w:hideMark/>
          </w:tcPr>
          <w:p w14:paraId="4D415D9A" w14:textId="08194B11" w:rsidR="000F6636" w:rsidRPr="00A060D4" w:rsidRDefault="000F6636" w:rsidP="00484DB0">
            <w:pPr>
              <w:jc w:val="center"/>
              <w:rPr>
                <w:rFonts w:cs="Times New Roman"/>
                <w:sz w:val="18"/>
                <w:szCs w:val="18"/>
              </w:rPr>
            </w:pPr>
            <w:r w:rsidRPr="00A060D4">
              <w:rPr>
                <w:sz w:val="18"/>
                <w:szCs w:val="18"/>
              </w:rPr>
              <w:t>6,</w:t>
            </w:r>
            <w:r w:rsidR="00A060D4" w:rsidRPr="00A060D4">
              <w:rPr>
                <w:sz w:val="18"/>
                <w:szCs w:val="18"/>
              </w:rPr>
              <w:t>6</w:t>
            </w:r>
          </w:p>
        </w:tc>
      </w:tr>
      <w:tr w:rsidR="000F6636" w:rsidRPr="0088520B" w14:paraId="40B10DD5" w14:textId="77777777" w:rsidTr="00484DB0">
        <w:trPr>
          <w:trHeight w:val="283"/>
        </w:trPr>
        <w:tc>
          <w:tcPr>
            <w:tcW w:w="3772" w:type="dxa"/>
            <w:tcBorders>
              <w:top w:val="nil"/>
              <w:left w:val="nil"/>
              <w:bottom w:val="nil"/>
              <w:right w:val="nil"/>
            </w:tcBorders>
            <w:shd w:val="clear" w:color="000000" w:fill="FFFFFF"/>
            <w:vAlign w:val="center"/>
            <w:hideMark/>
          </w:tcPr>
          <w:p w14:paraId="1B695749" w14:textId="77777777" w:rsidR="000F6636" w:rsidRPr="00543FD2" w:rsidRDefault="000F6636" w:rsidP="00484DB0">
            <w:pPr>
              <w:rPr>
                <w:rFonts w:cs="Times New Roman"/>
                <w:sz w:val="18"/>
                <w:szCs w:val="18"/>
              </w:rPr>
            </w:pPr>
            <w:r w:rsidRPr="00543FD2">
              <w:rPr>
                <w:rFonts w:cs="Times New Roman"/>
                <w:sz w:val="18"/>
                <w:szCs w:val="18"/>
              </w:rPr>
              <w:t>8. Rekreácia, kultúra a náboženstvo</w:t>
            </w:r>
          </w:p>
        </w:tc>
        <w:tc>
          <w:tcPr>
            <w:tcW w:w="1291" w:type="dxa"/>
            <w:tcBorders>
              <w:top w:val="nil"/>
              <w:left w:val="nil"/>
              <w:bottom w:val="nil"/>
              <w:right w:val="nil"/>
            </w:tcBorders>
            <w:shd w:val="clear" w:color="000000" w:fill="FFFFFF"/>
            <w:vAlign w:val="center"/>
            <w:hideMark/>
          </w:tcPr>
          <w:p w14:paraId="334653E7" w14:textId="77777777" w:rsidR="000F6636" w:rsidRPr="00543FD2" w:rsidRDefault="000F6636" w:rsidP="00484DB0">
            <w:pPr>
              <w:jc w:val="center"/>
              <w:rPr>
                <w:rFonts w:cs="Times New Roman"/>
                <w:sz w:val="18"/>
                <w:szCs w:val="18"/>
              </w:rPr>
            </w:pPr>
            <w:r w:rsidRPr="00543FD2">
              <w:rPr>
                <w:rFonts w:cs="Times New Roman"/>
                <w:sz w:val="18"/>
                <w:szCs w:val="18"/>
              </w:rPr>
              <w:t>8</w:t>
            </w:r>
          </w:p>
        </w:tc>
        <w:tc>
          <w:tcPr>
            <w:tcW w:w="1493" w:type="dxa"/>
            <w:tcBorders>
              <w:top w:val="nil"/>
              <w:left w:val="nil"/>
              <w:bottom w:val="nil"/>
              <w:right w:val="nil"/>
            </w:tcBorders>
            <w:shd w:val="clear" w:color="auto" w:fill="auto"/>
            <w:vAlign w:val="center"/>
          </w:tcPr>
          <w:p w14:paraId="2C0D8A3A"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1E7CAD96" w14:textId="77777777" w:rsidR="000F6636" w:rsidRPr="0088520B" w:rsidRDefault="000F6636" w:rsidP="00484DB0">
            <w:pPr>
              <w:jc w:val="center"/>
              <w:rPr>
                <w:rFonts w:cs="Times New Roman"/>
                <w:sz w:val="18"/>
                <w:szCs w:val="18"/>
                <w:highlight w:val="yellow"/>
              </w:rPr>
            </w:pPr>
            <w:r>
              <w:rPr>
                <w:sz w:val="18"/>
                <w:szCs w:val="18"/>
              </w:rPr>
              <w:t>1,1</w:t>
            </w:r>
          </w:p>
        </w:tc>
        <w:tc>
          <w:tcPr>
            <w:tcW w:w="1614" w:type="dxa"/>
            <w:tcBorders>
              <w:top w:val="nil"/>
              <w:left w:val="nil"/>
              <w:bottom w:val="nil"/>
              <w:right w:val="nil"/>
            </w:tcBorders>
            <w:shd w:val="clear" w:color="auto" w:fill="auto"/>
            <w:vAlign w:val="center"/>
            <w:hideMark/>
          </w:tcPr>
          <w:p w14:paraId="301C1727" w14:textId="77777777" w:rsidR="000F6636" w:rsidRPr="00A060D4" w:rsidRDefault="000F6636" w:rsidP="00484DB0">
            <w:pPr>
              <w:jc w:val="center"/>
              <w:rPr>
                <w:rFonts w:cs="Times New Roman"/>
                <w:sz w:val="18"/>
                <w:szCs w:val="18"/>
              </w:rPr>
            </w:pPr>
            <w:r w:rsidRPr="00A060D4">
              <w:rPr>
                <w:sz w:val="18"/>
                <w:szCs w:val="18"/>
              </w:rPr>
              <w:t>0,9</w:t>
            </w:r>
          </w:p>
        </w:tc>
      </w:tr>
      <w:tr w:rsidR="000F6636" w:rsidRPr="0088520B" w14:paraId="7B9D2F23" w14:textId="77777777" w:rsidTr="00484DB0">
        <w:trPr>
          <w:trHeight w:val="283"/>
        </w:trPr>
        <w:tc>
          <w:tcPr>
            <w:tcW w:w="3772" w:type="dxa"/>
            <w:tcBorders>
              <w:top w:val="nil"/>
              <w:left w:val="nil"/>
              <w:bottom w:val="nil"/>
              <w:right w:val="nil"/>
            </w:tcBorders>
            <w:shd w:val="clear" w:color="000000" w:fill="FFFFFF"/>
            <w:vAlign w:val="center"/>
            <w:hideMark/>
          </w:tcPr>
          <w:p w14:paraId="636C75F9" w14:textId="77777777" w:rsidR="000F6636" w:rsidRPr="00543FD2" w:rsidRDefault="000F6636" w:rsidP="00484DB0">
            <w:pPr>
              <w:rPr>
                <w:rFonts w:cs="Times New Roman"/>
                <w:sz w:val="18"/>
                <w:szCs w:val="18"/>
              </w:rPr>
            </w:pPr>
            <w:r w:rsidRPr="00543FD2">
              <w:rPr>
                <w:rFonts w:cs="Times New Roman"/>
                <w:sz w:val="18"/>
                <w:szCs w:val="18"/>
              </w:rPr>
              <w:t>9. Vzdelávanie</w:t>
            </w:r>
          </w:p>
        </w:tc>
        <w:tc>
          <w:tcPr>
            <w:tcW w:w="1291" w:type="dxa"/>
            <w:tcBorders>
              <w:top w:val="nil"/>
              <w:left w:val="nil"/>
              <w:bottom w:val="nil"/>
              <w:right w:val="nil"/>
            </w:tcBorders>
            <w:shd w:val="clear" w:color="000000" w:fill="FFFFFF"/>
            <w:vAlign w:val="center"/>
            <w:hideMark/>
          </w:tcPr>
          <w:p w14:paraId="52F6CA3E" w14:textId="77777777" w:rsidR="000F6636" w:rsidRPr="00543FD2" w:rsidRDefault="000F6636" w:rsidP="00484DB0">
            <w:pPr>
              <w:jc w:val="center"/>
              <w:rPr>
                <w:rFonts w:cs="Times New Roman"/>
                <w:sz w:val="18"/>
                <w:szCs w:val="18"/>
              </w:rPr>
            </w:pPr>
            <w:r w:rsidRPr="00543FD2">
              <w:rPr>
                <w:rFonts w:cs="Times New Roman"/>
                <w:sz w:val="18"/>
                <w:szCs w:val="18"/>
              </w:rPr>
              <w:t>9</w:t>
            </w:r>
          </w:p>
        </w:tc>
        <w:tc>
          <w:tcPr>
            <w:tcW w:w="1493" w:type="dxa"/>
            <w:tcBorders>
              <w:top w:val="nil"/>
              <w:left w:val="nil"/>
              <w:bottom w:val="nil"/>
              <w:right w:val="nil"/>
            </w:tcBorders>
            <w:shd w:val="clear" w:color="auto" w:fill="auto"/>
            <w:vAlign w:val="center"/>
          </w:tcPr>
          <w:p w14:paraId="60B97EDE"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4744FC64" w14:textId="77777777" w:rsidR="000F6636" w:rsidRPr="0088520B" w:rsidRDefault="000F6636" w:rsidP="00484DB0">
            <w:pPr>
              <w:jc w:val="center"/>
              <w:rPr>
                <w:rFonts w:cs="Times New Roman"/>
                <w:sz w:val="18"/>
                <w:szCs w:val="18"/>
                <w:highlight w:val="yellow"/>
              </w:rPr>
            </w:pPr>
            <w:r>
              <w:rPr>
                <w:sz w:val="18"/>
                <w:szCs w:val="18"/>
              </w:rPr>
              <w:t>4,5</w:t>
            </w:r>
          </w:p>
        </w:tc>
        <w:tc>
          <w:tcPr>
            <w:tcW w:w="1614" w:type="dxa"/>
            <w:tcBorders>
              <w:top w:val="nil"/>
              <w:left w:val="nil"/>
              <w:bottom w:val="nil"/>
              <w:right w:val="nil"/>
            </w:tcBorders>
            <w:shd w:val="clear" w:color="auto" w:fill="auto"/>
            <w:vAlign w:val="center"/>
            <w:hideMark/>
          </w:tcPr>
          <w:p w14:paraId="3C9357D4" w14:textId="745DB837" w:rsidR="000F6636" w:rsidRPr="00A060D4" w:rsidRDefault="00A060D4" w:rsidP="00484DB0">
            <w:pPr>
              <w:jc w:val="center"/>
              <w:rPr>
                <w:rFonts w:cs="Times New Roman"/>
                <w:sz w:val="18"/>
                <w:szCs w:val="18"/>
              </w:rPr>
            </w:pPr>
            <w:r w:rsidRPr="00A060D4">
              <w:rPr>
                <w:sz w:val="18"/>
                <w:szCs w:val="18"/>
              </w:rPr>
              <w:t>4,2</w:t>
            </w:r>
          </w:p>
        </w:tc>
      </w:tr>
      <w:tr w:rsidR="000F6636" w:rsidRPr="0088520B" w14:paraId="56001FEA" w14:textId="77777777" w:rsidTr="00484DB0">
        <w:trPr>
          <w:trHeight w:val="283"/>
        </w:trPr>
        <w:tc>
          <w:tcPr>
            <w:tcW w:w="3772" w:type="dxa"/>
            <w:tcBorders>
              <w:top w:val="nil"/>
              <w:left w:val="nil"/>
              <w:bottom w:val="single" w:sz="4" w:space="0" w:color="auto"/>
              <w:right w:val="nil"/>
            </w:tcBorders>
            <w:shd w:val="clear" w:color="000000" w:fill="FFFFFF"/>
            <w:vAlign w:val="center"/>
            <w:hideMark/>
          </w:tcPr>
          <w:p w14:paraId="58264AB9" w14:textId="77777777" w:rsidR="000F6636" w:rsidRPr="00543FD2" w:rsidRDefault="000F6636" w:rsidP="00484DB0">
            <w:pPr>
              <w:rPr>
                <w:rFonts w:cs="Times New Roman"/>
                <w:sz w:val="18"/>
                <w:szCs w:val="18"/>
              </w:rPr>
            </w:pPr>
            <w:r w:rsidRPr="00543FD2">
              <w:rPr>
                <w:rFonts w:cs="Times New Roman"/>
                <w:sz w:val="18"/>
                <w:szCs w:val="18"/>
              </w:rPr>
              <w:t>10. Sociálne zabezpečenie</w:t>
            </w:r>
          </w:p>
        </w:tc>
        <w:tc>
          <w:tcPr>
            <w:tcW w:w="1291" w:type="dxa"/>
            <w:tcBorders>
              <w:top w:val="nil"/>
              <w:left w:val="nil"/>
              <w:bottom w:val="single" w:sz="4" w:space="0" w:color="auto"/>
              <w:right w:val="nil"/>
            </w:tcBorders>
            <w:shd w:val="clear" w:color="000000" w:fill="FFFFFF"/>
            <w:vAlign w:val="center"/>
            <w:hideMark/>
          </w:tcPr>
          <w:p w14:paraId="500D8288" w14:textId="77777777" w:rsidR="000F6636" w:rsidRPr="00543FD2" w:rsidRDefault="000F6636" w:rsidP="00484DB0">
            <w:pPr>
              <w:jc w:val="center"/>
              <w:rPr>
                <w:rFonts w:cs="Times New Roman"/>
                <w:sz w:val="18"/>
                <w:szCs w:val="18"/>
              </w:rPr>
            </w:pPr>
            <w:r w:rsidRPr="00543FD2">
              <w:rPr>
                <w:rFonts w:cs="Times New Roman"/>
                <w:sz w:val="18"/>
                <w:szCs w:val="18"/>
              </w:rPr>
              <w:t>10</w:t>
            </w:r>
          </w:p>
        </w:tc>
        <w:tc>
          <w:tcPr>
            <w:tcW w:w="1493" w:type="dxa"/>
            <w:tcBorders>
              <w:top w:val="nil"/>
              <w:left w:val="nil"/>
              <w:bottom w:val="nil"/>
              <w:right w:val="nil"/>
            </w:tcBorders>
            <w:shd w:val="clear" w:color="auto" w:fill="auto"/>
            <w:vAlign w:val="center"/>
          </w:tcPr>
          <w:p w14:paraId="315587C1" w14:textId="77777777" w:rsidR="000F6636" w:rsidRPr="00543FD2" w:rsidRDefault="000F6636" w:rsidP="00484DB0">
            <w:pPr>
              <w:jc w:val="center"/>
              <w:rPr>
                <w:rFonts w:cs="Times New Roman"/>
                <w:sz w:val="18"/>
                <w:szCs w:val="18"/>
              </w:rPr>
            </w:pPr>
          </w:p>
        </w:tc>
        <w:tc>
          <w:tcPr>
            <w:tcW w:w="968" w:type="dxa"/>
            <w:tcBorders>
              <w:top w:val="nil"/>
              <w:left w:val="nil"/>
              <w:bottom w:val="nil"/>
              <w:right w:val="nil"/>
            </w:tcBorders>
            <w:shd w:val="clear" w:color="auto" w:fill="auto"/>
            <w:vAlign w:val="center"/>
            <w:hideMark/>
          </w:tcPr>
          <w:p w14:paraId="3945C39E" w14:textId="77777777" w:rsidR="000F6636" w:rsidRPr="0088520B" w:rsidRDefault="000F6636" w:rsidP="00484DB0">
            <w:pPr>
              <w:jc w:val="center"/>
              <w:rPr>
                <w:rFonts w:cs="Times New Roman"/>
                <w:sz w:val="18"/>
                <w:szCs w:val="18"/>
                <w:highlight w:val="yellow"/>
              </w:rPr>
            </w:pPr>
            <w:r>
              <w:rPr>
                <w:sz w:val="18"/>
                <w:szCs w:val="18"/>
              </w:rPr>
              <w:t>15,6</w:t>
            </w:r>
          </w:p>
        </w:tc>
        <w:tc>
          <w:tcPr>
            <w:tcW w:w="1614" w:type="dxa"/>
            <w:tcBorders>
              <w:top w:val="nil"/>
              <w:left w:val="nil"/>
              <w:bottom w:val="nil"/>
              <w:right w:val="nil"/>
            </w:tcBorders>
            <w:shd w:val="clear" w:color="auto" w:fill="auto"/>
            <w:vAlign w:val="center"/>
            <w:hideMark/>
          </w:tcPr>
          <w:p w14:paraId="446E4955" w14:textId="73EBA812" w:rsidR="000F6636" w:rsidRPr="00A060D4" w:rsidRDefault="00A060D4" w:rsidP="00484DB0">
            <w:pPr>
              <w:jc w:val="center"/>
              <w:rPr>
                <w:rFonts w:cs="Times New Roman"/>
                <w:sz w:val="18"/>
                <w:szCs w:val="18"/>
              </w:rPr>
            </w:pPr>
            <w:r w:rsidRPr="00A060D4">
              <w:rPr>
                <w:sz w:val="18"/>
                <w:szCs w:val="18"/>
              </w:rPr>
              <w:t>16,8</w:t>
            </w:r>
          </w:p>
        </w:tc>
      </w:tr>
      <w:tr w:rsidR="000F6636" w:rsidRPr="0088520B" w14:paraId="1B7D45DE" w14:textId="77777777" w:rsidTr="00D50320">
        <w:trPr>
          <w:trHeight w:val="283"/>
        </w:trPr>
        <w:tc>
          <w:tcPr>
            <w:tcW w:w="3772" w:type="dxa"/>
            <w:tcBorders>
              <w:top w:val="single" w:sz="4" w:space="0" w:color="auto"/>
              <w:left w:val="nil"/>
              <w:bottom w:val="single" w:sz="8" w:space="0" w:color="auto"/>
              <w:right w:val="nil"/>
            </w:tcBorders>
            <w:shd w:val="clear" w:color="000000" w:fill="FFFFFF"/>
            <w:noWrap/>
            <w:vAlign w:val="center"/>
            <w:hideMark/>
          </w:tcPr>
          <w:p w14:paraId="5DD52C46" w14:textId="77777777" w:rsidR="000F6636" w:rsidRPr="00543FD2" w:rsidRDefault="000F6636" w:rsidP="00484DB0">
            <w:pPr>
              <w:rPr>
                <w:rFonts w:cs="Times New Roman"/>
                <w:b/>
                <w:bCs/>
                <w:sz w:val="18"/>
                <w:szCs w:val="18"/>
              </w:rPr>
            </w:pPr>
            <w:r w:rsidRPr="00543FD2">
              <w:rPr>
                <w:rFonts w:cs="Times New Roman"/>
                <w:b/>
                <w:bCs/>
                <w:sz w:val="18"/>
                <w:szCs w:val="18"/>
              </w:rPr>
              <w:t>11. Celkové výdavky</w:t>
            </w:r>
          </w:p>
        </w:tc>
        <w:tc>
          <w:tcPr>
            <w:tcW w:w="1291" w:type="dxa"/>
            <w:tcBorders>
              <w:top w:val="single" w:sz="4" w:space="0" w:color="auto"/>
              <w:left w:val="nil"/>
              <w:bottom w:val="single" w:sz="8" w:space="0" w:color="auto"/>
              <w:right w:val="nil"/>
            </w:tcBorders>
            <w:shd w:val="clear" w:color="000000" w:fill="FFFFFF"/>
            <w:noWrap/>
            <w:vAlign w:val="center"/>
            <w:hideMark/>
          </w:tcPr>
          <w:p w14:paraId="56105238" w14:textId="77777777" w:rsidR="000F6636" w:rsidRPr="00543FD2" w:rsidRDefault="000F6636" w:rsidP="00484DB0">
            <w:pPr>
              <w:jc w:val="center"/>
              <w:rPr>
                <w:rFonts w:cs="Times New Roman"/>
                <w:b/>
                <w:bCs/>
                <w:sz w:val="18"/>
                <w:szCs w:val="18"/>
              </w:rPr>
            </w:pPr>
            <w:r w:rsidRPr="00543FD2">
              <w:rPr>
                <w:rFonts w:cs="Times New Roman"/>
                <w:b/>
                <w:bCs/>
                <w:sz w:val="18"/>
                <w:szCs w:val="18"/>
              </w:rPr>
              <w:t>TE</w:t>
            </w:r>
          </w:p>
        </w:tc>
        <w:tc>
          <w:tcPr>
            <w:tcW w:w="1493" w:type="dxa"/>
            <w:tcBorders>
              <w:top w:val="single" w:sz="4" w:space="0" w:color="auto"/>
              <w:left w:val="nil"/>
              <w:bottom w:val="single" w:sz="4" w:space="0" w:color="auto"/>
              <w:right w:val="nil"/>
            </w:tcBorders>
            <w:shd w:val="clear" w:color="000000" w:fill="FFFFFF"/>
            <w:vAlign w:val="center"/>
          </w:tcPr>
          <w:p w14:paraId="4B2F118C" w14:textId="77777777" w:rsidR="000F6636" w:rsidRPr="00543FD2" w:rsidRDefault="000F6636" w:rsidP="00484DB0">
            <w:pPr>
              <w:jc w:val="center"/>
              <w:rPr>
                <w:rFonts w:cs="Times New Roman"/>
                <w:b/>
                <w:bCs/>
                <w:sz w:val="18"/>
                <w:szCs w:val="18"/>
              </w:rPr>
            </w:pPr>
          </w:p>
        </w:tc>
        <w:tc>
          <w:tcPr>
            <w:tcW w:w="968" w:type="dxa"/>
            <w:tcBorders>
              <w:top w:val="single" w:sz="4" w:space="0" w:color="auto"/>
              <w:left w:val="nil"/>
              <w:bottom w:val="single" w:sz="4" w:space="0" w:color="auto"/>
              <w:right w:val="nil"/>
            </w:tcBorders>
            <w:shd w:val="clear" w:color="000000" w:fill="FFFFFF"/>
            <w:vAlign w:val="center"/>
            <w:hideMark/>
          </w:tcPr>
          <w:p w14:paraId="67C11494" w14:textId="77777777" w:rsidR="000F6636" w:rsidRPr="0088520B" w:rsidRDefault="000F6636" w:rsidP="00D50320">
            <w:pPr>
              <w:jc w:val="center"/>
              <w:rPr>
                <w:rFonts w:cs="Times New Roman"/>
                <w:b/>
                <w:bCs/>
                <w:sz w:val="18"/>
                <w:szCs w:val="18"/>
                <w:highlight w:val="yellow"/>
              </w:rPr>
            </w:pPr>
            <w:r>
              <w:rPr>
                <w:b/>
                <w:bCs/>
                <w:sz w:val="18"/>
                <w:szCs w:val="18"/>
              </w:rPr>
              <w:t>42,4</w:t>
            </w:r>
          </w:p>
        </w:tc>
        <w:tc>
          <w:tcPr>
            <w:tcW w:w="1614" w:type="dxa"/>
            <w:tcBorders>
              <w:top w:val="single" w:sz="4" w:space="0" w:color="auto"/>
              <w:left w:val="nil"/>
              <w:bottom w:val="single" w:sz="4" w:space="0" w:color="auto"/>
              <w:right w:val="nil"/>
            </w:tcBorders>
            <w:shd w:val="clear" w:color="000000" w:fill="FFFFFF"/>
            <w:vAlign w:val="center"/>
            <w:hideMark/>
          </w:tcPr>
          <w:p w14:paraId="753F611B" w14:textId="3B743A6A" w:rsidR="000F6636" w:rsidRPr="00A060D4" w:rsidRDefault="00A060D4" w:rsidP="00D50320">
            <w:pPr>
              <w:jc w:val="center"/>
              <w:rPr>
                <w:rFonts w:cs="Times New Roman"/>
                <w:b/>
                <w:bCs/>
                <w:sz w:val="18"/>
                <w:szCs w:val="18"/>
              </w:rPr>
            </w:pPr>
            <w:r w:rsidRPr="00A060D4">
              <w:rPr>
                <w:b/>
                <w:bCs/>
                <w:sz w:val="18"/>
                <w:szCs w:val="18"/>
              </w:rPr>
              <w:t>4</w:t>
            </w:r>
            <w:r w:rsidR="009A09F0">
              <w:rPr>
                <w:b/>
                <w:bCs/>
                <w:sz w:val="18"/>
                <w:szCs w:val="18"/>
              </w:rPr>
              <w:t>4,5</w:t>
            </w:r>
          </w:p>
        </w:tc>
      </w:tr>
      <w:tr w:rsidR="000F6636" w:rsidRPr="00D2619F" w14:paraId="50C619DA" w14:textId="77777777" w:rsidTr="00484DB0">
        <w:trPr>
          <w:trHeight w:val="283"/>
        </w:trPr>
        <w:tc>
          <w:tcPr>
            <w:tcW w:w="5063" w:type="dxa"/>
            <w:gridSpan w:val="2"/>
            <w:tcBorders>
              <w:top w:val="single" w:sz="8" w:space="0" w:color="auto"/>
              <w:left w:val="nil"/>
              <w:bottom w:val="nil"/>
              <w:right w:val="nil"/>
            </w:tcBorders>
            <w:shd w:val="clear" w:color="000000" w:fill="FFFFFF"/>
            <w:hideMark/>
          </w:tcPr>
          <w:p w14:paraId="2FEE0F45" w14:textId="77777777" w:rsidR="000F6636" w:rsidRPr="0088520B" w:rsidRDefault="000F6636" w:rsidP="00484DB0">
            <w:pPr>
              <w:rPr>
                <w:rFonts w:cs="Times New Roman"/>
                <w:sz w:val="18"/>
                <w:szCs w:val="18"/>
                <w:highlight w:val="yellow"/>
              </w:rPr>
            </w:pPr>
          </w:p>
        </w:tc>
        <w:tc>
          <w:tcPr>
            <w:tcW w:w="4075" w:type="dxa"/>
            <w:gridSpan w:val="3"/>
            <w:tcBorders>
              <w:top w:val="single" w:sz="8" w:space="0" w:color="auto"/>
              <w:left w:val="nil"/>
              <w:bottom w:val="nil"/>
              <w:right w:val="nil"/>
            </w:tcBorders>
            <w:shd w:val="clear" w:color="auto" w:fill="auto"/>
            <w:noWrap/>
            <w:vAlign w:val="bottom"/>
            <w:hideMark/>
          </w:tcPr>
          <w:p w14:paraId="5ACC97B1" w14:textId="77777777" w:rsidR="000F6636" w:rsidRPr="00D2619F" w:rsidRDefault="000F6636" w:rsidP="00484DB0">
            <w:pPr>
              <w:jc w:val="right"/>
              <w:rPr>
                <w:rFonts w:cs="Times New Roman"/>
                <w:i/>
                <w:iCs/>
                <w:sz w:val="18"/>
                <w:szCs w:val="18"/>
              </w:rPr>
            </w:pPr>
            <w:r w:rsidRPr="00D2619F">
              <w:rPr>
                <w:rFonts w:cs="Times New Roman"/>
                <w:i/>
                <w:iCs/>
                <w:sz w:val="18"/>
                <w:szCs w:val="18"/>
              </w:rPr>
              <w:t> </w:t>
            </w:r>
            <w:r w:rsidRPr="00D2619F">
              <w:rPr>
                <w:rFonts w:cs="Times New Roman"/>
                <w:i/>
                <w:iCs/>
                <w:sz w:val="16"/>
                <w:szCs w:val="18"/>
              </w:rPr>
              <w:t>Zdroj: Eurostat, MF SR</w:t>
            </w:r>
          </w:p>
          <w:p w14:paraId="75E44208" w14:textId="77777777" w:rsidR="000F6636" w:rsidRPr="00D2619F" w:rsidRDefault="000F6636" w:rsidP="00484DB0">
            <w:pPr>
              <w:jc w:val="right"/>
              <w:rPr>
                <w:rFonts w:cs="Times New Roman"/>
                <w:i/>
                <w:iCs/>
                <w:sz w:val="18"/>
                <w:szCs w:val="18"/>
              </w:rPr>
            </w:pPr>
          </w:p>
        </w:tc>
      </w:tr>
    </w:tbl>
    <w:p w14:paraId="5ADA9E3B" w14:textId="77777777" w:rsidR="000F6636" w:rsidRPr="0088520B" w:rsidRDefault="000F6636" w:rsidP="000F6636">
      <w:pPr>
        <w:rPr>
          <w:color w:val="5B9BD5"/>
          <w:sz w:val="18"/>
          <w:szCs w:val="18"/>
          <w:highlight w:val="yellow"/>
        </w:rPr>
      </w:pPr>
    </w:p>
    <w:p w14:paraId="0FF515B4" w14:textId="77777777" w:rsidR="000F6636" w:rsidRPr="0088520B" w:rsidRDefault="000F6636" w:rsidP="000F6636">
      <w:pPr>
        <w:rPr>
          <w:color w:val="5B9BD5"/>
          <w:sz w:val="18"/>
          <w:szCs w:val="18"/>
          <w:highlight w:val="yellow"/>
        </w:rPr>
      </w:pPr>
    </w:p>
    <w:p w14:paraId="484E4CD1" w14:textId="77777777" w:rsidR="000F6636" w:rsidRPr="0088520B" w:rsidRDefault="000F6636" w:rsidP="000F6636">
      <w:pPr>
        <w:rPr>
          <w:color w:val="5B9BD5"/>
          <w:sz w:val="18"/>
          <w:szCs w:val="18"/>
          <w:highlight w:val="yellow"/>
        </w:rPr>
      </w:pPr>
    </w:p>
    <w:p w14:paraId="7EE5D121" w14:textId="77777777" w:rsidR="000F6636" w:rsidRPr="0088520B" w:rsidRDefault="000F6636" w:rsidP="000F6636">
      <w:pPr>
        <w:rPr>
          <w:color w:val="5B9BD5"/>
          <w:sz w:val="18"/>
          <w:szCs w:val="18"/>
          <w:highlight w:val="yellow"/>
        </w:rPr>
      </w:pPr>
    </w:p>
    <w:p w14:paraId="5194CBB5" w14:textId="77777777" w:rsidR="000F6636" w:rsidRPr="0088520B" w:rsidRDefault="000F6636" w:rsidP="000F6636">
      <w:pPr>
        <w:rPr>
          <w:color w:val="5B9BD5"/>
          <w:sz w:val="18"/>
          <w:szCs w:val="18"/>
          <w:highlight w:val="yellow"/>
        </w:rPr>
      </w:pPr>
    </w:p>
    <w:p w14:paraId="5457CE2C" w14:textId="77777777" w:rsidR="000F6636" w:rsidRPr="0088520B" w:rsidRDefault="000F6636" w:rsidP="000F6636">
      <w:pPr>
        <w:rPr>
          <w:color w:val="5B9BD5"/>
          <w:sz w:val="18"/>
          <w:szCs w:val="18"/>
          <w:highlight w:val="yellow"/>
        </w:rPr>
      </w:pPr>
    </w:p>
    <w:tbl>
      <w:tblPr>
        <w:tblW w:w="9072" w:type="dxa"/>
        <w:jc w:val="center"/>
        <w:tblLayout w:type="fixed"/>
        <w:tblCellMar>
          <w:left w:w="70" w:type="dxa"/>
          <w:right w:w="70" w:type="dxa"/>
        </w:tblCellMar>
        <w:tblLook w:val="04A0" w:firstRow="1" w:lastRow="0" w:firstColumn="1" w:lastColumn="0" w:noHBand="0" w:noVBand="1"/>
      </w:tblPr>
      <w:tblGrid>
        <w:gridCol w:w="4395"/>
        <w:gridCol w:w="1134"/>
        <w:gridCol w:w="817"/>
        <w:gridCol w:w="637"/>
        <w:gridCol w:w="635"/>
        <w:gridCol w:w="795"/>
        <w:gridCol w:w="659"/>
      </w:tblGrid>
      <w:tr w:rsidR="000F6636" w:rsidRPr="0088520B" w14:paraId="129BD4BB" w14:textId="77777777" w:rsidTr="00484DB0">
        <w:trPr>
          <w:gridAfter w:val="3"/>
          <w:wAfter w:w="2089" w:type="dxa"/>
          <w:trHeight w:val="211"/>
          <w:jc w:val="center"/>
        </w:trPr>
        <w:tc>
          <w:tcPr>
            <w:tcW w:w="6983" w:type="dxa"/>
            <w:gridSpan w:val="4"/>
            <w:tcBorders>
              <w:top w:val="nil"/>
              <w:left w:val="nil"/>
              <w:bottom w:val="single" w:sz="4" w:space="0" w:color="auto"/>
            </w:tcBorders>
            <w:shd w:val="clear" w:color="auto" w:fill="auto"/>
            <w:noWrap/>
            <w:vAlign w:val="bottom"/>
            <w:hideMark/>
          </w:tcPr>
          <w:p w14:paraId="478D4BA5" w14:textId="77777777" w:rsidR="000F6636" w:rsidRPr="0088520B" w:rsidRDefault="000F6636" w:rsidP="00484DB0">
            <w:pPr>
              <w:rPr>
                <w:rFonts w:eastAsia="Calibri"/>
                <w:b/>
                <w:color w:val="2C9ADC"/>
                <w:sz w:val="20"/>
                <w:szCs w:val="20"/>
              </w:rPr>
            </w:pPr>
            <w:bookmarkStart w:id="268" w:name="_Toc480905418"/>
            <w:bookmarkStart w:id="269" w:name="_Toc40186691"/>
            <w:bookmarkStart w:id="270" w:name="_Toc71622465"/>
            <w:r w:rsidRPr="0088520B">
              <w:rPr>
                <w:rFonts w:eastAsia="Calibri"/>
                <w:b/>
                <w:color w:val="2C9ADC"/>
                <w:sz w:val="20"/>
                <w:szCs w:val="20"/>
              </w:rPr>
              <w:t>Tabuľka 4 – Vývoj dlhu verejnej správy (% HDP)</w:t>
            </w:r>
            <w:bookmarkEnd w:id="268"/>
            <w:bookmarkEnd w:id="269"/>
            <w:bookmarkEnd w:id="270"/>
          </w:p>
        </w:tc>
      </w:tr>
      <w:tr w:rsidR="000F6636" w:rsidRPr="0088520B" w14:paraId="5D40ADEE" w14:textId="77777777" w:rsidTr="008C224D">
        <w:trPr>
          <w:trHeight w:val="173"/>
          <w:jc w:val="center"/>
        </w:trPr>
        <w:tc>
          <w:tcPr>
            <w:tcW w:w="4395" w:type="dxa"/>
            <w:tcBorders>
              <w:top w:val="single" w:sz="4" w:space="0" w:color="auto"/>
              <w:left w:val="nil"/>
              <w:right w:val="nil"/>
            </w:tcBorders>
            <w:shd w:val="clear" w:color="auto" w:fill="auto"/>
            <w:vAlign w:val="center"/>
            <w:hideMark/>
          </w:tcPr>
          <w:p w14:paraId="7F3CD0F6" w14:textId="77777777" w:rsidR="000F6636" w:rsidRPr="0088520B" w:rsidRDefault="000F6636" w:rsidP="00484DB0">
            <w:pPr>
              <w:jc w:val="center"/>
              <w:rPr>
                <w:rFonts w:cs="Times New Roman"/>
                <w:color w:val="000000"/>
                <w:sz w:val="18"/>
                <w:szCs w:val="18"/>
              </w:rPr>
            </w:pPr>
            <w:r w:rsidRPr="0088520B">
              <w:rPr>
                <w:rFonts w:cs="Times New Roman"/>
                <w:color w:val="000000"/>
                <w:sz w:val="18"/>
                <w:szCs w:val="18"/>
              </w:rPr>
              <w:t> </w:t>
            </w:r>
          </w:p>
        </w:tc>
        <w:tc>
          <w:tcPr>
            <w:tcW w:w="1134" w:type="dxa"/>
            <w:tcBorders>
              <w:top w:val="single" w:sz="4" w:space="0" w:color="auto"/>
              <w:left w:val="nil"/>
              <w:right w:val="nil"/>
            </w:tcBorders>
            <w:shd w:val="clear" w:color="auto" w:fill="auto"/>
            <w:vAlign w:val="center"/>
          </w:tcPr>
          <w:p w14:paraId="5B297510" w14:textId="0958D4AC" w:rsidR="000F6636" w:rsidRPr="0088520B" w:rsidRDefault="008C224D" w:rsidP="00484DB0">
            <w:pPr>
              <w:jc w:val="center"/>
              <w:rPr>
                <w:rFonts w:cs="Times New Roman"/>
                <w:color w:val="000000"/>
                <w:sz w:val="18"/>
                <w:szCs w:val="18"/>
              </w:rPr>
            </w:pPr>
            <w:r>
              <w:rPr>
                <w:rFonts w:cs="Times New Roman"/>
                <w:color w:val="000000"/>
                <w:sz w:val="18"/>
                <w:szCs w:val="18"/>
              </w:rPr>
              <w:t xml:space="preserve">ESA kód </w:t>
            </w:r>
          </w:p>
        </w:tc>
        <w:tc>
          <w:tcPr>
            <w:tcW w:w="817" w:type="dxa"/>
            <w:tcBorders>
              <w:top w:val="single" w:sz="4" w:space="0" w:color="auto"/>
              <w:left w:val="nil"/>
              <w:right w:val="nil"/>
            </w:tcBorders>
            <w:shd w:val="clear" w:color="auto" w:fill="auto"/>
            <w:vAlign w:val="center"/>
            <w:hideMark/>
          </w:tcPr>
          <w:p w14:paraId="607CBEDA"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3</w:t>
            </w:r>
          </w:p>
        </w:tc>
        <w:tc>
          <w:tcPr>
            <w:tcW w:w="637" w:type="dxa"/>
            <w:tcBorders>
              <w:top w:val="single" w:sz="4" w:space="0" w:color="auto"/>
              <w:left w:val="nil"/>
              <w:right w:val="nil"/>
            </w:tcBorders>
            <w:shd w:val="clear" w:color="auto" w:fill="auto"/>
            <w:vAlign w:val="center"/>
            <w:hideMark/>
          </w:tcPr>
          <w:p w14:paraId="2CB29B72"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4</w:t>
            </w:r>
          </w:p>
        </w:tc>
        <w:tc>
          <w:tcPr>
            <w:tcW w:w="635" w:type="dxa"/>
            <w:tcBorders>
              <w:top w:val="single" w:sz="2" w:space="0" w:color="000000"/>
              <w:left w:val="nil"/>
              <w:right w:val="nil"/>
            </w:tcBorders>
            <w:shd w:val="clear" w:color="auto" w:fill="auto"/>
            <w:vAlign w:val="center"/>
            <w:hideMark/>
          </w:tcPr>
          <w:p w14:paraId="5B022D9E"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5</w:t>
            </w:r>
          </w:p>
        </w:tc>
        <w:tc>
          <w:tcPr>
            <w:tcW w:w="795" w:type="dxa"/>
            <w:tcBorders>
              <w:top w:val="single" w:sz="2" w:space="0" w:color="000000"/>
              <w:left w:val="nil"/>
              <w:right w:val="nil"/>
            </w:tcBorders>
            <w:shd w:val="clear" w:color="auto" w:fill="auto"/>
            <w:vAlign w:val="center"/>
            <w:hideMark/>
          </w:tcPr>
          <w:p w14:paraId="7D9CF1FE"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6</w:t>
            </w:r>
          </w:p>
        </w:tc>
        <w:tc>
          <w:tcPr>
            <w:tcW w:w="659" w:type="dxa"/>
            <w:tcBorders>
              <w:top w:val="single" w:sz="2" w:space="0" w:color="000000"/>
              <w:left w:val="nil"/>
              <w:right w:val="nil"/>
            </w:tcBorders>
            <w:shd w:val="clear" w:color="auto" w:fill="auto"/>
            <w:vAlign w:val="center"/>
            <w:hideMark/>
          </w:tcPr>
          <w:p w14:paraId="08FC972F"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7</w:t>
            </w:r>
          </w:p>
        </w:tc>
      </w:tr>
      <w:tr w:rsidR="000F6636" w:rsidRPr="0088520B" w14:paraId="49804AE4" w14:textId="77777777" w:rsidTr="008C224D">
        <w:trPr>
          <w:trHeight w:val="173"/>
          <w:jc w:val="center"/>
        </w:trPr>
        <w:tc>
          <w:tcPr>
            <w:tcW w:w="4395" w:type="dxa"/>
            <w:tcBorders>
              <w:top w:val="nil"/>
              <w:left w:val="nil"/>
              <w:bottom w:val="nil"/>
              <w:right w:val="nil"/>
            </w:tcBorders>
            <w:shd w:val="clear" w:color="auto" w:fill="auto"/>
            <w:noWrap/>
            <w:vAlign w:val="center"/>
            <w:hideMark/>
          </w:tcPr>
          <w:p w14:paraId="155D64B9" w14:textId="77777777" w:rsidR="000F6636" w:rsidRPr="0088520B" w:rsidRDefault="000F6636" w:rsidP="00484DB0">
            <w:pPr>
              <w:rPr>
                <w:rFonts w:cs="Times New Roman"/>
                <w:color w:val="000000"/>
                <w:sz w:val="18"/>
                <w:szCs w:val="18"/>
              </w:rPr>
            </w:pPr>
            <w:r w:rsidRPr="0088520B">
              <w:rPr>
                <w:rFonts w:cs="Times New Roman"/>
                <w:color w:val="000000"/>
                <w:sz w:val="18"/>
                <w:szCs w:val="18"/>
              </w:rPr>
              <w:t>1. Hrubý dlh</w:t>
            </w:r>
          </w:p>
        </w:tc>
        <w:tc>
          <w:tcPr>
            <w:tcW w:w="1134" w:type="dxa"/>
            <w:tcBorders>
              <w:top w:val="nil"/>
              <w:left w:val="nil"/>
              <w:bottom w:val="nil"/>
              <w:right w:val="nil"/>
            </w:tcBorders>
            <w:shd w:val="clear" w:color="auto" w:fill="auto"/>
            <w:noWrap/>
            <w:vAlign w:val="center"/>
          </w:tcPr>
          <w:p w14:paraId="3AEDB7D8" w14:textId="77777777" w:rsidR="000F6636" w:rsidRPr="0088520B" w:rsidRDefault="000F6636" w:rsidP="00484DB0">
            <w:pPr>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4CB29A82" w14:textId="77777777" w:rsidR="000F6636" w:rsidRPr="0088520B" w:rsidRDefault="000F6636" w:rsidP="00484DB0">
            <w:pPr>
              <w:jc w:val="center"/>
              <w:rPr>
                <w:rFonts w:cs="Times New Roman"/>
                <w:color w:val="000000"/>
                <w:sz w:val="18"/>
                <w:szCs w:val="18"/>
              </w:rPr>
            </w:pPr>
            <w:r>
              <w:rPr>
                <w:color w:val="000000"/>
                <w:sz w:val="18"/>
                <w:szCs w:val="18"/>
              </w:rPr>
              <w:t>56,0</w:t>
            </w:r>
          </w:p>
        </w:tc>
        <w:tc>
          <w:tcPr>
            <w:tcW w:w="637" w:type="dxa"/>
            <w:tcBorders>
              <w:top w:val="nil"/>
              <w:left w:val="nil"/>
              <w:bottom w:val="nil"/>
              <w:right w:val="nil"/>
            </w:tcBorders>
            <w:shd w:val="clear" w:color="auto" w:fill="auto"/>
            <w:vAlign w:val="center"/>
            <w:hideMark/>
          </w:tcPr>
          <w:p w14:paraId="7ADE3A2D" w14:textId="77777777" w:rsidR="000F6636" w:rsidRPr="0088520B" w:rsidRDefault="000F6636" w:rsidP="00484DB0">
            <w:pPr>
              <w:jc w:val="center"/>
              <w:rPr>
                <w:rFonts w:cs="Times New Roman"/>
                <w:color w:val="000000"/>
                <w:sz w:val="18"/>
                <w:szCs w:val="18"/>
              </w:rPr>
            </w:pPr>
            <w:r>
              <w:rPr>
                <w:color w:val="000000"/>
                <w:sz w:val="18"/>
                <w:szCs w:val="18"/>
              </w:rPr>
              <w:t>58,6</w:t>
            </w:r>
          </w:p>
        </w:tc>
        <w:tc>
          <w:tcPr>
            <w:tcW w:w="635" w:type="dxa"/>
            <w:tcBorders>
              <w:top w:val="nil"/>
              <w:left w:val="nil"/>
              <w:bottom w:val="nil"/>
              <w:right w:val="nil"/>
            </w:tcBorders>
            <w:shd w:val="clear" w:color="auto" w:fill="auto"/>
            <w:vAlign w:val="center"/>
            <w:hideMark/>
          </w:tcPr>
          <w:p w14:paraId="3A6ABF18" w14:textId="77777777" w:rsidR="000F6636" w:rsidRPr="0088520B" w:rsidRDefault="000F6636" w:rsidP="00484DB0">
            <w:pPr>
              <w:jc w:val="center"/>
              <w:rPr>
                <w:rFonts w:cs="Times New Roman"/>
                <w:color w:val="000000"/>
                <w:sz w:val="18"/>
                <w:szCs w:val="18"/>
              </w:rPr>
            </w:pPr>
            <w:r>
              <w:rPr>
                <w:color w:val="000000"/>
                <w:sz w:val="18"/>
                <w:szCs w:val="18"/>
              </w:rPr>
              <w:t>59,8</w:t>
            </w:r>
          </w:p>
        </w:tc>
        <w:tc>
          <w:tcPr>
            <w:tcW w:w="795" w:type="dxa"/>
            <w:tcBorders>
              <w:top w:val="nil"/>
              <w:left w:val="nil"/>
              <w:bottom w:val="nil"/>
              <w:right w:val="nil"/>
            </w:tcBorders>
            <w:shd w:val="clear" w:color="auto" w:fill="auto"/>
            <w:vAlign w:val="center"/>
            <w:hideMark/>
          </w:tcPr>
          <w:p w14:paraId="2C31C12E" w14:textId="77777777" w:rsidR="000F6636" w:rsidRPr="0088520B" w:rsidRDefault="000F6636" w:rsidP="00484DB0">
            <w:pPr>
              <w:jc w:val="center"/>
              <w:rPr>
                <w:rFonts w:cs="Times New Roman"/>
                <w:color w:val="000000"/>
                <w:sz w:val="18"/>
                <w:szCs w:val="18"/>
              </w:rPr>
            </w:pPr>
            <w:r>
              <w:rPr>
                <w:color w:val="000000"/>
                <w:sz w:val="18"/>
                <w:szCs w:val="18"/>
              </w:rPr>
              <w:t>63,6</w:t>
            </w:r>
          </w:p>
        </w:tc>
        <w:tc>
          <w:tcPr>
            <w:tcW w:w="659" w:type="dxa"/>
            <w:tcBorders>
              <w:top w:val="nil"/>
              <w:left w:val="nil"/>
              <w:bottom w:val="nil"/>
              <w:right w:val="nil"/>
            </w:tcBorders>
            <w:shd w:val="clear" w:color="auto" w:fill="auto"/>
            <w:vAlign w:val="center"/>
            <w:hideMark/>
          </w:tcPr>
          <w:p w14:paraId="0BCCC3CD" w14:textId="77777777" w:rsidR="000F6636" w:rsidRPr="0088520B" w:rsidRDefault="000F6636" w:rsidP="00484DB0">
            <w:pPr>
              <w:jc w:val="center"/>
              <w:rPr>
                <w:rFonts w:cs="Times New Roman"/>
                <w:color w:val="000000"/>
                <w:sz w:val="18"/>
                <w:szCs w:val="18"/>
              </w:rPr>
            </w:pPr>
            <w:r>
              <w:rPr>
                <w:color w:val="000000"/>
                <w:sz w:val="18"/>
                <w:szCs w:val="18"/>
              </w:rPr>
              <w:t>67,8</w:t>
            </w:r>
          </w:p>
        </w:tc>
      </w:tr>
      <w:tr w:rsidR="000F6636" w:rsidRPr="0088520B" w14:paraId="2A240DF8" w14:textId="77777777" w:rsidTr="00C525B1">
        <w:trPr>
          <w:trHeight w:val="173"/>
          <w:jc w:val="center"/>
        </w:trPr>
        <w:tc>
          <w:tcPr>
            <w:tcW w:w="4395" w:type="dxa"/>
            <w:tcBorders>
              <w:top w:val="nil"/>
              <w:left w:val="nil"/>
              <w:bottom w:val="single" w:sz="4" w:space="0" w:color="auto"/>
              <w:right w:val="nil"/>
            </w:tcBorders>
            <w:shd w:val="clear" w:color="auto" w:fill="auto"/>
            <w:vAlign w:val="center"/>
            <w:hideMark/>
          </w:tcPr>
          <w:p w14:paraId="59C5E83D" w14:textId="77777777" w:rsidR="000F6636" w:rsidRPr="0088520B" w:rsidRDefault="000F6636" w:rsidP="00484DB0">
            <w:pPr>
              <w:rPr>
                <w:rFonts w:cs="Times New Roman"/>
                <w:color w:val="000000"/>
                <w:sz w:val="18"/>
                <w:szCs w:val="18"/>
              </w:rPr>
            </w:pPr>
            <w:r w:rsidRPr="0088520B">
              <w:rPr>
                <w:rFonts w:cs="Times New Roman"/>
                <w:color w:val="000000"/>
                <w:sz w:val="18"/>
                <w:szCs w:val="18"/>
              </w:rPr>
              <w:t>2. Zmena hrubého dlhu</w:t>
            </w:r>
          </w:p>
        </w:tc>
        <w:tc>
          <w:tcPr>
            <w:tcW w:w="1134" w:type="dxa"/>
            <w:tcBorders>
              <w:top w:val="nil"/>
              <w:left w:val="nil"/>
              <w:bottom w:val="single" w:sz="4" w:space="0" w:color="auto"/>
              <w:right w:val="nil"/>
            </w:tcBorders>
            <w:shd w:val="clear" w:color="auto" w:fill="auto"/>
            <w:vAlign w:val="center"/>
          </w:tcPr>
          <w:p w14:paraId="186B5D14" w14:textId="77777777" w:rsidR="000F6636" w:rsidRPr="0088520B" w:rsidRDefault="000F6636" w:rsidP="00484DB0">
            <w:pPr>
              <w:rPr>
                <w:rFonts w:cs="Times New Roman"/>
                <w:color w:val="000000"/>
                <w:sz w:val="18"/>
                <w:szCs w:val="18"/>
              </w:rPr>
            </w:pPr>
          </w:p>
        </w:tc>
        <w:tc>
          <w:tcPr>
            <w:tcW w:w="817" w:type="dxa"/>
            <w:tcBorders>
              <w:top w:val="nil"/>
              <w:left w:val="nil"/>
              <w:bottom w:val="single" w:sz="4" w:space="0" w:color="auto"/>
              <w:right w:val="nil"/>
            </w:tcBorders>
            <w:shd w:val="clear" w:color="auto" w:fill="auto"/>
            <w:vAlign w:val="center"/>
            <w:hideMark/>
          </w:tcPr>
          <w:p w14:paraId="69DE97D6" w14:textId="77777777" w:rsidR="000F6636" w:rsidRPr="0088520B" w:rsidRDefault="000F6636" w:rsidP="00484DB0">
            <w:pPr>
              <w:jc w:val="center"/>
              <w:rPr>
                <w:rFonts w:cs="Times New Roman"/>
                <w:color w:val="000000"/>
                <w:sz w:val="18"/>
                <w:szCs w:val="18"/>
              </w:rPr>
            </w:pPr>
            <w:r>
              <w:rPr>
                <w:color w:val="000000"/>
                <w:sz w:val="18"/>
                <w:szCs w:val="18"/>
              </w:rPr>
              <w:t>-1,7</w:t>
            </w:r>
          </w:p>
        </w:tc>
        <w:tc>
          <w:tcPr>
            <w:tcW w:w="637" w:type="dxa"/>
            <w:tcBorders>
              <w:top w:val="nil"/>
              <w:left w:val="nil"/>
              <w:bottom w:val="single" w:sz="4" w:space="0" w:color="auto"/>
              <w:right w:val="nil"/>
            </w:tcBorders>
            <w:shd w:val="clear" w:color="auto" w:fill="auto"/>
            <w:vAlign w:val="center"/>
            <w:hideMark/>
          </w:tcPr>
          <w:p w14:paraId="1B73E933" w14:textId="77777777" w:rsidR="000F6636" w:rsidRPr="0088520B" w:rsidRDefault="000F6636" w:rsidP="00484DB0">
            <w:pPr>
              <w:jc w:val="center"/>
              <w:rPr>
                <w:rFonts w:cs="Times New Roman"/>
                <w:color w:val="000000"/>
                <w:sz w:val="18"/>
                <w:szCs w:val="18"/>
              </w:rPr>
            </w:pPr>
            <w:r>
              <w:rPr>
                <w:color w:val="000000"/>
                <w:sz w:val="18"/>
                <w:szCs w:val="18"/>
              </w:rPr>
              <w:t>2,6</w:t>
            </w:r>
          </w:p>
        </w:tc>
        <w:tc>
          <w:tcPr>
            <w:tcW w:w="635" w:type="dxa"/>
            <w:tcBorders>
              <w:top w:val="nil"/>
              <w:left w:val="nil"/>
              <w:bottom w:val="single" w:sz="4" w:space="0" w:color="auto"/>
              <w:right w:val="nil"/>
            </w:tcBorders>
            <w:shd w:val="clear" w:color="auto" w:fill="auto"/>
            <w:vAlign w:val="center"/>
            <w:hideMark/>
          </w:tcPr>
          <w:p w14:paraId="48C6180D" w14:textId="77777777" w:rsidR="000F6636" w:rsidRPr="0088520B" w:rsidRDefault="000F6636" w:rsidP="00484DB0">
            <w:pPr>
              <w:jc w:val="center"/>
              <w:rPr>
                <w:rFonts w:cs="Times New Roman"/>
                <w:color w:val="000000"/>
                <w:sz w:val="18"/>
                <w:szCs w:val="18"/>
              </w:rPr>
            </w:pPr>
            <w:r>
              <w:rPr>
                <w:color w:val="000000"/>
                <w:sz w:val="18"/>
                <w:szCs w:val="18"/>
              </w:rPr>
              <w:t>1,2</w:t>
            </w:r>
          </w:p>
        </w:tc>
        <w:tc>
          <w:tcPr>
            <w:tcW w:w="795" w:type="dxa"/>
            <w:tcBorders>
              <w:top w:val="nil"/>
              <w:left w:val="nil"/>
              <w:bottom w:val="single" w:sz="4" w:space="0" w:color="auto"/>
              <w:right w:val="nil"/>
            </w:tcBorders>
            <w:shd w:val="clear" w:color="auto" w:fill="auto"/>
            <w:vAlign w:val="center"/>
            <w:hideMark/>
          </w:tcPr>
          <w:p w14:paraId="72959259" w14:textId="77777777" w:rsidR="000F6636" w:rsidRPr="0088520B" w:rsidRDefault="000F6636" w:rsidP="00484DB0">
            <w:pPr>
              <w:jc w:val="center"/>
              <w:rPr>
                <w:rFonts w:cs="Times New Roman"/>
                <w:color w:val="000000"/>
                <w:sz w:val="18"/>
                <w:szCs w:val="18"/>
              </w:rPr>
            </w:pPr>
            <w:r>
              <w:rPr>
                <w:color w:val="000000"/>
                <w:sz w:val="18"/>
                <w:szCs w:val="18"/>
              </w:rPr>
              <w:t>3,8</w:t>
            </w:r>
          </w:p>
        </w:tc>
        <w:tc>
          <w:tcPr>
            <w:tcW w:w="659" w:type="dxa"/>
            <w:tcBorders>
              <w:top w:val="nil"/>
              <w:left w:val="nil"/>
              <w:bottom w:val="single" w:sz="4" w:space="0" w:color="auto"/>
              <w:right w:val="nil"/>
            </w:tcBorders>
            <w:shd w:val="clear" w:color="auto" w:fill="auto"/>
            <w:vAlign w:val="center"/>
            <w:hideMark/>
          </w:tcPr>
          <w:p w14:paraId="6F1C4230" w14:textId="77777777" w:rsidR="000F6636" w:rsidRPr="0088520B" w:rsidRDefault="000F6636" w:rsidP="00484DB0">
            <w:pPr>
              <w:jc w:val="center"/>
              <w:rPr>
                <w:rFonts w:cs="Times New Roman"/>
                <w:color w:val="000000"/>
                <w:sz w:val="18"/>
                <w:szCs w:val="18"/>
              </w:rPr>
            </w:pPr>
            <w:r>
              <w:rPr>
                <w:color w:val="000000"/>
                <w:sz w:val="18"/>
                <w:szCs w:val="18"/>
              </w:rPr>
              <w:t>4,2</w:t>
            </w:r>
          </w:p>
        </w:tc>
      </w:tr>
      <w:tr w:rsidR="000F6636" w:rsidRPr="0088520B" w14:paraId="67608F65" w14:textId="77777777" w:rsidTr="00C525B1">
        <w:trPr>
          <w:trHeight w:val="173"/>
          <w:jc w:val="center"/>
        </w:trPr>
        <w:tc>
          <w:tcPr>
            <w:tcW w:w="8413" w:type="dxa"/>
            <w:gridSpan w:val="6"/>
            <w:tcBorders>
              <w:top w:val="single" w:sz="4" w:space="0" w:color="auto"/>
              <w:left w:val="nil"/>
              <w:right w:val="nil"/>
            </w:tcBorders>
            <w:shd w:val="clear" w:color="auto" w:fill="auto"/>
            <w:vAlign w:val="center"/>
            <w:hideMark/>
          </w:tcPr>
          <w:p w14:paraId="4438B78A" w14:textId="77777777" w:rsidR="000F6636" w:rsidRPr="0088520B" w:rsidRDefault="000F6636" w:rsidP="00484DB0">
            <w:pPr>
              <w:spacing w:before="60" w:after="60"/>
              <w:rPr>
                <w:rFonts w:cs="Times New Roman"/>
                <w:b/>
                <w:bCs/>
                <w:color w:val="000000"/>
                <w:sz w:val="18"/>
                <w:szCs w:val="18"/>
              </w:rPr>
            </w:pPr>
            <w:r w:rsidRPr="0088520B">
              <w:rPr>
                <w:rFonts w:cs="Times New Roman"/>
                <w:b/>
                <w:bCs/>
                <w:color w:val="000000"/>
                <w:sz w:val="18"/>
                <w:szCs w:val="18"/>
              </w:rPr>
              <w:t>Príspevky k zmene hrubého dlhu</w:t>
            </w:r>
          </w:p>
        </w:tc>
        <w:tc>
          <w:tcPr>
            <w:tcW w:w="659" w:type="dxa"/>
            <w:tcBorders>
              <w:top w:val="single" w:sz="4" w:space="0" w:color="auto"/>
              <w:left w:val="nil"/>
              <w:right w:val="nil"/>
            </w:tcBorders>
            <w:shd w:val="clear" w:color="auto" w:fill="auto"/>
            <w:vAlign w:val="center"/>
            <w:hideMark/>
          </w:tcPr>
          <w:p w14:paraId="4EE5F7CF" w14:textId="77777777" w:rsidR="000F6636" w:rsidRPr="0088520B" w:rsidRDefault="000F6636" w:rsidP="00484DB0">
            <w:pPr>
              <w:jc w:val="center"/>
              <w:rPr>
                <w:rFonts w:cs="Times New Roman"/>
                <w:b/>
                <w:bCs/>
                <w:color w:val="000000"/>
                <w:sz w:val="18"/>
                <w:szCs w:val="18"/>
              </w:rPr>
            </w:pPr>
          </w:p>
        </w:tc>
      </w:tr>
      <w:tr w:rsidR="000F6636" w:rsidRPr="0088520B" w14:paraId="70FBEAC6" w14:textId="77777777" w:rsidTr="00C525B1">
        <w:trPr>
          <w:trHeight w:val="173"/>
          <w:jc w:val="center"/>
        </w:trPr>
        <w:tc>
          <w:tcPr>
            <w:tcW w:w="4395" w:type="dxa"/>
            <w:tcBorders>
              <w:left w:val="nil"/>
              <w:bottom w:val="nil"/>
              <w:right w:val="nil"/>
            </w:tcBorders>
            <w:shd w:val="clear" w:color="auto" w:fill="auto"/>
            <w:noWrap/>
            <w:vAlign w:val="center"/>
            <w:hideMark/>
          </w:tcPr>
          <w:p w14:paraId="7E6A15AA" w14:textId="77777777" w:rsidR="000F6636" w:rsidRPr="0088520B" w:rsidRDefault="000F6636" w:rsidP="00484DB0">
            <w:pPr>
              <w:rPr>
                <w:rFonts w:cs="Times New Roman"/>
                <w:color w:val="000000"/>
                <w:sz w:val="18"/>
                <w:szCs w:val="18"/>
              </w:rPr>
            </w:pPr>
            <w:r w:rsidRPr="0088520B">
              <w:rPr>
                <w:rFonts w:cs="Times New Roman"/>
                <w:color w:val="000000"/>
                <w:sz w:val="18"/>
                <w:szCs w:val="18"/>
              </w:rPr>
              <w:t>3. Primárne saldo</w:t>
            </w:r>
          </w:p>
        </w:tc>
        <w:tc>
          <w:tcPr>
            <w:tcW w:w="1134" w:type="dxa"/>
            <w:tcBorders>
              <w:left w:val="nil"/>
              <w:bottom w:val="nil"/>
              <w:right w:val="nil"/>
            </w:tcBorders>
            <w:shd w:val="clear" w:color="auto" w:fill="auto"/>
            <w:noWrap/>
            <w:vAlign w:val="center"/>
            <w:hideMark/>
          </w:tcPr>
          <w:p w14:paraId="46CE2440" w14:textId="77777777" w:rsidR="000F6636" w:rsidRPr="0088520B" w:rsidRDefault="000F6636" w:rsidP="00484DB0">
            <w:pPr>
              <w:rPr>
                <w:rFonts w:cs="Times New Roman"/>
                <w:color w:val="000000"/>
                <w:sz w:val="18"/>
                <w:szCs w:val="18"/>
              </w:rPr>
            </w:pPr>
          </w:p>
        </w:tc>
        <w:tc>
          <w:tcPr>
            <w:tcW w:w="817" w:type="dxa"/>
            <w:tcBorders>
              <w:left w:val="nil"/>
              <w:bottom w:val="nil"/>
              <w:right w:val="nil"/>
            </w:tcBorders>
            <w:shd w:val="clear" w:color="auto" w:fill="auto"/>
            <w:vAlign w:val="center"/>
            <w:hideMark/>
          </w:tcPr>
          <w:p w14:paraId="6D519113" w14:textId="77777777" w:rsidR="000F6636" w:rsidRPr="0088520B" w:rsidRDefault="000F6636" w:rsidP="00484DB0">
            <w:pPr>
              <w:jc w:val="center"/>
              <w:rPr>
                <w:rFonts w:cs="Times New Roman"/>
                <w:color w:val="000000"/>
                <w:sz w:val="18"/>
                <w:szCs w:val="18"/>
              </w:rPr>
            </w:pPr>
            <w:r>
              <w:rPr>
                <w:color w:val="000000"/>
                <w:sz w:val="18"/>
                <w:szCs w:val="18"/>
              </w:rPr>
              <w:t>3,7</w:t>
            </w:r>
          </w:p>
        </w:tc>
        <w:tc>
          <w:tcPr>
            <w:tcW w:w="637" w:type="dxa"/>
            <w:tcBorders>
              <w:left w:val="nil"/>
              <w:bottom w:val="nil"/>
              <w:right w:val="nil"/>
            </w:tcBorders>
            <w:shd w:val="clear" w:color="auto" w:fill="auto"/>
            <w:vAlign w:val="center"/>
            <w:hideMark/>
          </w:tcPr>
          <w:p w14:paraId="6D378055" w14:textId="77777777" w:rsidR="000F6636" w:rsidRPr="0088520B" w:rsidRDefault="000F6636" w:rsidP="00484DB0">
            <w:pPr>
              <w:jc w:val="center"/>
              <w:rPr>
                <w:rFonts w:cs="Times New Roman"/>
                <w:color w:val="000000"/>
                <w:sz w:val="18"/>
                <w:szCs w:val="18"/>
              </w:rPr>
            </w:pPr>
            <w:r>
              <w:rPr>
                <w:color w:val="000000"/>
                <w:sz w:val="18"/>
                <w:szCs w:val="18"/>
              </w:rPr>
              <w:t>4,5</w:t>
            </w:r>
          </w:p>
        </w:tc>
        <w:tc>
          <w:tcPr>
            <w:tcW w:w="635" w:type="dxa"/>
            <w:tcBorders>
              <w:left w:val="nil"/>
              <w:bottom w:val="nil"/>
              <w:right w:val="nil"/>
            </w:tcBorders>
            <w:shd w:val="clear" w:color="auto" w:fill="auto"/>
            <w:vAlign w:val="center"/>
            <w:hideMark/>
          </w:tcPr>
          <w:p w14:paraId="05433598" w14:textId="77777777" w:rsidR="000F6636" w:rsidRPr="0088520B" w:rsidRDefault="000F6636" w:rsidP="00484DB0">
            <w:pPr>
              <w:jc w:val="center"/>
              <w:rPr>
                <w:rFonts w:cs="Times New Roman"/>
                <w:color w:val="000000"/>
                <w:sz w:val="18"/>
                <w:szCs w:val="18"/>
              </w:rPr>
            </w:pPr>
            <w:r>
              <w:rPr>
                <w:color w:val="000000"/>
                <w:sz w:val="18"/>
                <w:szCs w:val="18"/>
              </w:rPr>
              <w:t>3,9</w:t>
            </w:r>
          </w:p>
        </w:tc>
        <w:tc>
          <w:tcPr>
            <w:tcW w:w="795" w:type="dxa"/>
            <w:tcBorders>
              <w:left w:val="nil"/>
              <w:bottom w:val="nil"/>
              <w:right w:val="nil"/>
            </w:tcBorders>
            <w:shd w:val="clear" w:color="auto" w:fill="auto"/>
            <w:vAlign w:val="center"/>
            <w:hideMark/>
          </w:tcPr>
          <w:p w14:paraId="7E6BAD4E" w14:textId="77777777" w:rsidR="000F6636" w:rsidRPr="0088520B" w:rsidRDefault="000F6636" w:rsidP="00484DB0">
            <w:pPr>
              <w:jc w:val="center"/>
              <w:rPr>
                <w:rFonts w:cs="Times New Roman"/>
                <w:color w:val="000000"/>
                <w:sz w:val="18"/>
                <w:szCs w:val="18"/>
              </w:rPr>
            </w:pPr>
            <w:r>
              <w:rPr>
                <w:color w:val="000000"/>
                <w:sz w:val="18"/>
                <w:szCs w:val="18"/>
              </w:rPr>
              <w:t>3,5</w:t>
            </w:r>
          </w:p>
        </w:tc>
        <w:tc>
          <w:tcPr>
            <w:tcW w:w="659" w:type="dxa"/>
            <w:tcBorders>
              <w:left w:val="nil"/>
              <w:bottom w:val="nil"/>
              <w:right w:val="nil"/>
            </w:tcBorders>
            <w:shd w:val="clear" w:color="auto" w:fill="auto"/>
            <w:vAlign w:val="center"/>
            <w:hideMark/>
          </w:tcPr>
          <w:p w14:paraId="03E4862C" w14:textId="77777777" w:rsidR="000F6636" w:rsidRPr="0088520B" w:rsidRDefault="000F6636" w:rsidP="00484DB0">
            <w:pPr>
              <w:jc w:val="center"/>
              <w:rPr>
                <w:rFonts w:cs="Times New Roman"/>
                <w:color w:val="000000"/>
                <w:sz w:val="18"/>
                <w:szCs w:val="18"/>
              </w:rPr>
            </w:pPr>
            <w:r>
              <w:rPr>
                <w:color w:val="000000"/>
                <w:sz w:val="18"/>
                <w:szCs w:val="18"/>
              </w:rPr>
              <w:t>3,6</w:t>
            </w:r>
          </w:p>
        </w:tc>
      </w:tr>
      <w:tr w:rsidR="0083101D" w:rsidRPr="0088520B" w14:paraId="1A6345FA" w14:textId="77777777" w:rsidTr="00206E75">
        <w:trPr>
          <w:trHeight w:val="173"/>
          <w:jc w:val="center"/>
        </w:trPr>
        <w:tc>
          <w:tcPr>
            <w:tcW w:w="5529" w:type="dxa"/>
            <w:gridSpan w:val="2"/>
            <w:tcBorders>
              <w:top w:val="nil"/>
              <w:left w:val="nil"/>
              <w:bottom w:val="nil"/>
              <w:right w:val="nil"/>
            </w:tcBorders>
            <w:shd w:val="clear" w:color="auto" w:fill="auto"/>
            <w:noWrap/>
            <w:vAlign w:val="center"/>
            <w:hideMark/>
          </w:tcPr>
          <w:p w14:paraId="0B6A8EE4" w14:textId="4C8AF153" w:rsidR="0083101D" w:rsidRPr="0088520B" w:rsidRDefault="0083101D" w:rsidP="0083101D">
            <w:pPr>
              <w:rPr>
                <w:rFonts w:cs="Times New Roman"/>
                <w:color w:val="000000"/>
                <w:sz w:val="18"/>
                <w:szCs w:val="18"/>
              </w:rPr>
            </w:pPr>
            <w:r w:rsidRPr="0088520B">
              <w:rPr>
                <w:rFonts w:cs="Times New Roman"/>
                <w:color w:val="000000"/>
                <w:sz w:val="18"/>
                <w:szCs w:val="18"/>
              </w:rPr>
              <w:t xml:space="preserve">4. Úroky                                                                                        </w:t>
            </w:r>
            <w:r>
              <w:rPr>
                <w:rFonts w:cs="Times New Roman"/>
                <w:color w:val="000000"/>
                <w:sz w:val="18"/>
                <w:szCs w:val="18"/>
              </w:rPr>
              <w:t xml:space="preserve">          EDP D.41</w:t>
            </w:r>
          </w:p>
        </w:tc>
        <w:tc>
          <w:tcPr>
            <w:tcW w:w="817" w:type="dxa"/>
            <w:tcBorders>
              <w:top w:val="nil"/>
              <w:left w:val="nil"/>
              <w:bottom w:val="nil"/>
              <w:right w:val="nil"/>
            </w:tcBorders>
            <w:shd w:val="clear" w:color="auto" w:fill="auto"/>
            <w:hideMark/>
          </w:tcPr>
          <w:p w14:paraId="11F8761B" w14:textId="28CFEAC5" w:rsidR="0083101D" w:rsidRPr="0083101D" w:rsidRDefault="0083101D" w:rsidP="0083101D">
            <w:pPr>
              <w:jc w:val="center"/>
              <w:rPr>
                <w:rFonts w:cs="Times New Roman"/>
                <w:color w:val="000000"/>
                <w:sz w:val="18"/>
                <w:szCs w:val="18"/>
              </w:rPr>
            </w:pPr>
            <w:r w:rsidRPr="0083101D">
              <w:rPr>
                <w:sz w:val="18"/>
                <w:szCs w:val="18"/>
              </w:rPr>
              <w:t>1,2</w:t>
            </w:r>
          </w:p>
        </w:tc>
        <w:tc>
          <w:tcPr>
            <w:tcW w:w="637" w:type="dxa"/>
            <w:tcBorders>
              <w:top w:val="nil"/>
              <w:left w:val="nil"/>
              <w:bottom w:val="nil"/>
              <w:right w:val="nil"/>
            </w:tcBorders>
            <w:shd w:val="clear" w:color="auto" w:fill="auto"/>
            <w:hideMark/>
          </w:tcPr>
          <w:p w14:paraId="03D7A2E8" w14:textId="62769D27" w:rsidR="0083101D" w:rsidRPr="0083101D" w:rsidRDefault="0083101D" w:rsidP="0083101D">
            <w:pPr>
              <w:jc w:val="center"/>
              <w:rPr>
                <w:rFonts w:cs="Times New Roman"/>
                <w:color w:val="000000"/>
                <w:sz w:val="18"/>
                <w:szCs w:val="18"/>
              </w:rPr>
            </w:pPr>
            <w:r w:rsidRPr="0083101D">
              <w:rPr>
                <w:sz w:val="18"/>
                <w:szCs w:val="18"/>
              </w:rPr>
              <w:t>1,4</w:t>
            </w:r>
          </w:p>
        </w:tc>
        <w:tc>
          <w:tcPr>
            <w:tcW w:w="635" w:type="dxa"/>
            <w:tcBorders>
              <w:top w:val="nil"/>
              <w:left w:val="nil"/>
              <w:bottom w:val="nil"/>
              <w:right w:val="nil"/>
            </w:tcBorders>
            <w:shd w:val="clear" w:color="auto" w:fill="auto"/>
            <w:hideMark/>
          </w:tcPr>
          <w:p w14:paraId="0291617F" w14:textId="3E368BE7" w:rsidR="0083101D" w:rsidRPr="0083101D" w:rsidRDefault="0083101D" w:rsidP="0083101D">
            <w:pPr>
              <w:jc w:val="center"/>
              <w:rPr>
                <w:rFonts w:cs="Times New Roman"/>
                <w:color w:val="000000"/>
                <w:sz w:val="18"/>
                <w:szCs w:val="18"/>
              </w:rPr>
            </w:pPr>
            <w:r w:rsidRPr="0083101D">
              <w:rPr>
                <w:sz w:val="18"/>
                <w:szCs w:val="18"/>
              </w:rPr>
              <w:t>1,6</w:t>
            </w:r>
          </w:p>
        </w:tc>
        <w:tc>
          <w:tcPr>
            <w:tcW w:w="795" w:type="dxa"/>
            <w:tcBorders>
              <w:top w:val="nil"/>
              <w:left w:val="nil"/>
              <w:bottom w:val="nil"/>
              <w:right w:val="nil"/>
            </w:tcBorders>
            <w:shd w:val="clear" w:color="auto" w:fill="auto"/>
            <w:hideMark/>
          </w:tcPr>
          <w:p w14:paraId="1E55F5FE" w14:textId="5A7B7706" w:rsidR="0083101D" w:rsidRPr="0083101D" w:rsidRDefault="0083101D" w:rsidP="0083101D">
            <w:pPr>
              <w:jc w:val="center"/>
              <w:rPr>
                <w:rFonts w:cs="Times New Roman"/>
                <w:color w:val="000000"/>
                <w:sz w:val="18"/>
                <w:szCs w:val="18"/>
              </w:rPr>
            </w:pPr>
            <w:r w:rsidRPr="0083101D">
              <w:rPr>
                <w:sz w:val="18"/>
                <w:szCs w:val="18"/>
              </w:rPr>
              <w:t>1,6</w:t>
            </w:r>
          </w:p>
        </w:tc>
        <w:tc>
          <w:tcPr>
            <w:tcW w:w="659" w:type="dxa"/>
            <w:tcBorders>
              <w:top w:val="nil"/>
              <w:left w:val="nil"/>
              <w:bottom w:val="nil"/>
              <w:right w:val="nil"/>
            </w:tcBorders>
            <w:shd w:val="clear" w:color="auto" w:fill="auto"/>
            <w:hideMark/>
          </w:tcPr>
          <w:p w14:paraId="62CAD53C" w14:textId="78A78ED3" w:rsidR="0083101D" w:rsidRPr="0083101D" w:rsidRDefault="0083101D" w:rsidP="0083101D">
            <w:pPr>
              <w:jc w:val="center"/>
              <w:rPr>
                <w:rFonts w:cs="Times New Roman"/>
                <w:color w:val="000000"/>
                <w:sz w:val="18"/>
                <w:szCs w:val="18"/>
              </w:rPr>
            </w:pPr>
            <w:r w:rsidRPr="0083101D">
              <w:rPr>
                <w:sz w:val="18"/>
                <w:szCs w:val="18"/>
              </w:rPr>
              <w:t>1,9</w:t>
            </w:r>
          </w:p>
        </w:tc>
      </w:tr>
      <w:tr w:rsidR="000F6636" w:rsidRPr="0088520B" w14:paraId="6ED11D6D" w14:textId="77777777" w:rsidTr="008C224D">
        <w:trPr>
          <w:trHeight w:val="173"/>
          <w:jc w:val="center"/>
        </w:trPr>
        <w:tc>
          <w:tcPr>
            <w:tcW w:w="4395" w:type="dxa"/>
            <w:tcBorders>
              <w:top w:val="nil"/>
              <w:left w:val="nil"/>
              <w:bottom w:val="nil"/>
              <w:right w:val="nil"/>
            </w:tcBorders>
            <w:shd w:val="clear" w:color="auto" w:fill="auto"/>
            <w:vAlign w:val="center"/>
            <w:hideMark/>
          </w:tcPr>
          <w:p w14:paraId="6D803FDD" w14:textId="77777777" w:rsidR="000F6636" w:rsidRPr="0088520B" w:rsidRDefault="000F6636" w:rsidP="00484DB0">
            <w:pPr>
              <w:rPr>
                <w:rFonts w:cs="Times New Roman"/>
                <w:color w:val="000000"/>
                <w:sz w:val="18"/>
                <w:szCs w:val="18"/>
              </w:rPr>
            </w:pPr>
            <w:r w:rsidRPr="0088520B">
              <w:rPr>
                <w:rFonts w:cs="Times New Roman"/>
                <w:color w:val="000000"/>
                <w:sz w:val="18"/>
                <w:szCs w:val="18"/>
              </w:rPr>
              <w:t>5. Zosúladenie dlhu a deficitu</w:t>
            </w:r>
          </w:p>
        </w:tc>
        <w:tc>
          <w:tcPr>
            <w:tcW w:w="1134" w:type="dxa"/>
            <w:tcBorders>
              <w:top w:val="nil"/>
              <w:left w:val="nil"/>
              <w:bottom w:val="nil"/>
              <w:right w:val="nil"/>
            </w:tcBorders>
            <w:shd w:val="clear" w:color="auto" w:fill="auto"/>
            <w:vAlign w:val="center"/>
            <w:hideMark/>
          </w:tcPr>
          <w:p w14:paraId="6C1EFC64" w14:textId="77777777" w:rsidR="000F6636" w:rsidRPr="0088520B" w:rsidRDefault="000F6636" w:rsidP="00484DB0">
            <w:pPr>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7BC572F3" w14:textId="77777777" w:rsidR="000F6636" w:rsidRPr="0088520B" w:rsidRDefault="000F6636" w:rsidP="00484DB0">
            <w:pPr>
              <w:jc w:val="center"/>
              <w:rPr>
                <w:rFonts w:cs="Times New Roman"/>
                <w:color w:val="000000"/>
                <w:sz w:val="18"/>
                <w:szCs w:val="18"/>
              </w:rPr>
            </w:pPr>
            <w:r>
              <w:rPr>
                <w:color w:val="000000"/>
                <w:sz w:val="18"/>
                <w:szCs w:val="18"/>
              </w:rPr>
              <w:t>-0,5</w:t>
            </w:r>
          </w:p>
        </w:tc>
        <w:tc>
          <w:tcPr>
            <w:tcW w:w="637" w:type="dxa"/>
            <w:tcBorders>
              <w:top w:val="nil"/>
              <w:left w:val="nil"/>
              <w:bottom w:val="nil"/>
              <w:right w:val="nil"/>
            </w:tcBorders>
            <w:shd w:val="clear" w:color="auto" w:fill="auto"/>
            <w:vAlign w:val="center"/>
            <w:hideMark/>
          </w:tcPr>
          <w:p w14:paraId="60D7C066" w14:textId="77777777" w:rsidR="000F6636" w:rsidRPr="0088520B" w:rsidRDefault="000F6636" w:rsidP="00484DB0">
            <w:pPr>
              <w:jc w:val="center"/>
              <w:rPr>
                <w:rFonts w:cs="Times New Roman"/>
                <w:color w:val="000000"/>
                <w:sz w:val="18"/>
                <w:szCs w:val="18"/>
              </w:rPr>
            </w:pPr>
            <w:r>
              <w:rPr>
                <w:color w:val="000000"/>
                <w:sz w:val="18"/>
                <w:szCs w:val="18"/>
              </w:rPr>
              <w:t>0,3</w:t>
            </w:r>
          </w:p>
        </w:tc>
        <w:tc>
          <w:tcPr>
            <w:tcW w:w="635" w:type="dxa"/>
            <w:tcBorders>
              <w:top w:val="nil"/>
              <w:left w:val="nil"/>
              <w:bottom w:val="nil"/>
              <w:right w:val="nil"/>
            </w:tcBorders>
            <w:shd w:val="clear" w:color="auto" w:fill="auto"/>
            <w:vAlign w:val="center"/>
            <w:hideMark/>
          </w:tcPr>
          <w:p w14:paraId="4FFCE717" w14:textId="77777777" w:rsidR="000F6636" w:rsidRPr="0088520B" w:rsidRDefault="000F6636" w:rsidP="00484DB0">
            <w:pPr>
              <w:jc w:val="center"/>
              <w:rPr>
                <w:rFonts w:cs="Times New Roman"/>
                <w:color w:val="000000"/>
                <w:sz w:val="18"/>
                <w:szCs w:val="18"/>
              </w:rPr>
            </w:pPr>
            <w:r>
              <w:rPr>
                <w:color w:val="000000"/>
                <w:sz w:val="18"/>
                <w:szCs w:val="18"/>
              </w:rPr>
              <w:t>-0,5</w:t>
            </w:r>
          </w:p>
        </w:tc>
        <w:tc>
          <w:tcPr>
            <w:tcW w:w="795" w:type="dxa"/>
            <w:tcBorders>
              <w:top w:val="nil"/>
              <w:left w:val="nil"/>
              <w:bottom w:val="nil"/>
              <w:right w:val="nil"/>
            </w:tcBorders>
            <w:shd w:val="clear" w:color="auto" w:fill="auto"/>
            <w:vAlign w:val="center"/>
            <w:hideMark/>
          </w:tcPr>
          <w:p w14:paraId="343A359F" w14:textId="77777777" w:rsidR="000F6636" w:rsidRPr="0088520B" w:rsidRDefault="000F6636" w:rsidP="00484DB0">
            <w:pPr>
              <w:jc w:val="center"/>
              <w:rPr>
                <w:rFonts w:cs="Times New Roman"/>
                <w:color w:val="000000"/>
                <w:sz w:val="18"/>
                <w:szCs w:val="18"/>
              </w:rPr>
            </w:pPr>
            <w:r>
              <w:rPr>
                <w:color w:val="000000"/>
                <w:sz w:val="18"/>
                <w:szCs w:val="18"/>
              </w:rPr>
              <w:t>1,3</w:t>
            </w:r>
          </w:p>
        </w:tc>
        <w:tc>
          <w:tcPr>
            <w:tcW w:w="659" w:type="dxa"/>
            <w:tcBorders>
              <w:top w:val="nil"/>
              <w:left w:val="nil"/>
              <w:bottom w:val="nil"/>
              <w:right w:val="nil"/>
            </w:tcBorders>
            <w:shd w:val="clear" w:color="auto" w:fill="auto"/>
            <w:vAlign w:val="center"/>
            <w:hideMark/>
          </w:tcPr>
          <w:p w14:paraId="3827ED8D" w14:textId="77777777" w:rsidR="000F6636" w:rsidRPr="0088520B" w:rsidRDefault="000F6636" w:rsidP="00484DB0">
            <w:pPr>
              <w:jc w:val="center"/>
              <w:rPr>
                <w:rFonts w:cs="Times New Roman"/>
                <w:color w:val="000000"/>
                <w:sz w:val="18"/>
                <w:szCs w:val="18"/>
              </w:rPr>
            </w:pPr>
            <w:r>
              <w:rPr>
                <w:color w:val="000000"/>
                <w:sz w:val="18"/>
                <w:szCs w:val="18"/>
              </w:rPr>
              <w:t>1,1</w:t>
            </w:r>
          </w:p>
        </w:tc>
      </w:tr>
      <w:tr w:rsidR="000F6636" w:rsidRPr="0088520B" w14:paraId="5276D75E" w14:textId="77777777" w:rsidTr="008C224D">
        <w:trPr>
          <w:trHeight w:val="173"/>
          <w:jc w:val="center"/>
        </w:trPr>
        <w:tc>
          <w:tcPr>
            <w:tcW w:w="4395" w:type="dxa"/>
            <w:tcBorders>
              <w:top w:val="nil"/>
              <w:left w:val="nil"/>
              <w:bottom w:val="nil"/>
              <w:right w:val="nil"/>
            </w:tcBorders>
            <w:shd w:val="clear" w:color="auto" w:fill="auto"/>
            <w:vAlign w:val="center"/>
            <w:hideMark/>
          </w:tcPr>
          <w:p w14:paraId="6762CB51" w14:textId="77777777" w:rsidR="000F6636" w:rsidRPr="0088520B" w:rsidRDefault="000F6636" w:rsidP="00484DB0">
            <w:pPr>
              <w:rPr>
                <w:rFonts w:cs="Times New Roman"/>
                <w:color w:val="000000"/>
                <w:sz w:val="18"/>
                <w:szCs w:val="18"/>
              </w:rPr>
            </w:pPr>
            <w:r w:rsidRPr="0088520B">
              <w:rPr>
                <w:rFonts w:cs="Times New Roman"/>
                <w:color w:val="000000"/>
                <w:sz w:val="18"/>
                <w:szCs w:val="18"/>
              </w:rPr>
              <w:t>z toho:</w:t>
            </w:r>
          </w:p>
        </w:tc>
        <w:tc>
          <w:tcPr>
            <w:tcW w:w="1134" w:type="dxa"/>
            <w:tcBorders>
              <w:top w:val="nil"/>
              <w:left w:val="nil"/>
              <w:bottom w:val="nil"/>
              <w:right w:val="nil"/>
            </w:tcBorders>
            <w:shd w:val="clear" w:color="auto" w:fill="auto"/>
            <w:vAlign w:val="center"/>
            <w:hideMark/>
          </w:tcPr>
          <w:p w14:paraId="541ED1D8" w14:textId="77777777" w:rsidR="000F6636" w:rsidRPr="0088520B" w:rsidRDefault="000F6636" w:rsidP="00484DB0">
            <w:pPr>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3D652921" w14:textId="77777777" w:rsidR="000F6636" w:rsidRPr="0088520B" w:rsidRDefault="000F6636" w:rsidP="00484DB0">
            <w:pPr>
              <w:jc w:val="center"/>
              <w:rPr>
                <w:rFonts w:cs="Times New Roman"/>
                <w:sz w:val="18"/>
                <w:szCs w:val="18"/>
              </w:rPr>
            </w:pPr>
          </w:p>
        </w:tc>
        <w:tc>
          <w:tcPr>
            <w:tcW w:w="637" w:type="dxa"/>
            <w:tcBorders>
              <w:top w:val="nil"/>
              <w:left w:val="nil"/>
              <w:bottom w:val="nil"/>
              <w:right w:val="nil"/>
            </w:tcBorders>
            <w:shd w:val="clear" w:color="auto" w:fill="auto"/>
            <w:vAlign w:val="center"/>
            <w:hideMark/>
          </w:tcPr>
          <w:p w14:paraId="6CE7B2C6" w14:textId="77777777" w:rsidR="000F6636" w:rsidRPr="0088520B" w:rsidRDefault="000F6636" w:rsidP="00484DB0">
            <w:pPr>
              <w:jc w:val="center"/>
              <w:rPr>
                <w:rFonts w:cs="Times New Roman"/>
                <w:sz w:val="18"/>
                <w:szCs w:val="18"/>
              </w:rPr>
            </w:pPr>
          </w:p>
        </w:tc>
        <w:tc>
          <w:tcPr>
            <w:tcW w:w="635" w:type="dxa"/>
            <w:tcBorders>
              <w:top w:val="nil"/>
              <w:left w:val="nil"/>
              <w:bottom w:val="nil"/>
              <w:right w:val="nil"/>
            </w:tcBorders>
            <w:shd w:val="clear" w:color="auto" w:fill="auto"/>
            <w:vAlign w:val="center"/>
            <w:hideMark/>
          </w:tcPr>
          <w:p w14:paraId="0FC24354" w14:textId="77777777" w:rsidR="000F6636" w:rsidRPr="0088520B" w:rsidRDefault="000F6636" w:rsidP="00484DB0">
            <w:pPr>
              <w:jc w:val="center"/>
              <w:rPr>
                <w:rFonts w:cs="Times New Roman"/>
                <w:sz w:val="18"/>
                <w:szCs w:val="18"/>
              </w:rPr>
            </w:pPr>
          </w:p>
        </w:tc>
        <w:tc>
          <w:tcPr>
            <w:tcW w:w="795" w:type="dxa"/>
            <w:tcBorders>
              <w:top w:val="nil"/>
              <w:left w:val="nil"/>
              <w:bottom w:val="nil"/>
              <w:right w:val="nil"/>
            </w:tcBorders>
            <w:shd w:val="clear" w:color="auto" w:fill="auto"/>
            <w:vAlign w:val="center"/>
            <w:hideMark/>
          </w:tcPr>
          <w:p w14:paraId="2A9DA87C" w14:textId="77777777" w:rsidR="000F6636" w:rsidRPr="0088520B" w:rsidRDefault="000F6636" w:rsidP="00484DB0">
            <w:pPr>
              <w:jc w:val="center"/>
              <w:rPr>
                <w:rFonts w:cs="Times New Roman"/>
                <w:sz w:val="18"/>
                <w:szCs w:val="18"/>
              </w:rPr>
            </w:pPr>
          </w:p>
        </w:tc>
        <w:tc>
          <w:tcPr>
            <w:tcW w:w="659" w:type="dxa"/>
            <w:tcBorders>
              <w:top w:val="nil"/>
              <w:left w:val="nil"/>
              <w:bottom w:val="nil"/>
              <w:right w:val="nil"/>
            </w:tcBorders>
            <w:shd w:val="clear" w:color="auto" w:fill="auto"/>
            <w:vAlign w:val="center"/>
            <w:hideMark/>
          </w:tcPr>
          <w:p w14:paraId="7D557502" w14:textId="77777777" w:rsidR="000F6636" w:rsidRPr="0088520B" w:rsidRDefault="000F6636" w:rsidP="00484DB0">
            <w:pPr>
              <w:jc w:val="center"/>
              <w:rPr>
                <w:rFonts w:cs="Times New Roman"/>
                <w:sz w:val="18"/>
                <w:szCs w:val="18"/>
              </w:rPr>
            </w:pPr>
          </w:p>
        </w:tc>
      </w:tr>
      <w:tr w:rsidR="000F6636" w:rsidRPr="0088520B" w14:paraId="3B09F58F" w14:textId="77777777" w:rsidTr="008C224D">
        <w:trPr>
          <w:trHeight w:val="173"/>
          <w:jc w:val="center"/>
        </w:trPr>
        <w:tc>
          <w:tcPr>
            <w:tcW w:w="4395" w:type="dxa"/>
            <w:tcBorders>
              <w:top w:val="nil"/>
              <w:left w:val="nil"/>
              <w:bottom w:val="nil"/>
              <w:right w:val="nil"/>
            </w:tcBorders>
            <w:shd w:val="clear" w:color="auto" w:fill="auto"/>
            <w:noWrap/>
            <w:vAlign w:val="center"/>
            <w:hideMark/>
          </w:tcPr>
          <w:p w14:paraId="343124EA"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 Rozdiely medzi cash a akruálom</w:t>
            </w:r>
          </w:p>
        </w:tc>
        <w:tc>
          <w:tcPr>
            <w:tcW w:w="1134" w:type="dxa"/>
            <w:tcBorders>
              <w:top w:val="nil"/>
              <w:left w:val="nil"/>
              <w:bottom w:val="nil"/>
              <w:right w:val="nil"/>
            </w:tcBorders>
            <w:shd w:val="clear" w:color="auto" w:fill="auto"/>
            <w:noWrap/>
            <w:vAlign w:val="center"/>
            <w:hideMark/>
          </w:tcPr>
          <w:p w14:paraId="5C61F0D5" w14:textId="77777777" w:rsidR="000F6636" w:rsidRPr="0088520B" w:rsidRDefault="000F6636" w:rsidP="00484DB0">
            <w:pPr>
              <w:ind w:firstLineChars="100" w:firstLine="180"/>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346114B0" w14:textId="77777777" w:rsidR="000F6636" w:rsidRPr="0088520B" w:rsidRDefault="000F6636" w:rsidP="00484DB0">
            <w:pPr>
              <w:jc w:val="center"/>
              <w:rPr>
                <w:rFonts w:cs="Times New Roman"/>
                <w:color w:val="000000"/>
                <w:sz w:val="18"/>
                <w:szCs w:val="18"/>
              </w:rPr>
            </w:pPr>
            <w:r>
              <w:rPr>
                <w:color w:val="000000"/>
                <w:sz w:val="18"/>
                <w:szCs w:val="18"/>
              </w:rPr>
              <w:t>-1,1</w:t>
            </w:r>
          </w:p>
        </w:tc>
        <w:tc>
          <w:tcPr>
            <w:tcW w:w="637" w:type="dxa"/>
            <w:tcBorders>
              <w:top w:val="nil"/>
              <w:left w:val="nil"/>
              <w:bottom w:val="nil"/>
              <w:right w:val="nil"/>
            </w:tcBorders>
            <w:shd w:val="clear" w:color="auto" w:fill="auto"/>
            <w:vAlign w:val="center"/>
            <w:hideMark/>
          </w:tcPr>
          <w:p w14:paraId="0B6380B4" w14:textId="77777777" w:rsidR="000F6636" w:rsidRPr="0088520B" w:rsidRDefault="000F6636" w:rsidP="00484DB0">
            <w:pPr>
              <w:jc w:val="center"/>
              <w:rPr>
                <w:rFonts w:cs="Times New Roman"/>
                <w:color w:val="000000"/>
                <w:sz w:val="18"/>
                <w:szCs w:val="18"/>
              </w:rPr>
            </w:pPr>
            <w:r>
              <w:rPr>
                <w:color w:val="000000"/>
                <w:sz w:val="18"/>
                <w:szCs w:val="18"/>
              </w:rPr>
              <w:t>-0,8</w:t>
            </w:r>
          </w:p>
        </w:tc>
        <w:tc>
          <w:tcPr>
            <w:tcW w:w="635" w:type="dxa"/>
            <w:tcBorders>
              <w:top w:val="nil"/>
              <w:left w:val="nil"/>
              <w:bottom w:val="nil"/>
              <w:right w:val="nil"/>
            </w:tcBorders>
            <w:shd w:val="clear" w:color="auto" w:fill="auto"/>
            <w:vAlign w:val="center"/>
            <w:hideMark/>
          </w:tcPr>
          <w:p w14:paraId="034D27ED" w14:textId="77777777" w:rsidR="000F6636" w:rsidRPr="0088520B" w:rsidRDefault="000F6636" w:rsidP="00484DB0">
            <w:pPr>
              <w:jc w:val="center"/>
              <w:rPr>
                <w:rFonts w:cs="Times New Roman"/>
                <w:color w:val="000000"/>
                <w:sz w:val="18"/>
                <w:szCs w:val="18"/>
              </w:rPr>
            </w:pPr>
            <w:r>
              <w:rPr>
                <w:color w:val="000000"/>
                <w:sz w:val="18"/>
                <w:szCs w:val="18"/>
              </w:rPr>
              <w:t>-0,7</w:t>
            </w:r>
          </w:p>
        </w:tc>
        <w:tc>
          <w:tcPr>
            <w:tcW w:w="795" w:type="dxa"/>
            <w:tcBorders>
              <w:top w:val="nil"/>
              <w:left w:val="nil"/>
              <w:bottom w:val="nil"/>
              <w:right w:val="nil"/>
            </w:tcBorders>
            <w:shd w:val="clear" w:color="auto" w:fill="auto"/>
            <w:vAlign w:val="center"/>
            <w:hideMark/>
          </w:tcPr>
          <w:p w14:paraId="42015ADB" w14:textId="77777777" w:rsidR="000F6636" w:rsidRPr="0088520B" w:rsidRDefault="000F6636" w:rsidP="00484DB0">
            <w:pPr>
              <w:jc w:val="center"/>
              <w:rPr>
                <w:rFonts w:cs="Times New Roman"/>
                <w:color w:val="000000"/>
                <w:sz w:val="18"/>
                <w:szCs w:val="18"/>
              </w:rPr>
            </w:pPr>
            <w:r>
              <w:rPr>
                <w:color w:val="000000"/>
                <w:sz w:val="18"/>
                <w:szCs w:val="18"/>
              </w:rPr>
              <w:t>0,1</w:t>
            </w:r>
          </w:p>
        </w:tc>
        <w:tc>
          <w:tcPr>
            <w:tcW w:w="659" w:type="dxa"/>
            <w:tcBorders>
              <w:top w:val="nil"/>
              <w:left w:val="nil"/>
              <w:bottom w:val="nil"/>
              <w:right w:val="nil"/>
            </w:tcBorders>
            <w:shd w:val="clear" w:color="auto" w:fill="auto"/>
            <w:vAlign w:val="center"/>
            <w:hideMark/>
          </w:tcPr>
          <w:p w14:paraId="49076066" w14:textId="77777777" w:rsidR="000F6636" w:rsidRPr="0088520B" w:rsidRDefault="000F6636" w:rsidP="00484DB0">
            <w:pPr>
              <w:jc w:val="center"/>
              <w:rPr>
                <w:rFonts w:cs="Times New Roman"/>
                <w:color w:val="000000"/>
                <w:sz w:val="18"/>
                <w:szCs w:val="18"/>
              </w:rPr>
            </w:pPr>
            <w:r>
              <w:rPr>
                <w:color w:val="000000"/>
                <w:sz w:val="18"/>
                <w:szCs w:val="18"/>
              </w:rPr>
              <w:t>-0,1</w:t>
            </w:r>
          </w:p>
        </w:tc>
      </w:tr>
      <w:tr w:rsidR="000F6636" w:rsidRPr="0088520B" w14:paraId="4DCD0694" w14:textId="77777777" w:rsidTr="008C224D">
        <w:trPr>
          <w:trHeight w:val="173"/>
          <w:jc w:val="center"/>
        </w:trPr>
        <w:tc>
          <w:tcPr>
            <w:tcW w:w="4395" w:type="dxa"/>
            <w:tcBorders>
              <w:top w:val="nil"/>
              <w:left w:val="nil"/>
              <w:bottom w:val="nil"/>
              <w:right w:val="nil"/>
            </w:tcBorders>
            <w:shd w:val="clear" w:color="auto" w:fill="auto"/>
            <w:noWrap/>
            <w:vAlign w:val="center"/>
            <w:hideMark/>
          </w:tcPr>
          <w:p w14:paraId="081E33E3"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 Čistý nárast finančných aktív</w:t>
            </w:r>
          </w:p>
        </w:tc>
        <w:tc>
          <w:tcPr>
            <w:tcW w:w="1134" w:type="dxa"/>
            <w:tcBorders>
              <w:top w:val="nil"/>
              <w:left w:val="nil"/>
              <w:bottom w:val="nil"/>
              <w:right w:val="nil"/>
            </w:tcBorders>
            <w:shd w:val="clear" w:color="auto" w:fill="auto"/>
            <w:noWrap/>
            <w:vAlign w:val="center"/>
            <w:hideMark/>
          </w:tcPr>
          <w:p w14:paraId="09B94324" w14:textId="77777777" w:rsidR="000F6636" w:rsidRPr="0088520B" w:rsidRDefault="000F6636" w:rsidP="00484DB0">
            <w:pPr>
              <w:ind w:firstLineChars="100" w:firstLine="180"/>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23516DFC" w14:textId="77777777" w:rsidR="000F6636" w:rsidRPr="0088520B" w:rsidRDefault="000F6636" w:rsidP="00484DB0">
            <w:pPr>
              <w:jc w:val="center"/>
              <w:rPr>
                <w:rFonts w:cs="Times New Roman"/>
                <w:color w:val="000000"/>
                <w:sz w:val="18"/>
                <w:szCs w:val="18"/>
              </w:rPr>
            </w:pPr>
            <w:r>
              <w:rPr>
                <w:color w:val="000000"/>
                <w:sz w:val="18"/>
                <w:szCs w:val="18"/>
              </w:rPr>
              <w:t>0,3</w:t>
            </w:r>
          </w:p>
        </w:tc>
        <w:tc>
          <w:tcPr>
            <w:tcW w:w="637" w:type="dxa"/>
            <w:tcBorders>
              <w:top w:val="nil"/>
              <w:left w:val="nil"/>
              <w:bottom w:val="nil"/>
              <w:right w:val="nil"/>
            </w:tcBorders>
            <w:shd w:val="clear" w:color="auto" w:fill="auto"/>
            <w:vAlign w:val="center"/>
            <w:hideMark/>
          </w:tcPr>
          <w:p w14:paraId="05F50EFA" w14:textId="77777777" w:rsidR="000F6636" w:rsidRPr="0088520B" w:rsidRDefault="000F6636" w:rsidP="00484DB0">
            <w:pPr>
              <w:jc w:val="center"/>
              <w:rPr>
                <w:rFonts w:cs="Times New Roman"/>
                <w:color w:val="000000"/>
                <w:sz w:val="18"/>
                <w:szCs w:val="18"/>
              </w:rPr>
            </w:pPr>
            <w:r>
              <w:rPr>
                <w:color w:val="000000"/>
                <w:sz w:val="18"/>
                <w:szCs w:val="18"/>
              </w:rPr>
              <w:t>0,8</w:t>
            </w:r>
          </w:p>
        </w:tc>
        <w:tc>
          <w:tcPr>
            <w:tcW w:w="635" w:type="dxa"/>
            <w:tcBorders>
              <w:top w:val="nil"/>
              <w:left w:val="nil"/>
              <w:bottom w:val="nil"/>
              <w:right w:val="nil"/>
            </w:tcBorders>
            <w:shd w:val="clear" w:color="auto" w:fill="auto"/>
            <w:vAlign w:val="center"/>
            <w:hideMark/>
          </w:tcPr>
          <w:p w14:paraId="254C49AA" w14:textId="77777777" w:rsidR="000F6636" w:rsidRPr="0088520B" w:rsidRDefault="000F6636" w:rsidP="00484DB0">
            <w:pPr>
              <w:jc w:val="center"/>
              <w:rPr>
                <w:rFonts w:cs="Times New Roman"/>
                <w:color w:val="000000"/>
                <w:sz w:val="18"/>
                <w:szCs w:val="18"/>
              </w:rPr>
            </w:pPr>
            <w:r>
              <w:rPr>
                <w:color w:val="000000"/>
                <w:sz w:val="18"/>
                <w:szCs w:val="18"/>
              </w:rPr>
              <w:t>-1,8</w:t>
            </w:r>
          </w:p>
        </w:tc>
        <w:tc>
          <w:tcPr>
            <w:tcW w:w="795" w:type="dxa"/>
            <w:tcBorders>
              <w:top w:val="nil"/>
              <w:left w:val="nil"/>
              <w:bottom w:val="nil"/>
              <w:right w:val="nil"/>
            </w:tcBorders>
            <w:shd w:val="clear" w:color="auto" w:fill="auto"/>
            <w:vAlign w:val="center"/>
            <w:hideMark/>
          </w:tcPr>
          <w:p w14:paraId="7AB2C51D" w14:textId="77777777" w:rsidR="000F6636" w:rsidRPr="0088520B" w:rsidRDefault="000F6636" w:rsidP="00484DB0">
            <w:pPr>
              <w:jc w:val="center"/>
              <w:rPr>
                <w:rFonts w:cs="Times New Roman"/>
                <w:color w:val="000000"/>
                <w:sz w:val="18"/>
                <w:szCs w:val="18"/>
              </w:rPr>
            </w:pPr>
            <w:r>
              <w:rPr>
                <w:color w:val="000000"/>
                <w:sz w:val="18"/>
                <w:szCs w:val="18"/>
              </w:rPr>
              <w:t>0,1</w:t>
            </w:r>
          </w:p>
        </w:tc>
        <w:tc>
          <w:tcPr>
            <w:tcW w:w="659" w:type="dxa"/>
            <w:tcBorders>
              <w:top w:val="nil"/>
              <w:left w:val="nil"/>
              <w:bottom w:val="nil"/>
              <w:right w:val="nil"/>
            </w:tcBorders>
            <w:shd w:val="clear" w:color="auto" w:fill="auto"/>
            <w:vAlign w:val="center"/>
            <w:hideMark/>
          </w:tcPr>
          <w:p w14:paraId="3740D8E1" w14:textId="77777777" w:rsidR="000F6636" w:rsidRPr="0088520B" w:rsidRDefault="000F6636" w:rsidP="00484DB0">
            <w:pPr>
              <w:jc w:val="center"/>
              <w:rPr>
                <w:rFonts w:cs="Times New Roman"/>
                <w:color w:val="000000"/>
                <w:sz w:val="18"/>
                <w:szCs w:val="18"/>
              </w:rPr>
            </w:pPr>
            <w:r>
              <w:rPr>
                <w:color w:val="000000"/>
                <w:sz w:val="18"/>
                <w:szCs w:val="18"/>
              </w:rPr>
              <w:t>1,1</w:t>
            </w:r>
          </w:p>
        </w:tc>
      </w:tr>
      <w:tr w:rsidR="000F6636" w:rsidRPr="0088520B" w14:paraId="2A8F965F" w14:textId="77777777" w:rsidTr="008C224D">
        <w:trPr>
          <w:trHeight w:val="173"/>
          <w:jc w:val="center"/>
        </w:trPr>
        <w:tc>
          <w:tcPr>
            <w:tcW w:w="4395" w:type="dxa"/>
            <w:tcBorders>
              <w:top w:val="nil"/>
              <w:left w:val="nil"/>
              <w:bottom w:val="nil"/>
              <w:right w:val="nil"/>
            </w:tcBorders>
            <w:shd w:val="clear" w:color="auto" w:fill="auto"/>
            <w:noWrap/>
            <w:vAlign w:val="center"/>
            <w:hideMark/>
          </w:tcPr>
          <w:p w14:paraId="4D82499C"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 xml:space="preserve">      z toho: príjmy z privatizácie</w:t>
            </w:r>
          </w:p>
        </w:tc>
        <w:tc>
          <w:tcPr>
            <w:tcW w:w="1134" w:type="dxa"/>
            <w:tcBorders>
              <w:top w:val="nil"/>
              <w:left w:val="nil"/>
              <w:bottom w:val="nil"/>
              <w:right w:val="nil"/>
            </w:tcBorders>
            <w:shd w:val="clear" w:color="auto" w:fill="auto"/>
            <w:noWrap/>
            <w:vAlign w:val="center"/>
            <w:hideMark/>
          </w:tcPr>
          <w:p w14:paraId="1A4ECA74" w14:textId="77777777" w:rsidR="000F6636" w:rsidRPr="0088520B" w:rsidRDefault="000F6636" w:rsidP="00484DB0">
            <w:pPr>
              <w:ind w:firstLineChars="100" w:firstLine="180"/>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5BB98361" w14:textId="77777777" w:rsidR="000F6636" w:rsidRPr="0088520B" w:rsidRDefault="000F6636" w:rsidP="00484DB0">
            <w:pPr>
              <w:jc w:val="center"/>
              <w:rPr>
                <w:rFonts w:cs="Times New Roman"/>
                <w:color w:val="000000"/>
                <w:sz w:val="18"/>
                <w:szCs w:val="18"/>
              </w:rPr>
            </w:pPr>
            <w:r>
              <w:rPr>
                <w:color w:val="000000"/>
                <w:sz w:val="18"/>
                <w:szCs w:val="18"/>
              </w:rPr>
              <w:t>0,0</w:t>
            </w:r>
          </w:p>
        </w:tc>
        <w:tc>
          <w:tcPr>
            <w:tcW w:w="637" w:type="dxa"/>
            <w:tcBorders>
              <w:top w:val="nil"/>
              <w:left w:val="nil"/>
              <w:bottom w:val="nil"/>
              <w:right w:val="nil"/>
            </w:tcBorders>
            <w:shd w:val="clear" w:color="auto" w:fill="auto"/>
            <w:vAlign w:val="center"/>
            <w:hideMark/>
          </w:tcPr>
          <w:p w14:paraId="76F205C3" w14:textId="77777777" w:rsidR="000F6636" w:rsidRPr="0088520B" w:rsidRDefault="000F6636" w:rsidP="00484DB0">
            <w:pPr>
              <w:jc w:val="center"/>
              <w:rPr>
                <w:rFonts w:cs="Times New Roman"/>
                <w:color w:val="000000"/>
                <w:sz w:val="18"/>
                <w:szCs w:val="18"/>
              </w:rPr>
            </w:pPr>
            <w:r>
              <w:rPr>
                <w:color w:val="000000"/>
                <w:sz w:val="18"/>
                <w:szCs w:val="18"/>
              </w:rPr>
              <w:t>0,0</w:t>
            </w:r>
          </w:p>
        </w:tc>
        <w:tc>
          <w:tcPr>
            <w:tcW w:w="635" w:type="dxa"/>
            <w:tcBorders>
              <w:top w:val="nil"/>
              <w:left w:val="nil"/>
              <w:bottom w:val="nil"/>
              <w:right w:val="nil"/>
            </w:tcBorders>
            <w:shd w:val="clear" w:color="auto" w:fill="auto"/>
            <w:vAlign w:val="center"/>
            <w:hideMark/>
          </w:tcPr>
          <w:p w14:paraId="3DD40EC3" w14:textId="77777777" w:rsidR="000F6636" w:rsidRPr="0088520B" w:rsidRDefault="000F6636" w:rsidP="00484DB0">
            <w:pPr>
              <w:jc w:val="center"/>
              <w:rPr>
                <w:rFonts w:cs="Times New Roman"/>
                <w:color w:val="000000"/>
                <w:sz w:val="18"/>
                <w:szCs w:val="18"/>
              </w:rPr>
            </w:pPr>
            <w:r>
              <w:rPr>
                <w:color w:val="000000"/>
                <w:sz w:val="18"/>
                <w:szCs w:val="18"/>
              </w:rPr>
              <w:t>0,0</w:t>
            </w:r>
          </w:p>
        </w:tc>
        <w:tc>
          <w:tcPr>
            <w:tcW w:w="795" w:type="dxa"/>
            <w:tcBorders>
              <w:top w:val="nil"/>
              <w:left w:val="nil"/>
              <w:bottom w:val="nil"/>
              <w:right w:val="nil"/>
            </w:tcBorders>
            <w:shd w:val="clear" w:color="auto" w:fill="auto"/>
            <w:vAlign w:val="center"/>
            <w:hideMark/>
          </w:tcPr>
          <w:p w14:paraId="0B4731AC" w14:textId="77777777" w:rsidR="000F6636" w:rsidRPr="0088520B" w:rsidRDefault="000F6636" w:rsidP="00484DB0">
            <w:pPr>
              <w:jc w:val="center"/>
              <w:rPr>
                <w:rFonts w:cs="Times New Roman"/>
                <w:color w:val="000000"/>
                <w:sz w:val="18"/>
                <w:szCs w:val="18"/>
              </w:rPr>
            </w:pPr>
            <w:r>
              <w:rPr>
                <w:color w:val="000000"/>
                <w:sz w:val="18"/>
                <w:szCs w:val="18"/>
              </w:rPr>
              <w:t>0,0</w:t>
            </w:r>
          </w:p>
        </w:tc>
        <w:tc>
          <w:tcPr>
            <w:tcW w:w="659" w:type="dxa"/>
            <w:tcBorders>
              <w:top w:val="nil"/>
              <w:left w:val="nil"/>
              <w:bottom w:val="nil"/>
              <w:right w:val="nil"/>
            </w:tcBorders>
            <w:shd w:val="clear" w:color="auto" w:fill="auto"/>
            <w:vAlign w:val="center"/>
            <w:hideMark/>
          </w:tcPr>
          <w:p w14:paraId="45495D5D" w14:textId="77777777" w:rsidR="000F6636" w:rsidRPr="0088520B" w:rsidRDefault="000F6636" w:rsidP="00484DB0">
            <w:pPr>
              <w:jc w:val="center"/>
              <w:rPr>
                <w:rFonts w:cs="Times New Roman"/>
                <w:color w:val="000000"/>
                <w:sz w:val="18"/>
                <w:szCs w:val="18"/>
              </w:rPr>
            </w:pPr>
            <w:r>
              <w:rPr>
                <w:color w:val="000000"/>
                <w:sz w:val="18"/>
                <w:szCs w:val="18"/>
              </w:rPr>
              <w:t>0,0</w:t>
            </w:r>
          </w:p>
        </w:tc>
      </w:tr>
      <w:tr w:rsidR="000F6636" w:rsidRPr="0088520B" w14:paraId="71D1DCF0" w14:textId="77777777" w:rsidTr="008C224D">
        <w:trPr>
          <w:trHeight w:val="173"/>
          <w:jc w:val="center"/>
        </w:trPr>
        <w:tc>
          <w:tcPr>
            <w:tcW w:w="4395" w:type="dxa"/>
            <w:tcBorders>
              <w:top w:val="nil"/>
              <w:left w:val="nil"/>
              <w:right w:val="nil"/>
            </w:tcBorders>
            <w:shd w:val="clear" w:color="auto" w:fill="auto"/>
            <w:noWrap/>
            <w:vAlign w:val="center"/>
            <w:hideMark/>
          </w:tcPr>
          <w:p w14:paraId="61888F54"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 Efekty zhodnotenia a iné</w:t>
            </w:r>
          </w:p>
        </w:tc>
        <w:tc>
          <w:tcPr>
            <w:tcW w:w="1134" w:type="dxa"/>
            <w:tcBorders>
              <w:top w:val="nil"/>
              <w:left w:val="nil"/>
              <w:right w:val="nil"/>
            </w:tcBorders>
            <w:shd w:val="clear" w:color="auto" w:fill="auto"/>
            <w:noWrap/>
            <w:vAlign w:val="center"/>
            <w:hideMark/>
          </w:tcPr>
          <w:p w14:paraId="4EEF7B08" w14:textId="77777777" w:rsidR="000F6636" w:rsidRPr="0088520B" w:rsidRDefault="000F6636" w:rsidP="00484DB0">
            <w:pPr>
              <w:ind w:firstLineChars="100" w:firstLine="180"/>
              <w:rPr>
                <w:rFonts w:cs="Times New Roman"/>
                <w:color w:val="000000"/>
                <w:sz w:val="18"/>
                <w:szCs w:val="18"/>
              </w:rPr>
            </w:pPr>
          </w:p>
        </w:tc>
        <w:tc>
          <w:tcPr>
            <w:tcW w:w="817" w:type="dxa"/>
            <w:tcBorders>
              <w:top w:val="nil"/>
              <w:left w:val="nil"/>
              <w:right w:val="nil"/>
            </w:tcBorders>
            <w:shd w:val="clear" w:color="auto" w:fill="auto"/>
            <w:vAlign w:val="center"/>
            <w:hideMark/>
          </w:tcPr>
          <w:p w14:paraId="544FC2DD" w14:textId="77777777" w:rsidR="000F6636" w:rsidRPr="0088520B" w:rsidRDefault="000F6636" w:rsidP="00484DB0">
            <w:pPr>
              <w:jc w:val="center"/>
              <w:rPr>
                <w:rFonts w:cs="Times New Roman"/>
                <w:color w:val="000000"/>
                <w:sz w:val="18"/>
                <w:szCs w:val="18"/>
              </w:rPr>
            </w:pPr>
            <w:r>
              <w:rPr>
                <w:color w:val="000000"/>
                <w:sz w:val="18"/>
                <w:szCs w:val="18"/>
              </w:rPr>
              <w:t>0,4</w:t>
            </w:r>
          </w:p>
        </w:tc>
        <w:tc>
          <w:tcPr>
            <w:tcW w:w="637" w:type="dxa"/>
            <w:tcBorders>
              <w:top w:val="nil"/>
              <w:left w:val="nil"/>
              <w:right w:val="nil"/>
            </w:tcBorders>
            <w:shd w:val="clear" w:color="auto" w:fill="auto"/>
            <w:vAlign w:val="center"/>
            <w:hideMark/>
          </w:tcPr>
          <w:p w14:paraId="12F373C7" w14:textId="77777777" w:rsidR="000F6636" w:rsidRPr="0088520B" w:rsidRDefault="000F6636" w:rsidP="00484DB0">
            <w:pPr>
              <w:jc w:val="center"/>
              <w:rPr>
                <w:rFonts w:cs="Times New Roman"/>
                <w:color w:val="000000"/>
                <w:sz w:val="18"/>
                <w:szCs w:val="18"/>
              </w:rPr>
            </w:pPr>
            <w:r>
              <w:rPr>
                <w:color w:val="000000"/>
                <w:sz w:val="18"/>
                <w:szCs w:val="18"/>
              </w:rPr>
              <w:t>0,3</w:t>
            </w:r>
          </w:p>
        </w:tc>
        <w:tc>
          <w:tcPr>
            <w:tcW w:w="635" w:type="dxa"/>
            <w:tcBorders>
              <w:top w:val="nil"/>
              <w:left w:val="nil"/>
              <w:right w:val="nil"/>
            </w:tcBorders>
            <w:shd w:val="clear" w:color="auto" w:fill="auto"/>
            <w:vAlign w:val="center"/>
            <w:hideMark/>
          </w:tcPr>
          <w:p w14:paraId="20AD4474" w14:textId="77777777" w:rsidR="000F6636" w:rsidRPr="0088520B" w:rsidRDefault="000F6636" w:rsidP="00484DB0">
            <w:pPr>
              <w:jc w:val="center"/>
              <w:rPr>
                <w:rFonts w:cs="Times New Roman"/>
                <w:color w:val="000000"/>
                <w:sz w:val="18"/>
                <w:szCs w:val="18"/>
              </w:rPr>
            </w:pPr>
            <w:r>
              <w:rPr>
                <w:color w:val="000000"/>
                <w:sz w:val="18"/>
                <w:szCs w:val="18"/>
              </w:rPr>
              <w:t>2,0</w:t>
            </w:r>
          </w:p>
        </w:tc>
        <w:tc>
          <w:tcPr>
            <w:tcW w:w="795" w:type="dxa"/>
            <w:tcBorders>
              <w:top w:val="nil"/>
              <w:left w:val="nil"/>
              <w:right w:val="nil"/>
            </w:tcBorders>
            <w:shd w:val="clear" w:color="auto" w:fill="auto"/>
            <w:vAlign w:val="center"/>
            <w:hideMark/>
          </w:tcPr>
          <w:p w14:paraId="3227E198" w14:textId="77777777" w:rsidR="000F6636" w:rsidRPr="0088520B" w:rsidRDefault="000F6636" w:rsidP="00484DB0">
            <w:pPr>
              <w:jc w:val="center"/>
              <w:rPr>
                <w:rFonts w:cs="Times New Roman"/>
                <w:color w:val="000000"/>
                <w:sz w:val="18"/>
                <w:szCs w:val="18"/>
              </w:rPr>
            </w:pPr>
            <w:r>
              <w:rPr>
                <w:color w:val="000000"/>
                <w:sz w:val="18"/>
                <w:szCs w:val="18"/>
              </w:rPr>
              <w:t>1,1</w:t>
            </w:r>
          </w:p>
        </w:tc>
        <w:tc>
          <w:tcPr>
            <w:tcW w:w="659" w:type="dxa"/>
            <w:tcBorders>
              <w:top w:val="nil"/>
              <w:left w:val="nil"/>
              <w:right w:val="nil"/>
            </w:tcBorders>
            <w:shd w:val="clear" w:color="auto" w:fill="auto"/>
            <w:vAlign w:val="center"/>
            <w:hideMark/>
          </w:tcPr>
          <w:p w14:paraId="3F065AB0" w14:textId="77777777" w:rsidR="000F6636" w:rsidRPr="0088520B" w:rsidRDefault="000F6636" w:rsidP="00484DB0">
            <w:pPr>
              <w:jc w:val="center"/>
              <w:rPr>
                <w:rFonts w:cs="Times New Roman"/>
                <w:color w:val="000000"/>
                <w:sz w:val="18"/>
                <w:szCs w:val="18"/>
              </w:rPr>
            </w:pPr>
            <w:r>
              <w:rPr>
                <w:color w:val="000000"/>
                <w:sz w:val="18"/>
                <w:szCs w:val="18"/>
              </w:rPr>
              <w:t>0,2</w:t>
            </w:r>
          </w:p>
        </w:tc>
      </w:tr>
      <w:tr w:rsidR="000F6636" w:rsidRPr="0088520B" w14:paraId="5B55389B" w14:textId="77777777" w:rsidTr="00C525B1">
        <w:trPr>
          <w:trHeight w:val="173"/>
          <w:jc w:val="center"/>
        </w:trPr>
        <w:tc>
          <w:tcPr>
            <w:tcW w:w="4395" w:type="dxa"/>
            <w:tcBorders>
              <w:top w:val="nil"/>
              <w:left w:val="nil"/>
              <w:bottom w:val="single" w:sz="4" w:space="0" w:color="auto"/>
              <w:right w:val="nil"/>
            </w:tcBorders>
            <w:shd w:val="clear" w:color="auto" w:fill="auto"/>
            <w:noWrap/>
            <w:vAlign w:val="center"/>
            <w:hideMark/>
          </w:tcPr>
          <w:p w14:paraId="1B15DC93" w14:textId="77777777" w:rsidR="000F6636" w:rsidRPr="0088520B" w:rsidRDefault="000F6636" w:rsidP="00484DB0">
            <w:pPr>
              <w:rPr>
                <w:rFonts w:cs="Times New Roman"/>
                <w:color w:val="000000"/>
                <w:sz w:val="18"/>
                <w:szCs w:val="18"/>
              </w:rPr>
            </w:pPr>
            <w:r w:rsidRPr="0088520B">
              <w:rPr>
                <w:rFonts w:cs="Times New Roman"/>
                <w:color w:val="000000"/>
                <w:sz w:val="18"/>
                <w:szCs w:val="18"/>
              </w:rPr>
              <w:t>p. m. Implicitná úroková miera</w:t>
            </w:r>
          </w:p>
        </w:tc>
        <w:tc>
          <w:tcPr>
            <w:tcW w:w="1134" w:type="dxa"/>
            <w:tcBorders>
              <w:top w:val="nil"/>
              <w:left w:val="nil"/>
              <w:bottom w:val="single" w:sz="4" w:space="0" w:color="auto"/>
              <w:right w:val="nil"/>
            </w:tcBorders>
            <w:shd w:val="clear" w:color="auto" w:fill="auto"/>
            <w:noWrap/>
            <w:vAlign w:val="center"/>
            <w:hideMark/>
          </w:tcPr>
          <w:p w14:paraId="30BBB0C5" w14:textId="77777777" w:rsidR="000F6636" w:rsidRPr="0088520B" w:rsidRDefault="000F6636" w:rsidP="00484DB0">
            <w:pPr>
              <w:rPr>
                <w:rFonts w:cs="Times New Roman"/>
                <w:color w:val="000000"/>
                <w:sz w:val="18"/>
                <w:szCs w:val="18"/>
              </w:rPr>
            </w:pPr>
          </w:p>
        </w:tc>
        <w:tc>
          <w:tcPr>
            <w:tcW w:w="817" w:type="dxa"/>
            <w:tcBorders>
              <w:top w:val="nil"/>
              <w:left w:val="nil"/>
              <w:bottom w:val="single" w:sz="4" w:space="0" w:color="auto"/>
              <w:right w:val="nil"/>
            </w:tcBorders>
            <w:shd w:val="clear" w:color="auto" w:fill="auto"/>
            <w:vAlign w:val="center"/>
            <w:hideMark/>
          </w:tcPr>
          <w:p w14:paraId="2B794657" w14:textId="77777777" w:rsidR="000F6636" w:rsidRPr="0088520B" w:rsidRDefault="000F6636" w:rsidP="00484DB0">
            <w:pPr>
              <w:jc w:val="center"/>
              <w:rPr>
                <w:rFonts w:cs="Times New Roman"/>
                <w:color w:val="000000"/>
                <w:sz w:val="18"/>
                <w:szCs w:val="18"/>
              </w:rPr>
            </w:pPr>
            <w:r>
              <w:rPr>
                <w:color w:val="000000"/>
                <w:sz w:val="18"/>
                <w:szCs w:val="18"/>
              </w:rPr>
              <w:t>2,2</w:t>
            </w:r>
          </w:p>
        </w:tc>
        <w:tc>
          <w:tcPr>
            <w:tcW w:w="637" w:type="dxa"/>
            <w:tcBorders>
              <w:top w:val="nil"/>
              <w:left w:val="nil"/>
              <w:bottom w:val="single" w:sz="4" w:space="0" w:color="auto"/>
              <w:right w:val="nil"/>
            </w:tcBorders>
            <w:shd w:val="clear" w:color="auto" w:fill="auto"/>
            <w:vAlign w:val="center"/>
            <w:hideMark/>
          </w:tcPr>
          <w:p w14:paraId="668C4A19" w14:textId="77777777" w:rsidR="000F6636" w:rsidRPr="0088520B" w:rsidRDefault="000F6636" w:rsidP="00484DB0">
            <w:pPr>
              <w:jc w:val="center"/>
              <w:rPr>
                <w:rFonts w:cs="Times New Roman"/>
                <w:color w:val="000000"/>
                <w:sz w:val="18"/>
                <w:szCs w:val="18"/>
              </w:rPr>
            </w:pPr>
            <w:r>
              <w:rPr>
                <w:color w:val="000000"/>
                <w:sz w:val="18"/>
                <w:szCs w:val="18"/>
              </w:rPr>
              <w:t>2,7</w:t>
            </w:r>
          </w:p>
        </w:tc>
        <w:tc>
          <w:tcPr>
            <w:tcW w:w="635" w:type="dxa"/>
            <w:tcBorders>
              <w:top w:val="nil"/>
              <w:left w:val="nil"/>
              <w:bottom w:val="single" w:sz="4" w:space="0" w:color="auto"/>
              <w:right w:val="nil"/>
            </w:tcBorders>
            <w:shd w:val="clear" w:color="auto" w:fill="auto"/>
            <w:vAlign w:val="center"/>
            <w:hideMark/>
          </w:tcPr>
          <w:p w14:paraId="2F03A0C3" w14:textId="77777777" w:rsidR="000F6636" w:rsidRPr="0088520B" w:rsidRDefault="000F6636" w:rsidP="00484DB0">
            <w:pPr>
              <w:jc w:val="center"/>
              <w:rPr>
                <w:rFonts w:cs="Times New Roman"/>
                <w:color w:val="000000"/>
                <w:sz w:val="18"/>
                <w:szCs w:val="18"/>
              </w:rPr>
            </w:pPr>
            <w:r>
              <w:rPr>
                <w:color w:val="000000"/>
                <w:sz w:val="18"/>
                <w:szCs w:val="18"/>
              </w:rPr>
              <w:t>2,8</w:t>
            </w:r>
          </w:p>
        </w:tc>
        <w:tc>
          <w:tcPr>
            <w:tcW w:w="795" w:type="dxa"/>
            <w:tcBorders>
              <w:top w:val="nil"/>
              <w:left w:val="nil"/>
              <w:bottom w:val="single" w:sz="4" w:space="0" w:color="auto"/>
              <w:right w:val="nil"/>
            </w:tcBorders>
            <w:shd w:val="clear" w:color="auto" w:fill="auto"/>
            <w:vAlign w:val="center"/>
            <w:hideMark/>
          </w:tcPr>
          <w:p w14:paraId="393B2019" w14:textId="77777777" w:rsidR="000F6636" w:rsidRPr="0088520B" w:rsidRDefault="000F6636" w:rsidP="00484DB0">
            <w:pPr>
              <w:jc w:val="center"/>
              <w:rPr>
                <w:rFonts w:cs="Times New Roman"/>
                <w:color w:val="000000"/>
                <w:sz w:val="18"/>
                <w:szCs w:val="18"/>
              </w:rPr>
            </w:pPr>
            <w:r>
              <w:rPr>
                <w:color w:val="000000"/>
                <w:sz w:val="18"/>
                <w:szCs w:val="18"/>
              </w:rPr>
              <w:t>2,9</w:t>
            </w:r>
          </w:p>
        </w:tc>
        <w:tc>
          <w:tcPr>
            <w:tcW w:w="659" w:type="dxa"/>
            <w:tcBorders>
              <w:top w:val="nil"/>
              <w:left w:val="nil"/>
              <w:bottom w:val="single" w:sz="4" w:space="0" w:color="auto"/>
              <w:right w:val="nil"/>
            </w:tcBorders>
            <w:shd w:val="clear" w:color="auto" w:fill="auto"/>
            <w:vAlign w:val="center"/>
            <w:hideMark/>
          </w:tcPr>
          <w:p w14:paraId="2C4B2EF5" w14:textId="77777777" w:rsidR="000F6636" w:rsidRPr="0088520B" w:rsidRDefault="000F6636" w:rsidP="00484DB0">
            <w:pPr>
              <w:jc w:val="center"/>
              <w:rPr>
                <w:rFonts w:cs="Times New Roman"/>
                <w:color w:val="000000"/>
                <w:sz w:val="18"/>
                <w:szCs w:val="18"/>
              </w:rPr>
            </w:pPr>
            <w:r>
              <w:rPr>
                <w:color w:val="000000"/>
                <w:sz w:val="18"/>
                <w:szCs w:val="18"/>
              </w:rPr>
              <w:t>3,1</w:t>
            </w:r>
          </w:p>
        </w:tc>
      </w:tr>
      <w:tr w:rsidR="000F6636" w:rsidRPr="0088520B" w14:paraId="4F94D75E" w14:textId="77777777" w:rsidTr="00C525B1">
        <w:trPr>
          <w:trHeight w:val="173"/>
          <w:jc w:val="center"/>
        </w:trPr>
        <w:tc>
          <w:tcPr>
            <w:tcW w:w="8413" w:type="dxa"/>
            <w:gridSpan w:val="6"/>
            <w:tcBorders>
              <w:top w:val="single" w:sz="4" w:space="0" w:color="auto"/>
              <w:left w:val="nil"/>
              <w:right w:val="nil"/>
            </w:tcBorders>
            <w:shd w:val="clear" w:color="auto" w:fill="auto"/>
            <w:vAlign w:val="center"/>
            <w:hideMark/>
          </w:tcPr>
          <w:p w14:paraId="6F6976B6" w14:textId="77777777" w:rsidR="000F6636" w:rsidRPr="0088520B" w:rsidRDefault="000F6636" w:rsidP="00484DB0">
            <w:pPr>
              <w:spacing w:before="60" w:after="60"/>
              <w:rPr>
                <w:rFonts w:cs="Times New Roman"/>
                <w:b/>
                <w:bCs/>
                <w:color w:val="000000"/>
                <w:sz w:val="18"/>
                <w:szCs w:val="18"/>
              </w:rPr>
            </w:pPr>
            <w:r w:rsidRPr="0088520B">
              <w:rPr>
                <w:rFonts w:cs="Times New Roman"/>
                <w:b/>
                <w:bCs/>
                <w:color w:val="000000"/>
                <w:sz w:val="18"/>
                <w:szCs w:val="18"/>
              </w:rPr>
              <w:t>Iné relevantné faktory</w:t>
            </w:r>
          </w:p>
        </w:tc>
        <w:tc>
          <w:tcPr>
            <w:tcW w:w="659" w:type="dxa"/>
            <w:tcBorders>
              <w:top w:val="single" w:sz="4" w:space="0" w:color="auto"/>
              <w:left w:val="nil"/>
              <w:right w:val="nil"/>
            </w:tcBorders>
            <w:shd w:val="clear" w:color="auto" w:fill="auto"/>
            <w:vAlign w:val="center"/>
            <w:hideMark/>
          </w:tcPr>
          <w:p w14:paraId="3BFC0D3E" w14:textId="77777777" w:rsidR="000F6636" w:rsidRPr="0088520B" w:rsidRDefault="000F6636" w:rsidP="00484DB0">
            <w:pPr>
              <w:spacing w:before="60" w:after="60"/>
              <w:jc w:val="center"/>
              <w:rPr>
                <w:rFonts w:cs="Times New Roman"/>
                <w:b/>
                <w:bCs/>
                <w:color w:val="000000"/>
                <w:sz w:val="18"/>
                <w:szCs w:val="18"/>
              </w:rPr>
            </w:pPr>
          </w:p>
        </w:tc>
      </w:tr>
      <w:tr w:rsidR="000F6636" w:rsidRPr="0088520B" w14:paraId="22505E2F" w14:textId="77777777" w:rsidTr="00C525B1">
        <w:trPr>
          <w:trHeight w:val="173"/>
          <w:jc w:val="center"/>
        </w:trPr>
        <w:tc>
          <w:tcPr>
            <w:tcW w:w="4395" w:type="dxa"/>
            <w:tcBorders>
              <w:left w:val="nil"/>
              <w:bottom w:val="nil"/>
              <w:right w:val="nil"/>
            </w:tcBorders>
            <w:shd w:val="clear" w:color="auto" w:fill="auto"/>
            <w:noWrap/>
            <w:vAlign w:val="center"/>
            <w:hideMark/>
          </w:tcPr>
          <w:p w14:paraId="1C1714CE" w14:textId="77777777" w:rsidR="000F6636" w:rsidRPr="0088520B" w:rsidRDefault="000F6636" w:rsidP="00484DB0">
            <w:pPr>
              <w:rPr>
                <w:rFonts w:cs="Times New Roman"/>
                <w:color w:val="000000"/>
                <w:sz w:val="18"/>
                <w:szCs w:val="18"/>
              </w:rPr>
            </w:pPr>
            <w:r w:rsidRPr="0088520B">
              <w:rPr>
                <w:rFonts w:cs="Times New Roman"/>
                <w:color w:val="000000"/>
                <w:sz w:val="18"/>
                <w:szCs w:val="18"/>
              </w:rPr>
              <w:t>6. Likvidné finančné aktíva</w:t>
            </w:r>
          </w:p>
        </w:tc>
        <w:tc>
          <w:tcPr>
            <w:tcW w:w="1134" w:type="dxa"/>
            <w:tcBorders>
              <w:left w:val="nil"/>
              <w:bottom w:val="nil"/>
              <w:right w:val="nil"/>
            </w:tcBorders>
            <w:shd w:val="clear" w:color="auto" w:fill="auto"/>
            <w:noWrap/>
            <w:vAlign w:val="bottom"/>
            <w:hideMark/>
          </w:tcPr>
          <w:p w14:paraId="3C85ECA4" w14:textId="77777777" w:rsidR="000F6636" w:rsidRPr="0088520B" w:rsidRDefault="000F6636" w:rsidP="00484DB0">
            <w:pPr>
              <w:rPr>
                <w:rFonts w:cs="Times New Roman"/>
                <w:color w:val="000000"/>
                <w:sz w:val="18"/>
                <w:szCs w:val="18"/>
              </w:rPr>
            </w:pPr>
          </w:p>
        </w:tc>
        <w:tc>
          <w:tcPr>
            <w:tcW w:w="817" w:type="dxa"/>
            <w:tcBorders>
              <w:left w:val="nil"/>
              <w:bottom w:val="nil"/>
              <w:right w:val="nil"/>
            </w:tcBorders>
            <w:shd w:val="clear" w:color="auto" w:fill="auto"/>
            <w:noWrap/>
            <w:vAlign w:val="center"/>
            <w:hideMark/>
          </w:tcPr>
          <w:p w14:paraId="78D42631" w14:textId="77777777" w:rsidR="000F6636" w:rsidRPr="0088520B" w:rsidRDefault="000F6636" w:rsidP="00484DB0">
            <w:pPr>
              <w:jc w:val="center"/>
              <w:rPr>
                <w:rFonts w:cs="Times New Roman"/>
                <w:color w:val="000000"/>
                <w:sz w:val="18"/>
                <w:szCs w:val="18"/>
              </w:rPr>
            </w:pPr>
            <w:r>
              <w:rPr>
                <w:color w:val="000000"/>
                <w:sz w:val="18"/>
                <w:szCs w:val="18"/>
              </w:rPr>
              <w:t>7,5</w:t>
            </w:r>
          </w:p>
        </w:tc>
        <w:tc>
          <w:tcPr>
            <w:tcW w:w="637" w:type="dxa"/>
            <w:tcBorders>
              <w:left w:val="nil"/>
              <w:bottom w:val="nil"/>
              <w:right w:val="nil"/>
            </w:tcBorders>
            <w:shd w:val="clear" w:color="auto" w:fill="auto"/>
            <w:noWrap/>
            <w:vAlign w:val="center"/>
            <w:hideMark/>
          </w:tcPr>
          <w:p w14:paraId="7DCA251A" w14:textId="77777777" w:rsidR="000F6636" w:rsidRPr="0088520B" w:rsidRDefault="000F6636" w:rsidP="00484DB0">
            <w:pPr>
              <w:jc w:val="center"/>
              <w:rPr>
                <w:rFonts w:cs="Times New Roman"/>
                <w:color w:val="000000"/>
                <w:sz w:val="18"/>
                <w:szCs w:val="18"/>
              </w:rPr>
            </w:pPr>
            <w:r>
              <w:rPr>
                <w:color w:val="000000"/>
                <w:sz w:val="18"/>
                <w:szCs w:val="18"/>
              </w:rPr>
              <w:t>7,8</w:t>
            </w:r>
          </w:p>
        </w:tc>
        <w:tc>
          <w:tcPr>
            <w:tcW w:w="635" w:type="dxa"/>
            <w:tcBorders>
              <w:left w:val="nil"/>
              <w:bottom w:val="nil"/>
              <w:right w:val="nil"/>
            </w:tcBorders>
            <w:shd w:val="clear" w:color="auto" w:fill="auto"/>
            <w:noWrap/>
            <w:vAlign w:val="center"/>
            <w:hideMark/>
          </w:tcPr>
          <w:p w14:paraId="4EFE47A9" w14:textId="77777777" w:rsidR="000F6636" w:rsidRPr="0088520B" w:rsidRDefault="000F6636" w:rsidP="00484DB0">
            <w:pPr>
              <w:jc w:val="center"/>
              <w:rPr>
                <w:rFonts w:cs="Times New Roman"/>
                <w:color w:val="000000"/>
                <w:sz w:val="18"/>
                <w:szCs w:val="18"/>
              </w:rPr>
            </w:pPr>
            <w:r>
              <w:rPr>
                <w:color w:val="000000"/>
                <w:sz w:val="18"/>
                <w:szCs w:val="18"/>
              </w:rPr>
              <w:t>5,6</w:t>
            </w:r>
          </w:p>
        </w:tc>
        <w:tc>
          <w:tcPr>
            <w:tcW w:w="795" w:type="dxa"/>
            <w:tcBorders>
              <w:left w:val="nil"/>
              <w:bottom w:val="nil"/>
              <w:right w:val="nil"/>
            </w:tcBorders>
            <w:shd w:val="clear" w:color="auto" w:fill="auto"/>
            <w:noWrap/>
            <w:vAlign w:val="center"/>
            <w:hideMark/>
          </w:tcPr>
          <w:p w14:paraId="0C1009EC" w14:textId="77777777" w:rsidR="000F6636" w:rsidRPr="0088520B" w:rsidRDefault="000F6636" w:rsidP="00484DB0">
            <w:pPr>
              <w:jc w:val="center"/>
              <w:rPr>
                <w:rFonts w:cs="Times New Roman"/>
                <w:color w:val="000000"/>
                <w:sz w:val="18"/>
                <w:szCs w:val="18"/>
              </w:rPr>
            </w:pPr>
            <w:r>
              <w:rPr>
                <w:color w:val="000000"/>
                <w:sz w:val="18"/>
                <w:szCs w:val="18"/>
              </w:rPr>
              <w:t>5,4</w:t>
            </w:r>
          </w:p>
        </w:tc>
        <w:tc>
          <w:tcPr>
            <w:tcW w:w="659" w:type="dxa"/>
            <w:tcBorders>
              <w:left w:val="nil"/>
              <w:bottom w:val="nil"/>
              <w:right w:val="nil"/>
            </w:tcBorders>
            <w:shd w:val="clear" w:color="auto" w:fill="auto"/>
            <w:noWrap/>
            <w:vAlign w:val="center"/>
            <w:hideMark/>
          </w:tcPr>
          <w:p w14:paraId="5E5948F2" w14:textId="77777777" w:rsidR="000F6636" w:rsidRPr="0088520B" w:rsidRDefault="000F6636" w:rsidP="00484DB0">
            <w:pPr>
              <w:jc w:val="center"/>
              <w:rPr>
                <w:rFonts w:cs="Times New Roman"/>
                <w:color w:val="000000"/>
                <w:sz w:val="18"/>
                <w:szCs w:val="18"/>
              </w:rPr>
            </w:pPr>
            <w:r>
              <w:rPr>
                <w:color w:val="000000"/>
                <w:sz w:val="18"/>
                <w:szCs w:val="18"/>
              </w:rPr>
              <w:t>6,2</w:t>
            </w:r>
          </w:p>
        </w:tc>
      </w:tr>
      <w:tr w:rsidR="000F6636" w:rsidRPr="0088520B" w14:paraId="5EB4F3F2" w14:textId="77777777" w:rsidTr="008C224D">
        <w:trPr>
          <w:trHeight w:val="173"/>
          <w:jc w:val="center"/>
        </w:trPr>
        <w:tc>
          <w:tcPr>
            <w:tcW w:w="4395" w:type="dxa"/>
            <w:tcBorders>
              <w:top w:val="nil"/>
              <w:left w:val="nil"/>
              <w:bottom w:val="nil"/>
              <w:right w:val="nil"/>
            </w:tcBorders>
            <w:shd w:val="clear" w:color="auto" w:fill="auto"/>
            <w:vAlign w:val="center"/>
            <w:hideMark/>
          </w:tcPr>
          <w:p w14:paraId="0039E4A1" w14:textId="77777777" w:rsidR="000F6636" w:rsidRPr="0088520B" w:rsidRDefault="000F6636" w:rsidP="00484DB0">
            <w:pPr>
              <w:rPr>
                <w:rFonts w:cs="Times New Roman"/>
                <w:color w:val="000000"/>
                <w:sz w:val="18"/>
                <w:szCs w:val="18"/>
              </w:rPr>
            </w:pPr>
            <w:r w:rsidRPr="0088520B">
              <w:rPr>
                <w:rFonts w:cs="Times New Roman"/>
                <w:color w:val="000000"/>
                <w:sz w:val="18"/>
                <w:szCs w:val="18"/>
              </w:rPr>
              <w:t>7. Čistý finančný dlh (1-6)</w:t>
            </w:r>
          </w:p>
        </w:tc>
        <w:tc>
          <w:tcPr>
            <w:tcW w:w="1134" w:type="dxa"/>
            <w:tcBorders>
              <w:top w:val="nil"/>
              <w:left w:val="nil"/>
              <w:bottom w:val="nil"/>
              <w:right w:val="nil"/>
            </w:tcBorders>
            <w:shd w:val="clear" w:color="auto" w:fill="auto"/>
            <w:vAlign w:val="center"/>
            <w:hideMark/>
          </w:tcPr>
          <w:p w14:paraId="4804A6C4" w14:textId="77777777" w:rsidR="000F6636" w:rsidRPr="0088520B" w:rsidRDefault="000F6636" w:rsidP="00484DB0">
            <w:pPr>
              <w:rPr>
                <w:rFonts w:cs="Times New Roman"/>
                <w:color w:val="000000"/>
                <w:sz w:val="18"/>
                <w:szCs w:val="18"/>
              </w:rPr>
            </w:pPr>
          </w:p>
        </w:tc>
        <w:tc>
          <w:tcPr>
            <w:tcW w:w="817" w:type="dxa"/>
            <w:tcBorders>
              <w:top w:val="nil"/>
              <w:left w:val="nil"/>
              <w:bottom w:val="nil"/>
              <w:right w:val="nil"/>
            </w:tcBorders>
            <w:shd w:val="clear" w:color="auto" w:fill="auto"/>
            <w:vAlign w:val="center"/>
            <w:hideMark/>
          </w:tcPr>
          <w:p w14:paraId="757E8278" w14:textId="77777777" w:rsidR="000F6636" w:rsidRPr="0088520B" w:rsidRDefault="000F6636" w:rsidP="00484DB0">
            <w:pPr>
              <w:jc w:val="center"/>
              <w:rPr>
                <w:rFonts w:cs="Times New Roman"/>
                <w:color w:val="000000"/>
                <w:sz w:val="18"/>
                <w:szCs w:val="18"/>
              </w:rPr>
            </w:pPr>
            <w:r>
              <w:rPr>
                <w:color w:val="000000"/>
                <w:sz w:val="18"/>
                <w:szCs w:val="18"/>
              </w:rPr>
              <w:t>48,5</w:t>
            </w:r>
          </w:p>
        </w:tc>
        <w:tc>
          <w:tcPr>
            <w:tcW w:w="637" w:type="dxa"/>
            <w:tcBorders>
              <w:top w:val="nil"/>
              <w:left w:val="nil"/>
              <w:bottom w:val="nil"/>
              <w:right w:val="nil"/>
            </w:tcBorders>
            <w:shd w:val="clear" w:color="auto" w:fill="auto"/>
            <w:vAlign w:val="center"/>
            <w:hideMark/>
          </w:tcPr>
          <w:p w14:paraId="116038F2" w14:textId="77777777" w:rsidR="000F6636" w:rsidRPr="0088520B" w:rsidRDefault="000F6636" w:rsidP="00484DB0">
            <w:pPr>
              <w:jc w:val="center"/>
              <w:rPr>
                <w:rFonts w:cs="Times New Roman"/>
                <w:color w:val="000000"/>
                <w:sz w:val="18"/>
                <w:szCs w:val="18"/>
              </w:rPr>
            </w:pPr>
            <w:r>
              <w:rPr>
                <w:color w:val="000000"/>
                <w:sz w:val="18"/>
                <w:szCs w:val="18"/>
              </w:rPr>
              <w:t>50,8</w:t>
            </w:r>
          </w:p>
        </w:tc>
        <w:tc>
          <w:tcPr>
            <w:tcW w:w="635" w:type="dxa"/>
            <w:tcBorders>
              <w:top w:val="nil"/>
              <w:left w:val="nil"/>
              <w:bottom w:val="nil"/>
              <w:right w:val="nil"/>
            </w:tcBorders>
            <w:shd w:val="clear" w:color="auto" w:fill="auto"/>
            <w:vAlign w:val="center"/>
            <w:hideMark/>
          </w:tcPr>
          <w:p w14:paraId="33755F6D" w14:textId="77777777" w:rsidR="000F6636" w:rsidRPr="0088520B" w:rsidRDefault="000F6636" w:rsidP="00484DB0">
            <w:pPr>
              <w:jc w:val="center"/>
              <w:rPr>
                <w:rFonts w:cs="Times New Roman"/>
                <w:color w:val="000000"/>
                <w:sz w:val="18"/>
                <w:szCs w:val="18"/>
              </w:rPr>
            </w:pPr>
            <w:r>
              <w:rPr>
                <w:color w:val="000000"/>
                <w:sz w:val="18"/>
                <w:szCs w:val="18"/>
              </w:rPr>
              <w:t>54,3</w:t>
            </w:r>
          </w:p>
        </w:tc>
        <w:tc>
          <w:tcPr>
            <w:tcW w:w="795" w:type="dxa"/>
            <w:tcBorders>
              <w:top w:val="nil"/>
              <w:left w:val="nil"/>
              <w:bottom w:val="nil"/>
              <w:right w:val="nil"/>
            </w:tcBorders>
            <w:shd w:val="clear" w:color="auto" w:fill="auto"/>
            <w:vAlign w:val="center"/>
            <w:hideMark/>
          </w:tcPr>
          <w:p w14:paraId="38DAA553" w14:textId="77777777" w:rsidR="000F6636" w:rsidRPr="0088520B" w:rsidRDefault="000F6636" w:rsidP="00484DB0">
            <w:pPr>
              <w:jc w:val="center"/>
              <w:rPr>
                <w:rFonts w:cs="Times New Roman"/>
                <w:color w:val="000000"/>
                <w:sz w:val="18"/>
                <w:szCs w:val="18"/>
              </w:rPr>
            </w:pPr>
            <w:r>
              <w:rPr>
                <w:color w:val="000000"/>
                <w:sz w:val="18"/>
                <w:szCs w:val="18"/>
              </w:rPr>
              <w:t>58,2</w:t>
            </w:r>
          </w:p>
        </w:tc>
        <w:tc>
          <w:tcPr>
            <w:tcW w:w="659" w:type="dxa"/>
            <w:tcBorders>
              <w:top w:val="nil"/>
              <w:left w:val="nil"/>
              <w:bottom w:val="nil"/>
              <w:right w:val="nil"/>
            </w:tcBorders>
            <w:shd w:val="clear" w:color="auto" w:fill="auto"/>
            <w:vAlign w:val="center"/>
            <w:hideMark/>
          </w:tcPr>
          <w:p w14:paraId="37053AFE" w14:textId="77777777" w:rsidR="000F6636" w:rsidRPr="0088520B" w:rsidRDefault="000F6636" w:rsidP="00484DB0">
            <w:pPr>
              <w:jc w:val="center"/>
              <w:rPr>
                <w:rFonts w:cs="Times New Roman"/>
                <w:color w:val="000000"/>
                <w:sz w:val="18"/>
                <w:szCs w:val="18"/>
              </w:rPr>
            </w:pPr>
            <w:r>
              <w:rPr>
                <w:color w:val="000000"/>
                <w:sz w:val="18"/>
                <w:szCs w:val="18"/>
              </w:rPr>
              <w:t>61,6</w:t>
            </w:r>
          </w:p>
        </w:tc>
      </w:tr>
      <w:tr w:rsidR="0083101D" w:rsidRPr="0088520B" w14:paraId="36692E2B" w14:textId="77777777" w:rsidTr="00794513">
        <w:trPr>
          <w:trHeight w:val="173"/>
          <w:jc w:val="center"/>
        </w:trPr>
        <w:tc>
          <w:tcPr>
            <w:tcW w:w="5529" w:type="dxa"/>
            <w:gridSpan w:val="2"/>
            <w:tcBorders>
              <w:top w:val="nil"/>
              <w:left w:val="nil"/>
              <w:bottom w:val="nil"/>
              <w:right w:val="nil"/>
            </w:tcBorders>
            <w:shd w:val="clear" w:color="auto" w:fill="auto"/>
            <w:vAlign w:val="center"/>
            <w:hideMark/>
          </w:tcPr>
          <w:p w14:paraId="5EFF644D" w14:textId="77777777" w:rsidR="0083101D" w:rsidRPr="0088520B" w:rsidRDefault="0083101D" w:rsidP="0083101D">
            <w:pPr>
              <w:rPr>
                <w:rFonts w:cs="Times New Roman"/>
                <w:color w:val="000000"/>
                <w:sz w:val="18"/>
                <w:szCs w:val="18"/>
              </w:rPr>
            </w:pPr>
            <w:r w:rsidRPr="0088520B">
              <w:rPr>
                <w:rFonts w:cs="Times New Roman"/>
                <w:color w:val="000000"/>
                <w:sz w:val="18"/>
                <w:szCs w:val="18"/>
              </w:rPr>
              <w:t>8. Splátky dlhu (existujúce dlhopisy) od konca predchádzajúceho roka</w:t>
            </w:r>
          </w:p>
        </w:tc>
        <w:tc>
          <w:tcPr>
            <w:tcW w:w="817" w:type="dxa"/>
            <w:tcBorders>
              <w:top w:val="nil"/>
              <w:left w:val="nil"/>
              <w:bottom w:val="nil"/>
              <w:right w:val="nil"/>
            </w:tcBorders>
            <w:shd w:val="clear" w:color="auto" w:fill="auto"/>
          </w:tcPr>
          <w:p w14:paraId="06B7D291" w14:textId="3DFECC1C" w:rsidR="0083101D" w:rsidRPr="0083101D" w:rsidRDefault="0083101D" w:rsidP="0083101D">
            <w:pPr>
              <w:jc w:val="center"/>
              <w:rPr>
                <w:rFonts w:cs="Times New Roman"/>
                <w:color w:val="000000"/>
                <w:sz w:val="18"/>
                <w:szCs w:val="18"/>
              </w:rPr>
            </w:pPr>
            <w:r w:rsidRPr="0083101D">
              <w:rPr>
                <w:sz w:val="18"/>
                <w:szCs w:val="18"/>
              </w:rPr>
              <w:t>3,6</w:t>
            </w:r>
          </w:p>
        </w:tc>
        <w:tc>
          <w:tcPr>
            <w:tcW w:w="637" w:type="dxa"/>
            <w:tcBorders>
              <w:top w:val="nil"/>
              <w:left w:val="nil"/>
              <w:bottom w:val="nil"/>
              <w:right w:val="nil"/>
            </w:tcBorders>
            <w:shd w:val="clear" w:color="auto" w:fill="auto"/>
          </w:tcPr>
          <w:p w14:paraId="5515AA10" w14:textId="74D65696" w:rsidR="0083101D" w:rsidRPr="0083101D" w:rsidRDefault="0083101D" w:rsidP="0083101D">
            <w:pPr>
              <w:jc w:val="center"/>
              <w:rPr>
                <w:rFonts w:cs="Times New Roman"/>
                <w:color w:val="000000"/>
                <w:sz w:val="18"/>
                <w:szCs w:val="18"/>
              </w:rPr>
            </w:pPr>
            <w:r w:rsidRPr="0083101D">
              <w:rPr>
                <w:sz w:val="18"/>
                <w:szCs w:val="18"/>
              </w:rPr>
              <w:t>3,5</w:t>
            </w:r>
          </w:p>
        </w:tc>
        <w:tc>
          <w:tcPr>
            <w:tcW w:w="635" w:type="dxa"/>
            <w:tcBorders>
              <w:top w:val="nil"/>
              <w:left w:val="nil"/>
              <w:bottom w:val="nil"/>
              <w:right w:val="nil"/>
            </w:tcBorders>
            <w:shd w:val="clear" w:color="auto" w:fill="auto"/>
          </w:tcPr>
          <w:p w14:paraId="3B2A1A27" w14:textId="5FD44C10" w:rsidR="0083101D" w:rsidRPr="0083101D" w:rsidRDefault="0083101D" w:rsidP="0083101D">
            <w:pPr>
              <w:jc w:val="center"/>
              <w:rPr>
                <w:rFonts w:cs="Times New Roman"/>
                <w:color w:val="000000"/>
                <w:sz w:val="18"/>
                <w:szCs w:val="18"/>
              </w:rPr>
            </w:pPr>
            <w:r w:rsidRPr="0083101D">
              <w:rPr>
                <w:sz w:val="18"/>
                <w:szCs w:val="18"/>
              </w:rPr>
              <w:t>4,3</w:t>
            </w:r>
          </w:p>
        </w:tc>
        <w:tc>
          <w:tcPr>
            <w:tcW w:w="795" w:type="dxa"/>
            <w:tcBorders>
              <w:top w:val="nil"/>
              <w:left w:val="nil"/>
              <w:bottom w:val="nil"/>
              <w:right w:val="nil"/>
            </w:tcBorders>
            <w:shd w:val="clear" w:color="auto" w:fill="auto"/>
          </w:tcPr>
          <w:p w14:paraId="593A2B0D" w14:textId="64256130" w:rsidR="0083101D" w:rsidRPr="0083101D" w:rsidRDefault="0083101D" w:rsidP="0083101D">
            <w:pPr>
              <w:jc w:val="center"/>
              <w:rPr>
                <w:rFonts w:cs="Times New Roman"/>
                <w:color w:val="000000"/>
                <w:sz w:val="18"/>
                <w:szCs w:val="18"/>
              </w:rPr>
            </w:pPr>
            <w:r w:rsidRPr="0083101D">
              <w:rPr>
                <w:sz w:val="18"/>
                <w:szCs w:val="18"/>
              </w:rPr>
              <w:t>2,8</w:t>
            </w:r>
          </w:p>
        </w:tc>
        <w:tc>
          <w:tcPr>
            <w:tcW w:w="659" w:type="dxa"/>
            <w:tcBorders>
              <w:top w:val="nil"/>
              <w:left w:val="nil"/>
              <w:bottom w:val="nil"/>
              <w:right w:val="nil"/>
            </w:tcBorders>
            <w:shd w:val="clear" w:color="auto" w:fill="auto"/>
          </w:tcPr>
          <w:p w14:paraId="2792663E" w14:textId="05B2498D" w:rsidR="0083101D" w:rsidRPr="0083101D" w:rsidRDefault="0083101D" w:rsidP="0083101D">
            <w:pPr>
              <w:jc w:val="center"/>
              <w:rPr>
                <w:rFonts w:cs="Times New Roman"/>
                <w:color w:val="000000"/>
                <w:sz w:val="18"/>
                <w:szCs w:val="18"/>
              </w:rPr>
            </w:pPr>
            <w:r w:rsidRPr="0083101D">
              <w:rPr>
                <w:sz w:val="18"/>
                <w:szCs w:val="18"/>
              </w:rPr>
              <w:t>3,2</w:t>
            </w:r>
          </w:p>
        </w:tc>
      </w:tr>
      <w:tr w:rsidR="0083101D" w:rsidRPr="0088520B" w14:paraId="791B55FC" w14:textId="77777777" w:rsidTr="00794513">
        <w:trPr>
          <w:trHeight w:val="173"/>
          <w:jc w:val="center"/>
        </w:trPr>
        <w:tc>
          <w:tcPr>
            <w:tcW w:w="5529" w:type="dxa"/>
            <w:gridSpan w:val="2"/>
            <w:tcBorders>
              <w:top w:val="nil"/>
              <w:left w:val="nil"/>
              <w:right w:val="nil"/>
            </w:tcBorders>
            <w:shd w:val="clear" w:color="auto" w:fill="auto"/>
            <w:vAlign w:val="center"/>
            <w:hideMark/>
          </w:tcPr>
          <w:p w14:paraId="7C1CF2B2" w14:textId="7C3E2A56" w:rsidR="0083101D" w:rsidRPr="0088520B" w:rsidRDefault="0083101D" w:rsidP="0083101D">
            <w:pPr>
              <w:rPr>
                <w:rFonts w:cs="Times New Roman"/>
                <w:color w:val="000000"/>
                <w:sz w:val="18"/>
                <w:szCs w:val="18"/>
              </w:rPr>
            </w:pPr>
            <w:r w:rsidRPr="0088520B">
              <w:rPr>
                <w:rFonts w:cs="Times New Roman"/>
                <w:color w:val="000000"/>
                <w:sz w:val="18"/>
                <w:szCs w:val="18"/>
              </w:rPr>
              <w:t>9. Podiel dlhu denominovaného v zahraničnej mene</w:t>
            </w:r>
            <w:r>
              <w:rPr>
                <w:rFonts w:cs="Times New Roman"/>
                <w:color w:val="000000"/>
                <w:sz w:val="18"/>
                <w:szCs w:val="18"/>
              </w:rPr>
              <w:t>*</w:t>
            </w:r>
          </w:p>
        </w:tc>
        <w:tc>
          <w:tcPr>
            <w:tcW w:w="817" w:type="dxa"/>
            <w:tcBorders>
              <w:top w:val="nil"/>
              <w:left w:val="nil"/>
              <w:right w:val="nil"/>
            </w:tcBorders>
            <w:shd w:val="clear" w:color="auto" w:fill="auto"/>
          </w:tcPr>
          <w:p w14:paraId="7D979703" w14:textId="0E595C37" w:rsidR="0083101D" w:rsidRPr="0083101D" w:rsidRDefault="0083101D" w:rsidP="0083101D">
            <w:pPr>
              <w:jc w:val="center"/>
              <w:rPr>
                <w:rFonts w:cs="Times New Roman"/>
                <w:color w:val="000000"/>
                <w:sz w:val="18"/>
                <w:szCs w:val="18"/>
              </w:rPr>
            </w:pPr>
            <w:r w:rsidRPr="0083101D">
              <w:rPr>
                <w:sz w:val="18"/>
                <w:szCs w:val="18"/>
              </w:rPr>
              <w:t>0,6</w:t>
            </w:r>
          </w:p>
        </w:tc>
        <w:tc>
          <w:tcPr>
            <w:tcW w:w="637" w:type="dxa"/>
            <w:tcBorders>
              <w:top w:val="nil"/>
              <w:left w:val="nil"/>
              <w:right w:val="nil"/>
            </w:tcBorders>
            <w:shd w:val="clear" w:color="auto" w:fill="auto"/>
          </w:tcPr>
          <w:p w14:paraId="3B895423" w14:textId="716F4253" w:rsidR="0083101D" w:rsidRPr="0083101D" w:rsidRDefault="0083101D" w:rsidP="0083101D">
            <w:pPr>
              <w:jc w:val="center"/>
              <w:rPr>
                <w:rFonts w:cs="Times New Roman"/>
                <w:color w:val="000000"/>
                <w:sz w:val="18"/>
                <w:szCs w:val="18"/>
              </w:rPr>
            </w:pPr>
            <w:r w:rsidRPr="0083101D">
              <w:rPr>
                <w:sz w:val="18"/>
                <w:szCs w:val="18"/>
              </w:rPr>
              <w:t>0,4</w:t>
            </w:r>
          </w:p>
        </w:tc>
        <w:tc>
          <w:tcPr>
            <w:tcW w:w="635" w:type="dxa"/>
            <w:tcBorders>
              <w:top w:val="nil"/>
              <w:left w:val="nil"/>
              <w:right w:val="nil"/>
            </w:tcBorders>
            <w:shd w:val="clear" w:color="auto" w:fill="auto"/>
          </w:tcPr>
          <w:p w14:paraId="1E6D9AE8" w14:textId="2A580A77" w:rsidR="0083101D" w:rsidRPr="0083101D" w:rsidRDefault="0083101D" w:rsidP="0083101D">
            <w:pPr>
              <w:jc w:val="center"/>
              <w:rPr>
                <w:rFonts w:cs="Times New Roman"/>
                <w:color w:val="000000"/>
                <w:sz w:val="18"/>
                <w:szCs w:val="18"/>
              </w:rPr>
            </w:pPr>
            <w:r w:rsidRPr="0083101D">
              <w:rPr>
                <w:sz w:val="18"/>
                <w:szCs w:val="18"/>
              </w:rPr>
              <w:t>0,3</w:t>
            </w:r>
          </w:p>
        </w:tc>
        <w:tc>
          <w:tcPr>
            <w:tcW w:w="795" w:type="dxa"/>
            <w:tcBorders>
              <w:top w:val="nil"/>
              <w:left w:val="nil"/>
              <w:right w:val="nil"/>
            </w:tcBorders>
            <w:shd w:val="clear" w:color="auto" w:fill="auto"/>
          </w:tcPr>
          <w:p w14:paraId="6DDC881A" w14:textId="34CE3273" w:rsidR="0083101D" w:rsidRPr="0083101D" w:rsidRDefault="0083101D" w:rsidP="0083101D">
            <w:pPr>
              <w:jc w:val="center"/>
              <w:rPr>
                <w:rFonts w:cs="Times New Roman"/>
                <w:color w:val="000000"/>
                <w:sz w:val="18"/>
                <w:szCs w:val="18"/>
              </w:rPr>
            </w:pPr>
            <w:r w:rsidRPr="0083101D">
              <w:rPr>
                <w:sz w:val="18"/>
                <w:szCs w:val="18"/>
              </w:rPr>
              <w:t>0,0</w:t>
            </w:r>
          </w:p>
        </w:tc>
        <w:tc>
          <w:tcPr>
            <w:tcW w:w="659" w:type="dxa"/>
            <w:tcBorders>
              <w:top w:val="nil"/>
              <w:left w:val="nil"/>
              <w:right w:val="nil"/>
            </w:tcBorders>
            <w:shd w:val="clear" w:color="auto" w:fill="auto"/>
          </w:tcPr>
          <w:p w14:paraId="405E34C6" w14:textId="68AC5CD7" w:rsidR="0083101D" w:rsidRPr="0083101D" w:rsidRDefault="0083101D" w:rsidP="0083101D">
            <w:pPr>
              <w:jc w:val="center"/>
              <w:rPr>
                <w:rFonts w:cs="Times New Roman"/>
                <w:color w:val="000000"/>
                <w:sz w:val="18"/>
                <w:szCs w:val="18"/>
              </w:rPr>
            </w:pPr>
            <w:r w:rsidRPr="0083101D">
              <w:rPr>
                <w:sz w:val="18"/>
                <w:szCs w:val="18"/>
              </w:rPr>
              <w:t>0,0</w:t>
            </w:r>
          </w:p>
        </w:tc>
      </w:tr>
      <w:tr w:rsidR="000F6636" w:rsidRPr="0088520B" w14:paraId="30600701" w14:textId="77777777" w:rsidTr="008C224D">
        <w:trPr>
          <w:trHeight w:val="173"/>
          <w:jc w:val="center"/>
        </w:trPr>
        <w:tc>
          <w:tcPr>
            <w:tcW w:w="4395" w:type="dxa"/>
            <w:tcBorders>
              <w:top w:val="nil"/>
              <w:left w:val="nil"/>
              <w:bottom w:val="single" w:sz="4" w:space="0" w:color="auto"/>
              <w:right w:val="nil"/>
            </w:tcBorders>
            <w:shd w:val="clear" w:color="auto" w:fill="auto"/>
            <w:vAlign w:val="center"/>
            <w:hideMark/>
          </w:tcPr>
          <w:p w14:paraId="28BE9E62" w14:textId="120E4357" w:rsidR="000F6636" w:rsidRPr="0088520B" w:rsidRDefault="000F6636" w:rsidP="00484DB0">
            <w:pPr>
              <w:rPr>
                <w:rFonts w:cs="Times New Roman"/>
                <w:color w:val="000000"/>
                <w:sz w:val="18"/>
                <w:szCs w:val="18"/>
              </w:rPr>
            </w:pPr>
            <w:r w:rsidRPr="0088520B">
              <w:rPr>
                <w:rFonts w:cs="Times New Roman"/>
                <w:color w:val="000000"/>
                <w:sz w:val="18"/>
                <w:szCs w:val="18"/>
              </w:rPr>
              <w:t>10. Priemerná splatnosť</w:t>
            </w:r>
            <w:r w:rsidR="000B1C4D">
              <w:rPr>
                <w:rFonts w:cs="Times New Roman"/>
                <w:color w:val="000000"/>
                <w:sz w:val="18"/>
                <w:szCs w:val="18"/>
              </w:rPr>
              <w:t>**</w:t>
            </w:r>
          </w:p>
        </w:tc>
        <w:tc>
          <w:tcPr>
            <w:tcW w:w="1134" w:type="dxa"/>
            <w:tcBorders>
              <w:top w:val="nil"/>
              <w:left w:val="nil"/>
              <w:bottom w:val="single" w:sz="4" w:space="0" w:color="auto"/>
              <w:right w:val="nil"/>
            </w:tcBorders>
            <w:shd w:val="clear" w:color="auto" w:fill="auto"/>
          </w:tcPr>
          <w:p w14:paraId="33CED691" w14:textId="77777777" w:rsidR="000F6636" w:rsidRPr="0088520B" w:rsidRDefault="000F6636" w:rsidP="00484DB0">
            <w:pPr>
              <w:rPr>
                <w:rFonts w:cs="Times New Roman"/>
                <w:color w:val="000000"/>
                <w:sz w:val="18"/>
                <w:szCs w:val="18"/>
              </w:rPr>
            </w:pPr>
          </w:p>
        </w:tc>
        <w:tc>
          <w:tcPr>
            <w:tcW w:w="817" w:type="dxa"/>
            <w:tcBorders>
              <w:top w:val="nil"/>
              <w:left w:val="nil"/>
              <w:bottom w:val="single" w:sz="4" w:space="0" w:color="auto"/>
              <w:right w:val="nil"/>
            </w:tcBorders>
            <w:shd w:val="clear" w:color="auto" w:fill="auto"/>
            <w:vAlign w:val="center"/>
          </w:tcPr>
          <w:p w14:paraId="210A3EA9" w14:textId="77777777" w:rsidR="000F6636" w:rsidRPr="0088520B" w:rsidRDefault="000F6636" w:rsidP="00484DB0">
            <w:pPr>
              <w:jc w:val="center"/>
              <w:rPr>
                <w:rFonts w:cs="Times New Roman"/>
                <w:color w:val="000000"/>
                <w:sz w:val="18"/>
                <w:szCs w:val="18"/>
              </w:rPr>
            </w:pPr>
            <w:r>
              <w:rPr>
                <w:color w:val="000000"/>
                <w:sz w:val="18"/>
                <w:szCs w:val="18"/>
              </w:rPr>
              <w:t>8,6</w:t>
            </w:r>
          </w:p>
        </w:tc>
        <w:tc>
          <w:tcPr>
            <w:tcW w:w="637" w:type="dxa"/>
            <w:tcBorders>
              <w:top w:val="nil"/>
              <w:left w:val="nil"/>
              <w:bottom w:val="single" w:sz="4" w:space="0" w:color="auto"/>
              <w:right w:val="nil"/>
            </w:tcBorders>
            <w:shd w:val="clear" w:color="auto" w:fill="auto"/>
            <w:vAlign w:val="center"/>
          </w:tcPr>
          <w:p w14:paraId="2112A5E6" w14:textId="77777777" w:rsidR="000F6636" w:rsidRPr="0088520B" w:rsidRDefault="000F6636" w:rsidP="00484DB0">
            <w:pPr>
              <w:jc w:val="center"/>
              <w:rPr>
                <w:rFonts w:cs="Times New Roman"/>
                <w:color w:val="000000"/>
                <w:sz w:val="18"/>
                <w:szCs w:val="18"/>
              </w:rPr>
            </w:pPr>
            <w:r>
              <w:rPr>
                <w:color w:val="000000"/>
                <w:sz w:val="18"/>
                <w:szCs w:val="18"/>
              </w:rPr>
              <w:t>8,3</w:t>
            </w:r>
          </w:p>
        </w:tc>
        <w:tc>
          <w:tcPr>
            <w:tcW w:w="635" w:type="dxa"/>
            <w:tcBorders>
              <w:top w:val="nil"/>
              <w:left w:val="nil"/>
              <w:bottom w:val="single" w:sz="4" w:space="0" w:color="auto"/>
              <w:right w:val="nil"/>
            </w:tcBorders>
            <w:shd w:val="clear" w:color="auto" w:fill="auto"/>
            <w:vAlign w:val="center"/>
          </w:tcPr>
          <w:p w14:paraId="63732D7D" w14:textId="77777777" w:rsidR="000F6636" w:rsidRPr="0088520B" w:rsidRDefault="000F6636" w:rsidP="00484DB0">
            <w:pPr>
              <w:jc w:val="center"/>
              <w:rPr>
                <w:rFonts w:cs="Times New Roman"/>
                <w:color w:val="000000"/>
                <w:sz w:val="18"/>
                <w:szCs w:val="18"/>
              </w:rPr>
            </w:pPr>
            <w:r>
              <w:rPr>
                <w:color w:val="000000"/>
                <w:sz w:val="18"/>
                <w:szCs w:val="18"/>
              </w:rPr>
              <w:t>7,9</w:t>
            </w:r>
          </w:p>
        </w:tc>
        <w:tc>
          <w:tcPr>
            <w:tcW w:w="795" w:type="dxa"/>
            <w:tcBorders>
              <w:top w:val="nil"/>
              <w:left w:val="nil"/>
              <w:bottom w:val="single" w:sz="4" w:space="0" w:color="auto"/>
              <w:right w:val="nil"/>
            </w:tcBorders>
            <w:shd w:val="clear" w:color="auto" w:fill="auto"/>
            <w:vAlign w:val="center"/>
          </w:tcPr>
          <w:p w14:paraId="54A4F272" w14:textId="77777777" w:rsidR="000F6636" w:rsidRPr="0088520B" w:rsidRDefault="000F6636" w:rsidP="00484DB0">
            <w:pPr>
              <w:jc w:val="center"/>
              <w:rPr>
                <w:rFonts w:cs="Times New Roman"/>
                <w:color w:val="000000"/>
                <w:sz w:val="18"/>
                <w:szCs w:val="18"/>
              </w:rPr>
            </w:pPr>
            <w:r>
              <w:rPr>
                <w:color w:val="000000"/>
                <w:sz w:val="18"/>
                <w:szCs w:val="18"/>
              </w:rPr>
              <w:t>8,1</w:t>
            </w:r>
          </w:p>
        </w:tc>
        <w:tc>
          <w:tcPr>
            <w:tcW w:w="659" w:type="dxa"/>
            <w:tcBorders>
              <w:top w:val="nil"/>
              <w:left w:val="nil"/>
              <w:bottom w:val="single" w:sz="4" w:space="0" w:color="auto"/>
              <w:right w:val="nil"/>
            </w:tcBorders>
            <w:shd w:val="clear" w:color="auto" w:fill="auto"/>
            <w:vAlign w:val="center"/>
          </w:tcPr>
          <w:p w14:paraId="56F5D7AE" w14:textId="77777777" w:rsidR="000F6636" w:rsidRPr="0088520B" w:rsidRDefault="000F6636" w:rsidP="00484DB0">
            <w:pPr>
              <w:jc w:val="center"/>
              <w:rPr>
                <w:rFonts w:cs="Times New Roman"/>
                <w:color w:val="000000"/>
                <w:sz w:val="18"/>
                <w:szCs w:val="18"/>
              </w:rPr>
            </w:pPr>
            <w:r>
              <w:rPr>
                <w:color w:val="000000"/>
                <w:sz w:val="18"/>
                <w:szCs w:val="18"/>
              </w:rPr>
              <w:t>7,8</w:t>
            </w:r>
          </w:p>
        </w:tc>
      </w:tr>
      <w:tr w:rsidR="000B1C4D" w:rsidRPr="0088520B" w14:paraId="326AEDEC" w14:textId="77777777" w:rsidTr="008C224D">
        <w:trPr>
          <w:trHeight w:val="173"/>
          <w:jc w:val="center"/>
        </w:trPr>
        <w:tc>
          <w:tcPr>
            <w:tcW w:w="4395" w:type="dxa"/>
            <w:tcBorders>
              <w:top w:val="single" w:sz="4" w:space="0" w:color="auto"/>
              <w:left w:val="nil"/>
              <w:right w:val="nil"/>
            </w:tcBorders>
            <w:shd w:val="clear" w:color="auto" w:fill="auto"/>
          </w:tcPr>
          <w:p w14:paraId="2032287B" w14:textId="14D5CFEE" w:rsidR="000B1C4D" w:rsidRPr="000B1C4D" w:rsidRDefault="000B1C4D" w:rsidP="000B1C4D">
            <w:pPr>
              <w:rPr>
                <w:rFonts w:cs="Times New Roman"/>
                <w:i/>
                <w:iCs/>
                <w:color w:val="000000"/>
                <w:sz w:val="16"/>
                <w:szCs w:val="16"/>
              </w:rPr>
            </w:pPr>
            <w:r w:rsidRPr="000B1C4D">
              <w:rPr>
                <w:rFonts w:cs="Times New Roman"/>
                <w:i/>
                <w:iCs/>
                <w:color w:val="000000"/>
                <w:sz w:val="16"/>
                <w:szCs w:val="16"/>
              </w:rPr>
              <w:t>*</w:t>
            </w:r>
            <w:r w:rsidR="00D64C0F">
              <w:rPr>
                <w:rFonts w:cs="Times New Roman"/>
                <w:i/>
                <w:iCs/>
                <w:color w:val="000000"/>
                <w:sz w:val="16"/>
                <w:szCs w:val="16"/>
              </w:rPr>
              <w:t xml:space="preserve"> </w:t>
            </w:r>
            <w:r w:rsidRPr="000B1C4D">
              <w:rPr>
                <w:rFonts w:cs="Times New Roman"/>
                <w:i/>
                <w:iCs/>
                <w:color w:val="000000"/>
                <w:sz w:val="16"/>
                <w:szCs w:val="16"/>
              </w:rPr>
              <w:t>Vrátane úverov</w:t>
            </w:r>
          </w:p>
          <w:p w14:paraId="475D7AFC" w14:textId="7B2BE68A" w:rsidR="000B1C4D" w:rsidRPr="000B1C4D" w:rsidRDefault="000B1C4D" w:rsidP="000B1C4D">
            <w:pPr>
              <w:rPr>
                <w:rFonts w:cs="Times New Roman"/>
                <w:i/>
                <w:iCs/>
                <w:color w:val="000000"/>
                <w:sz w:val="16"/>
                <w:szCs w:val="16"/>
              </w:rPr>
            </w:pPr>
            <w:r w:rsidRPr="000B1C4D">
              <w:rPr>
                <w:rFonts w:cs="Times New Roman"/>
                <w:i/>
                <w:iCs/>
                <w:color w:val="000000"/>
                <w:sz w:val="16"/>
                <w:szCs w:val="16"/>
              </w:rPr>
              <w:t>**</w:t>
            </w:r>
            <w:r w:rsidR="00D64C0F">
              <w:rPr>
                <w:rFonts w:cs="Times New Roman"/>
                <w:i/>
                <w:iCs/>
                <w:color w:val="000000"/>
                <w:sz w:val="16"/>
                <w:szCs w:val="16"/>
              </w:rPr>
              <w:t xml:space="preserve"> </w:t>
            </w:r>
            <w:r w:rsidRPr="000B1C4D">
              <w:rPr>
                <w:rFonts w:cs="Times New Roman"/>
                <w:i/>
                <w:iCs/>
                <w:color w:val="000000"/>
                <w:sz w:val="16"/>
                <w:szCs w:val="16"/>
              </w:rPr>
              <w:t>Ide o splatnosť štátneho dlhu k 31. 12</w:t>
            </w:r>
          </w:p>
        </w:tc>
        <w:tc>
          <w:tcPr>
            <w:tcW w:w="1134" w:type="dxa"/>
            <w:tcBorders>
              <w:top w:val="single" w:sz="4" w:space="0" w:color="auto"/>
              <w:left w:val="nil"/>
              <w:right w:val="nil"/>
            </w:tcBorders>
            <w:shd w:val="clear" w:color="auto" w:fill="auto"/>
          </w:tcPr>
          <w:p w14:paraId="6843F993" w14:textId="77777777" w:rsidR="000B1C4D" w:rsidRPr="000B1C4D" w:rsidRDefault="000B1C4D" w:rsidP="000B1C4D">
            <w:pPr>
              <w:rPr>
                <w:rFonts w:cs="Times New Roman"/>
                <w:i/>
                <w:iCs/>
                <w:color w:val="000000"/>
                <w:sz w:val="16"/>
                <w:szCs w:val="16"/>
              </w:rPr>
            </w:pPr>
          </w:p>
        </w:tc>
        <w:tc>
          <w:tcPr>
            <w:tcW w:w="817" w:type="dxa"/>
            <w:tcBorders>
              <w:top w:val="single" w:sz="4" w:space="0" w:color="auto"/>
              <w:left w:val="nil"/>
              <w:right w:val="nil"/>
            </w:tcBorders>
            <w:shd w:val="clear" w:color="auto" w:fill="auto"/>
          </w:tcPr>
          <w:p w14:paraId="12CA690D" w14:textId="77777777" w:rsidR="000B1C4D" w:rsidRPr="000B1C4D" w:rsidRDefault="000B1C4D" w:rsidP="000B1C4D">
            <w:pPr>
              <w:rPr>
                <w:i/>
                <w:iCs/>
                <w:color w:val="000000"/>
                <w:sz w:val="16"/>
                <w:szCs w:val="16"/>
              </w:rPr>
            </w:pPr>
          </w:p>
        </w:tc>
        <w:tc>
          <w:tcPr>
            <w:tcW w:w="637" w:type="dxa"/>
            <w:tcBorders>
              <w:top w:val="single" w:sz="4" w:space="0" w:color="auto"/>
              <w:left w:val="nil"/>
              <w:right w:val="nil"/>
            </w:tcBorders>
            <w:shd w:val="clear" w:color="auto" w:fill="auto"/>
          </w:tcPr>
          <w:p w14:paraId="7A2CD9BB" w14:textId="77777777" w:rsidR="000B1C4D" w:rsidRPr="000B1C4D" w:rsidRDefault="000B1C4D" w:rsidP="000B1C4D">
            <w:pPr>
              <w:rPr>
                <w:i/>
                <w:iCs/>
                <w:color w:val="000000"/>
                <w:sz w:val="16"/>
                <w:szCs w:val="16"/>
              </w:rPr>
            </w:pPr>
          </w:p>
        </w:tc>
        <w:tc>
          <w:tcPr>
            <w:tcW w:w="635" w:type="dxa"/>
            <w:tcBorders>
              <w:top w:val="single" w:sz="4" w:space="0" w:color="auto"/>
              <w:left w:val="nil"/>
              <w:right w:val="nil"/>
            </w:tcBorders>
            <w:shd w:val="clear" w:color="auto" w:fill="auto"/>
          </w:tcPr>
          <w:p w14:paraId="25A9DC1D" w14:textId="77777777" w:rsidR="000B1C4D" w:rsidRPr="000B1C4D" w:rsidRDefault="000B1C4D" w:rsidP="000B1C4D">
            <w:pPr>
              <w:rPr>
                <w:i/>
                <w:iCs/>
                <w:color w:val="000000"/>
                <w:sz w:val="16"/>
                <w:szCs w:val="16"/>
              </w:rPr>
            </w:pPr>
          </w:p>
        </w:tc>
        <w:tc>
          <w:tcPr>
            <w:tcW w:w="1454" w:type="dxa"/>
            <w:gridSpan w:val="2"/>
            <w:tcBorders>
              <w:top w:val="single" w:sz="4" w:space="0" w:color="auto"/>
              <w:left w:val="nil"/>
              <w:right w:val="nil"/>
            </w:tcBorders>
            <w:shd w:val="clear" w:color="auto" w:fill="auto"/>
          </w:tcPr>
          <w:p w14:paraId="16AAD2F0" w14:textId="677736CD" w:rsidR="000B1C4D" w:rsidRPr="000B1C4D" w:rsidRDefault="000B1C4D" w:rsidP="000B1C4D">
            <w:pPr>
              <w:jc w:val="right"/>
              <w:rPr>
                <w:i/>
                <w:iCs/>
                <w:color w:val="000000"/>
                <w:sz w:val="16"/>
                <w:szCs w:val="16"/>
              </w:rPr>
            </w:pPr>
            <w:r w:rsidRPr="000B1C4D">
              <w:rPr>
                <w:i/>
                <w:iCs/>
                <w:color w:val="000000"/>
                <w:sz w:val="16"/>
                <w:szCs w:val="16"/>
              </w:rPr>
              <w:t>Zdroj: MF SR</w:t>
            </w:r>
          </w:p>
        </w:tc>
      </w:tr>
    </w:tbl>
    <w:p w14:paraId="5EE22917" w14:textId="77777777" w:rsidR="000F6636" w:rsidRPr="0088520B" w:rsidRDefault="000F6636" w:rsidP="000F6636">
      <w:pPr>
        <w:rPr>
          <w:rFonts w:cs="Arial"/>
          <w:b/>
          <w:bCs/>
          <w:color w:val="5B9BD5"/>
          <w:sz w:val="18"/>
          <w:szCs w:val="18"/>
          <w:highlight w:val="yellow"/>
        </w:rPr>
      </w:pPr>
    </w:p>
    <w:tbl>
      <w:tblPr>
        <w:tblW w:w="9100" w:type="dxa"/>
        <w:tblCellMar>
          <w:left w:w="70" w:type="dxa"/>
          <w:right w:w="70" w:type="dxa"/>
        </w:tblCellMar>
        <w:tblLook w:val="04A0" w:firstRow="1" w:lastRow="0" w:firstColumn="1" w:lastColumn="0" w:noHBand="0" w:noVBand="1"/>
      </w:tblPr>
      <w:tblGrid>
        <w:gridCol w:w="2880"/>
        <w:gridCol w:w="664"/>
        <w:gridCol w:w="154"/>
        <w:gridCol w:w="697"/>
        <w:gridCol w:w="189"/>
        <w:gridCol w:w="576"/>
        <w:gridCol w:w="328"/>
        <w:gridCol w:w="632"/>
        <w:gridCol w:w="271"/>
        <w:gridCol w:w="689"/>
        <w:gridCol w:w="214"/>
        <w:gridCol w:w="746"/>
        <w:gridCol w:w="157"/>
        <w:gridCol w:w="803"/>
        <w:gridCol w:w="100"/>
      </w:tblGrid>
      <w:tr w:rsidR="000F6636" w:rsidRPr="0088520B" w14:paraId="2CEF9973" w14:textId="77777777" w:rsidTr="00484DB0">
        <w:trPr>
          <w:gridAfter w:val="1"/>
          <w:wAfter w:w="100" w:type="dxa"/>
          <w:trHeight w:val="283"/>
        </w:trPr>
        <w:tc>
          <w:tcPr>
            <w:tcW w:w="6120" w:type="dxa"/>
            <w:gridSpan w:val="8"/>
            <w:tcBorders>
              <w:top w:val="nil"/>
              <w:left w:val="nil"/>
              <w:bottom w:val="single" w:sz="8" w:space="0" w:color="auto"/>
              <w:right w:val="nil"/>
            </w:tcBorders>
            <w:shd w:val="clear" w:color="auto" w:fill="auto"/>
            <w:noWrap/>
            <w:vAlign w:val="bottom"/>
            <w:hideMark/>
          </w:tcPr>
          <w:p w14:paraId="254F3518" w14:textId="77777777" w:rsidR="000F6636" w:rsidRPr="00D2619F" w:rsidRDefault="000F6636" w:rsidP="00484DB0">
            <w:pPr>
              <w:rPr>
                <w:rFonts w:eastAsia="Calibri"/>
                <w:b/>
                <w:color w:val="2C9ADC"/>
                <w:sz w:val="20"/>
                <w:szCs w:val="18"/>
              </w:rPr>
            </w:pPr>
            <w:bookmarkStart w:id="271" w:name="_Toc480905419"/>
            <w:bookmarkStart w:id="272" w:name="_Toc6314226"/>
            <w:bookmarkStart w:id="273" w:name="_Toc71622466"/>
            <w:r w:rsidRPr="00D2619F">
              <w:rPr>
                <w:rFonts w:eastAsia="Calibri"/>
                <w:b/>
                <w:color w:val="2C9ADC"/>
                <w:sz w:val="20"/>
                <w:szCs w:val="18"/>
              </w:rPr>
              <w:t xml:space="preserve">Tabuľka 5 </w:t>
            </w:r>
            <w:r w:rsidRPr="00D2619F">
              <w:rPr>
                <w:rFonts w:eastAsia="Calibri"/>
                <w:b/>
                <w:color w:val="2C9ADC"/>
                <w:sz w:val="20"/>
                <w:szCs w:val="20"/>
              </w:rPr>
              <w:t>–</w:t>
            </w:r>
            <w:r w:rsidRPr="00D2619F">
              <w:rPr>
                <w:rFonts w:eastAsia="Calibri"/>
                <w:b/>
                <w:color w:val="2C9ADC"/>
                <w:sz w:val="20"/>
                <w:szCs w:val="18"/>
              </w:rPr>
              <w:t xml:space="preserve"> Cyklický vývoj</w:t>
            </w:r>
            <w:bookmarkEnd w:id="271"/>
            <w:bookmarkEnd w:id="272"/>
            <w:bookmarkEnd w:id="273"/>
          </w:p>
        </w:tc>
        <w:tc>
          <w:tcPr>
            <w:tcW w:w="2880" w:type="dxa"/>
            <w:gridSpan w:val="6"/>
            <w:tcBorders>
              <w:top w:val="nil"/>
              <w:left w:val="nil"/>
              <w:bottom w:val="single" w:sz="8" w:space="0" w:color="auto"/>
              <w:right w:val="nil"/>
            </w:tcBorders>
            <w:shd w:val="clear" w:color="auto" w:fill="auto"/>
            <w:noWrap/>
            <w:vAlign w:val="bottom"/>
            <w:hideMark/>
          </w:tcPr>
          <w:p w14:paraId="6AB4961C" w14:textId="77777777" w:rsidR="000F6636" w:rsidRPr="00D2619F" w:rsidRDefault="000F6636" w:rsidP="00484DB0">
            <w:pPr>
              <w:rPr>
                <w:rFonts w:eastAsia="Calibri"/>
                <w:b/>
                <w:color w:val="2C9ADC"/>
                <w:sz w:val="18"/>
                <w:szCs w:val="18"/>
              </w:rPr>
            </w:pPr>
            <w:r w:rsidRPr="00D2619F">
              <w:rPr>
                <w:rFonts w:eastAsia="Calibri"/>
                <w:b/>
                <w:color w:val="2C9ADC"/>
                <w:sz w:val="18"/>
                <w:szCs w:val="18"/>
              </w:rPr>
              <w:t> </w:t>
            </w:r>
          </w:p>
        </w:tc>
      </w:tr>
      <w:tr w:rsidR="000F6636" w:rsidRPr="0088520B" w14:paraId="08554593" w14:textId="77777777" w:rsidTr="00C525B1">
        <w:trPr>
          <w:gridAfter w:val="1"/>
          <w:wAfter w:w="100" w:type="dxa"/>
          <w:trHeight w:val="283"/>
        </w:trPr>
        <w:tc>
          <w:tcPr>
            <w:tcW w:w="3544" w:type="dxa"/>
            <w:gridSpan w:val="2"/>
            <w:tcBorders>
              <w:top w:val="nil"/>
              <w:left w:val="nil"/>
              <w:bottom w:val="nil"/>
              <w:right w:val="nil"/>
            </w:tcBorders>
            <w:shd w:val="clear" w:color="auto" w:fill="auto"/>
            <w:vAlign w:val="center"/>
            <w:hideMark/>
          </w:tcPr>
          <w:p w14:paraId="7EDE8C1E" w14:textId="77777777" w:rsidR="000F6636" w:rsidRPr="00D2619F" w:rsidRDefault="000F6636" w:rsidP="00484DB0">
            <w:pPr>
              <w:jc w:val="center"/>
              <w:rPr>
                <w:rFonts w:cs="Times New Roman"/>
                <w:sz w:val="18"/>
                <w:szCs w:val="18"/>
              </w:rPr>
            </w:pPr>
            <w:r w:rsidRPr="00D2619F">
              <w:rPr>
                <w:rFonts w:cs="Times New Roman"/>
                <w:sz w:val="18"/>
                <w:szCs w:val="18"/>
              </w:rPr>
              <w:t>(% HDP)</w:t>
            </w:r>
          </w:p>
        </w:tc>
        <w:tc>
          <w:tcPr>
            <w:tcW w:w="851" w:type="dxa"/>
            <w:gridSpan w:val="2"/>
            <w:tcBorders>
              <w:top w:val="nil"/>
              <w:left w:val="nil"/>
              <w:bottom w:val="nil"/>
              <w:right w:val="nil"/>
            </w:tcBorders>
            <w:shd w:val="clear" w:color="auto" w:fill="auto"/>
            <w:vAlign w:val="center"/>
            <w:hideMark/>
          </w:tcPr>
          <w:p w14:paraId="3AB255B5" w14:textId="77777777" w:rsidR="000F6636" w:rsidRPr="00D2619F" w:rsidRDefault="000F6636" w:rsidP="00484DB0">
            <w:pPr>
              <w:jc w:val="center"/>
              <w:rPr>
                <w:rFonts w:cs="Times New Roman"/>
                <w:sz w:val="18"/>
                <w:szCs w:val="18"/>
              </w:rPr>
            </w:pPr>
            <w:r w:rsidRPr="00D2619F">
              <w:rPr>
                <w:rFonts w:cs="Times New Roman"/>
                <w:sz w:val="18"/>
                <w:szCs w:val="18"/>
              </w:rPr>
              <w:t>ESA kód</w:t>
            </w:r>
          </w:p>
        </w:tc>
        <w:tc>
          <w:tcPr>
            <w:tcW w:w="765" w:type="dxa"/>
            <w:gridSpan w:val="2"/>
            <w:tcBorders>
              <w:top w:val="nil"/>
              <w:left w:val="nil"/>
              <w:bottom w:val="single" w:sz="4" w:space="0" w:color="auto"/>
              <w:right w:val="nil"/>
            </w:tcBorders>
            <w:shd w:val="clear" w:color="auto" w:fill="auto"/>
            <w:vAlign w:val="center"/>
            <w:hideMark/>
          </w:tcPr>
          <w:p w14:paraId="668ECF80" w14:textId="77777777" w:rsidR="000F6636" w:rsidRPr="00D2619F" w:rsidRDefault="000F6636" w:rsidP="00484DB0">
            <w:pPr>
              <w:jc w:val="center"/>
              <w:rPr>
                <w:rFonts w:cs="Times New Roman"/>
                <w:b/>
                <w:bCs/>
                <w:color w:val="000000"/>
                <w:sz w:val="18"/>
                <w:szCs w:val="18"/>
              </w:rPr>
            </w:pPr>
            <w:r w:rsidRPr="00D2619F">
              <w:rPr>
                <w:b/>
                <w:bCs/>
                <w:color w:val="000000"/>
                <w:sz w:val="18"/>
                <w:szCs w:val="18"/>
              </w:rPr>
              <w:t>2023</w:t>
            </w:r>
          </w:p>
        </w:tc>
        <w:tc>
          <w:tcPr>
            <w:tcW w:w="960" w:type="dxa"/>
            <w:gridSpan w:val="2"/>
            <w:tcBorders>
              <w:top w:val="nil"/>
              <w:left w:val="nil"/>
              <w:bottom w:val="single" w:sz="4" w:space="0" w:color="auto"/>
              <w:right w:val="nil"/>
            </w:tcBorders>
            <w:shd w:val="clear" w:color="auto" w:fill="auto"/>
            <w:vAlign w:val="center"/>
            <w:hideMark/>
          </w:tcPr>
          <w:p w14:paraId="0FBB5E09" w14:textId="77777777" w:rsidR="000F6636" w:rsidRPr="00D2619F" w:rsidRDefault="000F6636" w:rsidP="00484DB0">
            <w:pPr>
              <w:jc w:val="center"/>
              <w:rPr>
                <w:rFonts w:cs="Times New Roman"/>
                <w:b/>
                <w:bCs/>
                <w:color w:val="000000"/>
                <w:sz w:val="18"/>
                <w:szCs w:val="18"/>
              </w:rPr>
            </w:pPr>
            <w:r w:rsidRPr="00D2619F">
              <w:rPr>
                <w:b/>
                <w:bCs/>
                <w:color w:val="000000"/>
                <w:sz w:val="18"/>
                <w:szCs w:val="18"/>
              </w:rPr>
              <w:t>2024</w:t>
            </w:r>
          </w:p>
        </w:tc>
        <w:tc>
          <w:tcPr>
            <w:tcW w:w="960" w:type="dxa"/>
            <w:gridSpan w:val="2"/>
            <w:tcBorders>
              <w:top w:val="nil"/>
              <w:left w:val="nil"/>
              <w:bottom w:val="single" w:sz="4" w:space="0" w:color="auto"/>
              <w:right w:val="nil"/>
            </w:tcBorders>
            <w:shd w:val="clear" w:color="auto" w:fill="auto"/>
            <w:vAlign w:val="center"/>
            <w:hideMark/>
          </w:tcPr>
          <w:p w14:paraId="22132E67" w14:textId="77777777" w:rsidR="000F6636" w:rsidRPr="00D2619F" w:rsidRDefault="000F6636" w:rsidP="00484DB0">
            <w:pPr>
              <w:jc w:val="center"/>
              <w:rPr>
                <w:rFonts w:cs="Times New Roman"/>
                <w:b/>
                <w:bCs/>
                <w:color w:val="000000"/>
                <w:sz w:val="18"/>
                <w:szCs w:val="18"/>
              </w:rPr>
            </w:pPr>
            <w:r w:rsidRPr="00D2619F">
              <w:rPr>
                <w:b/>
                <w:bCs/>
                <w:color w:val="000000"/>
                <w:sz w:val="18"/>
                <w:szCs w:val="18"/>
              </w:rPr>
              <w:t>2025</w:t>
            </w:r>
          </w:p>
        </w:tc>
        <w:tc>
          <w:tcPr>
            <w:tcW w:w="960" w:type="dxa"/>
            <w:gridSpan w:val="2"/>
            <w:tcBorders>
              <w:top w:val="nil"/>
              <w:left w:val="nil"/>
              <w:bottom w:val="single" w:sz="4" w:space="0" w:color="auto"/>
              <w:right w:val="nil"/>
            </w:tcBorders>
            <w:shd w:val="clear" w:color="auto" w:fill="auto"/>
            <w:vAlign w:val="center"/>
            <w:hideMark/>
          </w:tcPr>
          <w:p w14:paraId="54E7E28F" w14:textId="77777777" w:rsidR="000F6636" w:rsidRPr="00D2619F" w:rsidRDefault="000F6636" w:rsidP="00484DB0">
            <w:pPr>
              <w:jc w:val="center"/>
              <w:rPr>
                <w:rFonts w:cs="Times New Roman"/>
                <w:b/>
                <w:bCs/>
                <w:color w:val="000000"/>
                <w:sz w:val="18"/>
                <w:szCs w:val="18"/>
              </w:rPr>
            </w:pPr>
            <w:r w:rsidRPr="00D2619F">
              <w:rPr>
                <w:b/>
                <w:bCs/>
                <w:color w:val="000000"/>
                <w:sz w:val="18"/>
                <w:szCs w:val="18"/>
              </w:rPr>
              <w:t>2026</w:t>
            </w:r>
          </w:p>
        </w:tc>
        <w:tc>
          <w:tcPr>
            <w:tcW w:w="960" w:type="dxa"/>
            <w:gridSpan w:val="2"/>
            <w:tcBorders>
              <w:top w:val="nil"/>
              <w:left w:val="nil"/>
              <w:bottom w:val="single" w:sz="4" w:space="0" w:color="auto"/>
              <w:right w:val="nil"/>
            </w:tcBorders>
            <w:shd w:val="clear" w:color="auto" w:fill="auto"/>
            <w:vAlign w:val="center"/>
            <w:hideMark/>
          </w:tcPr>
          <w:p w14:paraId="5EEB6A2E" w14:textId="77777777" w:rsidR="000F6636" w:rsidRPr="00D2619F" w:rsidRDefault="000F6636" w:rsidP="00484DB0">
            <w:pPr>
              <w:jc w:val="center"/>
              <w:rPr>
                <w:rFonts w:cs="Times New Roman"/>
                <w:b/>
                <w:bCs/>
                <w:color w:val="000000"/>
                <w:sz w:val="18"/>
                <w:szCs w:val="18"/>
              </w:rPr>
            </w:pPr>
            <w:r w:rsidRPr="00D2619F">
              <w:rPr>
                <w:b/>
                <w:bCs/>
                <w:color w:val="000000"/>
                <w:sz w:val="18"/>
                <w:szCs w:val="18"/>
              </w:rPr>
              <w:t>2027</w:t>
            </w:r>
          </w:p>
        </w:tc>
      </w:tr>
      <w:tr w:rsidR="000F6636" w:rsidRPr="0088520B" w14:paraId="7E74798D" w14:textId="77777777" w:rsidTr="00C525B1">
        <w:trPr>
          <w:gridAfter w:val="1"/>
          <w:wAfter w:w="100" w:type="dxa"/>
          <w:trHeight w:val="283"/>
        </w:trPr>
        <w:tc>
          <w:tcPr>
            <w:tcW w:w="3544" w:type="dxa"/>
            <w:gridSpan w:val="2"/>
            <w:tcBorders>
              <w:top w:val="single" w:sz="4" w:space="0" w:color="auto"/>
              <w:left w:val="nil"/>
              <w:bottom w:val="nil"/>
              <w:right w:val="nil"/>
            </w:tcBorders>
            <w:shd w:val="clear" w:color="000000" w:fill="FFFFFF"/>
            <w:vAlign w:val="center"/>
            <w:hideMark/>
          </w:tcPr>
          <w:p w14:paraId="4A5ACA3B" w14:textId="77777777" w:rsidR="000F6636" w:rsidRPr="00D2619F" w:rsidRDefault="000F6636" w:rsidP="00484DB0">
            <w:pPr>
              <w:rPr>
                <w:rFonts w:cs="Times New Roman"/>
                <w:sz w:val="18"/>
                <w:szCs w:val="18"/>
              </w:rPr>
            </w:pPr>
            <w:r w:rsidRPr="00D2619F">
              <w:rPr>
                <w:rFonts w:cs="Times New Roman"/>
                <w:sz w:val="18"/>
                <w:szCs w:val="18"/>
              </w:rPr>
              <w:t>1. Reálny rast HDP (%)</w:t>
            </w:r>
          </w:p>
        </w:tc>
        <w:tc>
          <w:tcPr>
            <w:tcW w:w="851" w:type="dxa"/>
            <w:gridSpan w:val="2"/>
            <w:tcBorders>
              <w:top w:val="single" w:sz="4" w:space="0" w:color="auto"/>
              <w:left w:val="nil"/>
              <w:bottom w:val="nil"/>
              <w:right w:val="nil"/>
            </w:tcBorders>
            <w:shd w:val="clear" w:color="000000" w:fill="FFFFFF"/>
            <w:vAlign w:val="center"/>
            <w:hideMark/>
          </w:tcPr>
          <w:p w14:paraId="180D0B42"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center"/>
            <w:hideMark/>
          </w:tcPr>
          <w:p w14:paraId="4775A3F0" w14:textId="77777777" w:rsidR="000F6636" w:rsidRPr="00D2619F" w:rsidRDefault="000F6636" w:rsidP="00484DB0">
            <w:pPr>
              <w:jc w:val="center"/>
              <w:rPr>
                <w:rFonts w:cs="Times New Roman"/>
                <w:color w:val="000000"/>
                <w:sz w:val="18"/>
                <w:szCs w:val="18"/>
              </w:rPr>
            </w:pPr>
            <w:r w:rsidRPr="00D2619F">
              <w:rPr>
                <w:color w:val="000000"/>
                <w:sz w:val="18"/>
                <w:szCs w:val="18"/>
              </w:rPr>
              <w:t>1,7</w:t>
            </w:r>
          </w:p>
        </w:tc>
        <w:tc>
          <w:tcPr>
            <w:tcW w:w="960" w:type="dxa"/>
            <w:gridSpan w:val="2"/>
            <w:tcBorders>
              <w:top w:val="nil"/>
              <w:left w:val="nil"/>
              <w:bottom w:val="nil"/>
              <w:right w:val="nil"/>
            </w:tcBorders>
            <w:shd w:val="clear" w:color="auto" w:fill="auto"/>
            <w:vAlign w:val="center"/>
            <w:hideMark/>
          </w:tcPr>
          <w:p w14:paraId="071F1A8A" w14:textId="77777777" w:rsidR="000F6636" w:rsidRPr="00D2619F" w:rsidRDefault="000F6636" w:rsidP="00484DB0">
            <w:pPr>
              <w:jc w:val="center"/>
              <w:rPr>
                <w:rFonts w:cs="Times New Roman"/>
                <w:color w:val="000000"/>
                <w:sz w:val="18"/>
                <w:szCs w:val="18"/>
              </w:rPr>
            </w:pPr>
            <w:r w:rsidRPr="00D2619F">
              <w:rPr>
                <w:color w:val="000000"/>
                <w:sz w:val="18"/>
                <w:szCs w:val="18"/>
              </w:rPr>
              <w:t>1,3</w:t>
            </w:r>
          </w:p>
        </w:tc>
        <w:tc>
          <w:tcPr>
            <w:tcW w:w="960" w:type="dxa"/>
            <w:gridSpan w:val="2"/>
            <w:tcBorders>
              <w:top w:val="nil"/>
              <w:left w:val="nil"/>
              <w:bottom w:val="nil"/>
              <w:right w:val="nil"/>
            </w:tcBorders>
            <w:shd w:val="clear" w:color="auto" w:fill="auto"/>
            <w:vAlign w:val="center"/>
            <w:hideMark/>
          </w:tcPr>
          <w:p w14:paraId="4F49C645" w14:textId="77777777" w:rsidR="000F6636" w:rsidRPr="00D2619F" w:rsidRDefault="000F6636" w:rsidP="00484DB0">
            <w:pPr>
              <w:jc w:val="center"/>
              <w:rPr>
                <w:rFonts w:cs="Times New Roman"/>
                <w:color w:val="000000"/>
                <w:sz w:val="18"/>
                <w:szCs w:val="18"/>
              </w:rPr>
            </w:pPr>
            <w:r w:rsidRPr="00D2619F">
              <w:rPr>
                <w:color w:val="000000"/>
                <w:sz w:val="18"/>
                <w:szCs w:val="18"/>
              </w:rPr>
              <w:t>1,8</w:t>
            </w:r>
          </w:p>
        </w:tc>
        <w:tc>
          <w:tcPr>
            <w:tcW w:w="960" w:type="dxa"/>
            <w:gridSpan w:val="2"/>
            <w:tcBorders>
              <w:top w:val="nil"/>
              <w:left w:val="nil"/>
              <w:bottom w:val="nil"/>
              <w:right w:val="nil"/>
            </w:tcBorders>
            <w:shd w:val="clear" w:color="auto" w:fill="auto"/>
            <w:vAlign w:val="center"/>
            <w:hideMark/>
          </w:tcPr>
          <w:p w14:paraId="5C48305D" w14:textId="77777777" w:rsidR="000F6636" w:rsidRPr="00D2619F" w:rsidRDefault="000F6636" w:rsidP="00484DB0">
            <w:pPr>
              <w:jc w:val="center"/>
              <w:rPr>
                <w:rFonts w:cs="Times New Roman"/>
                <w:color w:val="000000"/>
                <w:sz w:val="18"/>
                <w:szCs w:val="18"/>
              </w:rPr>
            </w:pPr>
            <w:r w:rsidRPr="00D2619F">
              <w:rPr>
                <w:color w:val="000000"/>
                <w:sz w:val="18"/>
                <w:szCs w:val="18"/>
              </w:rPr>
              <w:t>2,7</w:t>
            </w:r>
          </w:p>
        </w:tc>
        <w:tc>
          <w:tcPr>
            <w:tcW w:w="960" w:type="dxa"/>
            <w:gridSpan w:val="2"/>
            <w:tcBorders>
              <w:top w:val="nil"/>
              <w:left w:val="nil"/>
              <w:bottom w:val="nil"/>
              <w:right w:val="nil"/>
            </w:tcBorders>
            <w:shd w:val="clear" w:color="auto" w:fill="auto"/>
            <w:vAlign w:val="center"/>
            <w:hideMark/>
          </w:tcPr>
          <w:p w14:paraId="58743DD2" w14:textId="77777777" w:rsidR="000F6636" w:rsidRPr="00D2619F" w:rsidRDefault="000F6636" w:rsidP="00484DB0">
            <w:pPr>
              <w:jc w:val="center"/>
              <w:rPr>
                <w:rFonts w:cs="Times New Roman"/>
                <w:color w:val="000000"/>
                <w:sz w:val="18"/>
                <w:szCs w:val="18"/>
              </w:rPr>
            </w:pPr>
            <w:r w:rsidRPr="00D2619F">
              <w:rPr>
                <w:color w:val="000000"/>
                <w:sz w:val="18"/>
                <w:szCs w:val="18"/>
              </w:rPr>
              <w:t>1,9</w:t>
            </w:r>
          </w:p>
        </w:tc>
      </w:tr>
      <w:tr w:rsidR="000F6636" w:rsidRPr="0088520B" w14:paraId="061EF295"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55681560" w14:textId="77777777" w:rsidR="000F6636" w:rsidRPr="00D2619F" w:rsidRDefault="000F6636" w:rsidP="00484DB0">
            <w:pPr>
              <w:rPr>
                <w:rFonts w:cs="Times New Roman"/>
                <w:sz w:val="18"/>
                <w:szCs w:val="18"/>
              </w:rPr>
            </w:pPr>
            <w:r w:rsidRPr="00D2619F">
              <w:rPr>
                <w:rFonts w:cs="Times New Roman"/>
                <w:sz w:val="18"/>
                <w:szCs w:val="18"/>
              </w:rPr>
              <w:t>2. Čisté pôžičky verejnej správy*</w:t>
            </w:r>
          </w:p>
        </w:tc>
        <w:tc>
          <w:tcPr>
            <w:tcW w:w="851" w:type="dxa"/>
            <w:gridSpan w:val="2"/>
            <w:tcBorders>
              <w:top w:val="nil"/>
              <w:left w:val="nil"/>
              <w:bottom w:val="nil"/>
              <w:right w:val="nil"/>
            </w:tcBorders>
            <w:shd w:val="clear" w:color="000000" w:fill="FFFFFF"/>
            <w:vAlign w:val="center"/>
            <w:hideMark/>
          </w:tcPr>
          <w:p w14:paraId="1508E728" w14:textId="77777777" w:rsidR="000F6636" w:rsidRPr="00D2619F" w:rsidRDefault="000F6636" w:rsidP="00484DB0">
            <w:pPr>
              <w:jc w:val="center"/>
              <w:rPr>
                <w:rFonts w:cs="Times New Roman"/>
                <w:sz w:val="18"/>
                <w:szCs w:val="18"/>
              </w:rPr>
            </w:pPr>
            <w:r w:rsidRPr="00D2619F">
              <w:rPr>
                <w:rFonts w:cs="Times New Roman"/>
                <w:sz w:val="18"/>
                <w:szCs w:val="18"/>
              </w:rPr>
              <w:t>B.9</w:t>
            </w:r>
          </w:p>
        </w:tc>
        <w:tc>
          <w:tcPr>
            <w:tcW w:w="765" w:type="dxa"/>
            <w:gridSpan w:val="2"/>
            <w:tcBorders>
              <w:top w:val="nil"/>
              <w:left w:val="nil"/>
              <w:bottom w:val="nil"/>
              <w:right w:val="nil"/>
            </w:tcBorders>
            <w:shd w:val="clear" w:color="auto" w:fill="auto"/>
            <w:vAlign w:val="center"/>
            <w:hideMark/>
          </w:tcPr>
          <w:p w14:paraId="1198B6DC" w14:textId="77777777" w:rsidR="000F6636" w:rsidRPr="00D2619F" w:rsidRDefault="000F6636" w:rsidP="00484DB0">
            <w:pPr>
              <w:jc w:val="center"/>
              <w:rPr>
                <w:rFonts w:cs="Times New Roman"/>
                <w:color w:val="000000"/>
                <w:sz w:val="18"/>
                <w:szCs w:val="18"/>
              </w:rPr>
            </w:pPr>
            <w:r w:rsidRPr="00D2619F">
              <w:rPr>
                <w:color w:val="000000"/>
                <w:sz w:val="18"/>
                <w:szCs w:val="18"/>
              </w:rPr>
              <w:t>-4,9</w:t>
            </w:r>
          </w:p>
        </w:tc>
        <w:tc>
          <w:tcPr>
            <w:tcW w:w="960" w:type="dxa"/>
            <w:gridSpan w:val="2"/>
            <w:tcBorders>
              <w:top w:val="nil"/>
              <w:left w:val="nil"/>
              <w:bottom w:val="nil"/>
              <w:right w:val="nil"/>
            </w:tcBorders>
            <w:shd w:val="clear" w:color="auto" w:fill="auto"/>
            <w:vAlign w:val="center"/>
            <w:hideMark/>
          </w:tcPr>
          <w:p w14:paraId="2AABDAC8" w14:textId="77777777" w:rsidR="000F6636" w:rsidRPr="00D2619F" w:rsidRDefault="000F6636" w:rsidP="00484DB0">
            <w:pPr>
              <w:jc w:val="center"/>
              <w:rPr>
                <w:rFonts w:cs="Times New Roman"/>
                <w:color w:val="000000"/>
                <w:sz w:val="18"/>
                <w:szCs w:val="18"/>
              </w:rPr>
            </w:pPr>
            <w:r w:rsidRPr="00D2619F">
              <w:rPr>
                <w:color w:val="000000"/>
                <w:sz w:val="18"/>
                <w:szCs w:val="18"/>
              </w:rPr>
              <w:t>-5,9</w:t>
            </w:r>
          </w:p>
        </w:tc>
        <w:tc>
          <w:tcPr>
            <w:tcW w:w="960" w:type="dxa"/>
            <w:gridSpan w:val="2"/>
            <w:tcBorders>
              <w:top w:val="nil"/>
              <w:left w:val="nil"/>
              <w:bottom w:val="nil"/>
              <w:right w:val="nil"/>
            </w:tcBorders>
            <w:shd w:val="clear" w:color="auto" w:fill="auto"/>
            <w:vAlign w:val="center"/>
            <w:hideMark/>
          </w:tcPr>
          <w:p w14:paraId="1DF501BA" w14:textId="77777777" w:rsidR="000F6636" w:rsidRPr="00D2619F" w:rsidRDefault="000F6636" w:rsidP="00484DB0">
            <w:pPr>
              <w:jc w:val="center"/>
              <w:rPr>
                <w:rFonts w:cs="Times New Roman"/>
                <w:color w:val="000000"/>
                <w:sz w:val="18"/>
                <w:szCs w:val="18"/>
              </w:rPr>
            </w:pPr>
            <w:r w:rsidRPr="00D2619F">
              <w:rPr>
                <w:color w:val="000000"/>
                <w:sz w:val="18"/>
                <w:szCs w:val="18"/>
              </w:rPr>
              <w:t>-5,4</w:t>
            </w:r>
          </w:p>
        </w:tc>
        <w:tc>
          <w:tcPr>
            <w:tcW w:w="960" w:type="dxa"/>
            <w:gridSpan w:val="2"/>
            <w:tcBorders>
              <w:top w:val="nil"/>
              <w:left w:val="nil"/>
              <w:bottom w:val="nil"/>
              <w:right w:val="nil"/>
            </w:tcBorders>
            <w:shd w:val="clear" w:color="auto" w:fill="auto"/>
            <w:vAlign w:val="center"/>
            <w:hideMark/>
          </w:tcPr>
          <w:p w14:paraId="5B4FF298" w14:textId="77777777" w:rsidR="000F6636" w:rsidRPr="00D2619F" w:rsidRDefault="000F6636" w:rsidP="00484DB0">
            <w:pPr>
              <w:jc w:val="center"/>
              <w:rPr>
                <w:rFonts w:cs="Times New Roman"/>
                <w:color w:val="000000"/>
                <w:sz w:val="18"/>
                <w:szCs w:val="18"/>
              </w:rPr>
            </w:pPr>
            <w:r w:rsidRPr="00D2619F">
              <w:rPr>
                <w:color w:val="000000"/>
                <w:sz w:val="18"/>
                <w:szCs w:val="18"/>
              </w:rPr>
              <w:t>-5,2</w:t>
            </w:r>
          </w:p>
        </w:tc>
        <w:tc>
          <w:tcPr>
            <w:tcW w:w="960" w:type="dxa"/>
            <w:gridSpan w:val="2"/>
            <w:tcBorders>
              <w:top w:val="nil"/>
              <w:left w:val="nil"/>
              <w:bottom w:val="nil"/>
              <w:right w:val="nil"/>
            </w:tcBorders>
            <w:shd w:val="clear" w:color="auto" w:fill="auto"/>
            <w:vAlign w:val="center"/>
            <w:hideMark/>
          </w:tcPr>
          <w:p w14:paraId="251A89A3" w14:textId="77777777" w:rsidR="000F6636" w:rsidRPr="00D2619F" w:rsidRDefault="000F6636" w:rsidP="00484DB0">
            <w:pPr>
              <w:jc w:val="center"/>
              <w:rPr>
                <w:rFonts w:cs="Times New Roman"/>
                <w:color w:val="000000"/>
                <w:sz w:val="18"/>
                <w:szCs w:val="18"/>
              </w:rPr>
            </w:pPr>
            <w:r w:rsidRPr="00D2619F">
              <w:rPr>
                <w:color w:val="000000"/>
                <w:sz w:val="18"/>
                <w:szCs w:val="18"/>
              </w:rPr>
              <w:t>-5,5</w:t>
            </w:r>
          </w:p>
        </w:tc>
      </w:tr>
      <w:tr w:rsidR="000F6636" w:rsidRPr="0088520B" w14:paraId="49A038F3"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6C4CF2BA" w14:textId="77777777" w:rsidR="000F6636" w:rsidRPr="00D2619F" w:rsidRDefault="000F6636" w:rsidP="00484DB0">
            <w:pPr>
              <w:rPr>
                <w:rFonts w:cs="Times New Roman"/>
                <w:sz w:val="18"/>
                <w:szCs w:val="18"/>
              </w:rPr>
            </w:pPr>
            <w:r w:rsidRPr="00D2619F">
              <w:rPr>
                <w:rFonts w:cs="Times New Roman"/>
                <w:sz w:val="18"/>
                <w:szCs w:val="18"/>
              </w:rPr>
              <w:t>3. Úrokové náklady</w:t>
            </w:r>
          </w:p>
        </w:tc>
        <w:tc>
          <w:tcPr>
            <w:tcW w:w="851" w:type="dxa"/>
            <w:gridSpan w:val="2"/>
            <w:tcBorders>
              <w:top w:val="nil"/>
              <w:left w:val="nil"/>
              <w:bottom w:val="nil"/>
              <w:right w:val="nil"/>
            </w:tcBorders>
            <w:shd w:val="clear" w:color="000000" w:fill="FFFFFF"/>
            <w:vAlign w:val="center"/>
            <w:hideMark/>
          </w:tcPr>
          <w:p w14:paraId="5F08B70A" w14:textId="77777777" w:rsidR="000F6636" w:rsidRPr="00D2619F" w:rsidRDefault="000F6636" w:rsidP="00484DB0">
            <w:pPr>
              <w:jc w:val="center"/>
              <w:rPr>
                <w:rFonts w:cs="Times New Roman"/>
                <w:sz w:val="18"/>
                <w:szCs w:val="18"/>
              </w:rPr>
            </w:pPr>
            <w:r w:rsidRPr="00D2619F">
              <w:rPr>
                <w:rFonts w:cs="Times New Roman"/>
                <w:sz w:val="18"/>
                <w:szCs w:val="18"/>
              </w:rPr>
              <w:t>D.41</w:t>
            </w:r>
          </w:p>
        </w:tc>
        <w:tc>
          <w:tcPr>
            <w:tcW w:w="765" w:type="dxa"/>
            <w:gridSpan w:val="2"/>
            <w:tcBorders>
              <w:top w:val="nil"/>
              <w:left w:val="nil"/>
              <w:bottom w:val="nil"/>
              <w:right w:val="nil"/>
            </w:tcBorders>
            <w:shd w:val="clear" w:color="auto" w:fill="auto"/>
            <w:vAlign w:val="bottom"/>
            <w:hideMark/>
          </w:tcPr>
          <w:p w14:paraId="6C62E301" w14:textId="77777777" w:rsidR="000F6636" w:rsidRPr="00D2619F" w:rsidRDefault="000F6636" w:rsidP="00484DB0">
            <w:pPr>
              <w:jc w:val="center"/>
              <w:rPr>
                <w:rFonts w:cs="Times New Roman"/>
                <w:color w:val="000000"/>
                <w:sz w:val="18"/>
                <w:szCs w:val="18"/>
              </w:rPr>
            </w:pPr>
            <w:r w:rsidRPr="00D2619F">
              <w:rPr>
                <w:color w:val="000000"/>
                <w:sz w:val="18"/>
                <w:szCs w:val="18"/>
              </w:rPr>
              <w:t>1,2</w:t>
            </w:r>
          </w:p>
        </w:tc>
        <w:tc>
          <w:tcPr>
            <w:tcW w:w="960" w:type="dxa"/>
            <w:gridSpan w:val="2"/>
            <w:tcBorders>
              <w:top w:val="nil"/>
              <w:left w:val="nil"/>
              <w:bottom w:val="nil"/>
              <w:right w:val="nil"/>
            </w:tcBorders>
            <w:shd w:val="clear" w:color="auto" w:fill="auto"/>
            <w:vAlign w:val="bottom"/>
            <w:hideMark/>
          </w:tcPr>
          <w:p w14:paraId="28AB9E8B" w14:textId="77777777" w:rsidR="000F6636" w:rsidRPr="00D2619F" w:rsidRDefault="000F6636" w:rsidP="00484DB0">
            <w:pPr>
              <w:jc w:val="center"/>
              <w:rPr>
                <w:rFonts w:cs="Times New Roman"/>
                <w:color w:val="000000"/>
                <w:sz w:val="18"/>
                <w:szCs w:val="18"/>
              </w:rPr>
            </w:pPr>
            <w:r w:rsidRPr="00D2619F">
              <w:rPr>
                <w:color w:val="000000"/>
                <w:sz w:val="18"/>
                <w:szCs w:val="18"/>
              </w:rPr>
              <w:t>1,4</w:t>
            </w:r>
          </w:p>
        </w:tc>
        <w:tc>
          <w:tcPr>
            <w:tcW w:w="960" w:type="dxa"/>
            <w:gridSpan w:val="2"/>
            <w:tcBorders>
              <w:top w:val="nil"/>
              <w:left w:val="nil"/>
              <w:bottom w:val="nil"/>
              <w:right w:val="nil"/>
            </w:tcBorders>
            <w:shd w:val="clear" w:color="auto" w:fill="auto"/>
            <w:vAlign w:val="bottom"/>
            <w:hideMark/>
          </w:tcPr>
          <w:p w14:paraId="5AEDF3AA" w14:textId="77777777" w:rsidR="000F6636" w:rsidRPr="00D2619F" w:rsidRDefault="000F6636" w:rsidP="00484DB0">
            <w:pPr>
              <w:jc w:val="center"/>
              <w:rPr>
                <w:rFonts w:cs="Times New Roman"/>
                <w:color w:val="000000"/>
                <w:sz w:val="18"/>
                <w:szCs w:val="18"/>
              </w:rPr>
            </w:pPr>
            <w:r w:rsidRPr="00D2619F">
              <w:rPr>
                <w:color w:val="000000"/>
                <w:sz w:val="18"/>
                <w:szCs w:val="18"/>
              </w:rPr>
              <w:t>1,6</w:t>
            </w:r>
          </w:p>
        </w:tc>
        <w:tc>
          <w:tcPr>
            <w:tcW w:w="960" w:type="dxa"/>
            <w:gridSpan w:val="2"/>
            <w:tcBorders>
              <w:top w:val="nil"/>
              <w:left w:val="nil"/>
              <w:bottom w:val="nil"/>
              <w:right w:val="nil"/>
            </w:tcBorders>
            <w:shd w:val="clear" w:color="auto" w:fill="auto"/>
            <w:vAlign w:val="bottom"/>
            <w:hideMark/>
          </w:tcPr>
          <w:p w14:paraId="75A9B14C" w14:textId="77777777" w:rsidR="000F6636" w:rsidRPr="00D2619F" w:rsidRDefault="000F6636" w:rsidP="00484DB0">
            <w:pPr>
              <w:jc w:val="center"/>
              <w:rPr>
                <w:rFonts w:cs="Times New Roman"/>
                <w:color w:val="000000"/>
                <w:sz w:val="18"/>
                <w:szCs w:val="18"/>
              </w:rPr>
            </w:pPr>
            <w:r w:rsidRPr="00D2619F">
              <w:rPr>
                <w:color w:val="000000"/>
                <w:sz w:val="18"/>
                <w:szCs w:val="18"/>
              </w:rPr>
              <w:t>1,6</w:t>
            </w:r>
          </w:p>
        </w:tc>
        <w:tc>
          <w:tcPr>
            <w:tcW w:w="960" w:type="dxa"/>
            <w:gridSpan w:val="2"/>
            <w:tcBorders>
              <w:top w:val="nil"/>
              <w:left w:val="nil"/>
              <w:bottom w:val="nil"/>
              <w:right w:val="nil"/>
            </w:tcBorders>
            <w:shd w:val="clear" w:color="auto" w:fill="auto"/>
            <w:vAlign w:val="bottom"/>
            <w:hideMark/>
          </w:tcPr>
          <w:p w14:paraId="0A03AA12" w14:textId="77777777" w:rsidR="000F6636" w:rsidRPr="00D2619F" w:rsidRDefault="000F6636" w:rsidP="00484DB0">
            <w:pPr>
              <w:jc w:val="center"/>
              <w:rPr>
                <w:rFonts w:cs="Times New Roman"/>
                <w:color w:val="000000"/>
                <w:sz w:val="18"/>
                <w:szCs w:val="18"/>
              </w:rPr>
            </w:pPr>
            <w:r w:rsidRPr="00D2619F">
              <w:rPr>
                <w:color w:val="000000"/>
                <w:sz w:val="18"/>
                <w:szCs w:val="18"/>
              </w:rPr>
              <w:t>1,9</w:t>
            </w:r>
          </w:p>
        </w:tc>
      </w:tr>
      <w:tr w:rsidR="000F6636" w:rsidRPr="0088520B" w14:paraId="483A7D74"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22B595E6" w14:textId="77777777" w:rsidR="000F6636" w:rsidRPr="00D2619F" w:rsidRDefault="000F6636" w:rsidP="00484DB0">
            <w:pPr>
              <w:rPr>
                <w:rFonts w:cs="Times New Roman"/>
                <w:sz w:val="18"/>
                <w:szCs w:val="18"/>
              </w:rPr>
            </w:pPr>
            <w:r w:rsidRPr="00D2619F">
              <w:rPr>
                <w:rFonts w:cs="Times New Roman"/>
                <w:sz w:val="18"/>
                <w:szCs w:val="18"/>
              </w:rPr>
              <w:t>4. Jednorazové a dočasné opatrenia</w:t>
            </w:r>
          </w:p>
        </w:tc>
        <w:tc>
          <w:tcPr>
            <w:tcW w:w="851" w:type="dxa"/>
            <w:gridSpan w:val="2"/>
            <w:tcBorders>
              <w:top w:val="nil"/>
              <w:left w:val="nil"/>
              <w:bottom w:val="nil"/>
              <w:right w:val="nil"/>
            </w:tcBorders>
            <w:shd w:val="clear" w:color="000000" w:fill="FFFFFF"/>
            <w:vAlign w:val="center"/>
            <w:hideMark/>
          </w:tcPr>
          <w:p w14:paraId="2B44674E" w14:textId="3AB32AB0"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7A3BF180"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68ACB75B"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450301A3"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1F62B36B"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2889C43F"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r>
      <w:tr w:rsidR="000F6636" w:rsidRPr="0088520B" w14:paraId="2C4024D7"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06EB9972" w14:textId="77777777" w:rsidR="000F6636" w:rsidRPr="00D2619F" w:rsidRDefault="000F6636" w:rsidP="00484DB0">
            <w:pPr>
              <w:ind w:firstLineChars="100" w:firstLine="180"/>
              <w:rPr>
                <w:rFonts w:cs="Times New Roman"/>
                <w:sz w:val="18"/>
                <w:szCs w:val="18"/>
              </w:rPr>
            </w:pPr>
            <w:r w:rsidRPr="00D2619F">
              <w:rPr>
                <w:rFonts w:cs="Times New Roman"/>
                <w:sz w:val="18"/>
                <w:szCs w:val="18"/>
              </w:rPr>
              <w:t>Z toho:</w:t>
            </w:r>
          </w:p>
        </w:tc>
        <w:tc>
          <w:tcPr>
            <w:tcW w:w="851" w:type="dxa"/>
            <w:gridSpan w:val="2"/>
            <w:tcBorders>
              <w:top w:val="nil"/>
              <w:left w:val="nil"/>
              <w:bottom w:val="nil"/>
              <w:right w:val="nil"/>
            </w:tcBorders>
            <w:shd w:val="clear" w:color="000000" w:fill="FFFFFF"/>
            <w:vAlign w:val="center"/>
            <w:hideMark/>
          </w:tcPr>
          <w:p w14:paraId="176A56C6"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tcPr>
          <w:p w14:paraId="658FB1C9" w14:textId="77777777" w:rsidR="000F6636" w:rsidRPr="00D2619F" w:rsidRDefault="000F6636" w:rsidP="00484DB0">
            <w:pPr>
              <w:jc w:val="center"/>
              <w:rPr>
                <w:rFonts w:cs="Times New Roman"/>
                <w:sz w:val="18"/>
                <w:szCs w:val="18"/>
              </w:rPr>
            </w:pPr>
          </w:p>
        </w:tc>
        <w:tc>
          <w:tcPr>
            <w:tcW w:w="960" w:type="dxa"/>
            <w:gridSpan w:val="2"/>
            <w:tcBorders>
              <w:top w:val="nil"/>
              <w:left w:val="nil"/>
              <w:bottom w:val="nil"/>
              <w:right w:val="nil"/>
            </w:tcBorders>
            <w:shd w:val="clear" w:color="auto" w:fill="auto"/>
            <w:vAlign w:val="bottom"/>
          </w:tcPr>
          <w:p w14:paraId="54A44D47" w14:textId="77777777" w:rsidR="000F6636" w:rsidRPr="00D2619F" w:rsidRDefault="000F6636" w:rsidP="00484DB0">
            <w:pPr>
              <w:jc w:val="center"/>
              <w:rPr>
                <w:rFonts w:ascii="Times New Roman" w:hAnsi="Times New Roman" w:cs="Times New Roman"/>
                <w:sz w:val="18"/>
                <w:szCs w:val="18"/>
              </w:rPr>
            </w:pPr>
          </w:p>
        </w:tc>
        <w:tc>
          <w:tcPr>
            <w:tcW w:w="960" w:type="dxa"/>
            <w:gridSpan w:val="2"/>
            <w:tcBorders>
              <w:top w:val="nil"/>
              <w:left w:val="nil"/>
              <w:bottom w:val="nil"/>
              <w:right w:val="nil"/>
            </w:tcBorders>
            <w:shd w:val="clear" w:color="auto" w:fill="auto"/>
            <w:vAlign w:val="bottom"/>
          </w:tcPr>
          <w:p w14:paraId="3E356DCA" w14:textId="77777777" w:rsidR="000F6636" w:rsidRPr="00D2619F" w:rsidRDefault="000F6636" w:rsidP="00484DB0">
            <w:pPr>
              <w:jc w:val="center"/>
              <w:rPr>
                <w:rFonts w:ascii="Times New Roman" w:hAnsi="Times New Roman" w:cs="Times New Roman"/>
                <w:sz w:val="18"/>
                <w:szCs w:val="18"/>
              </w:rPr>
            </w:pPr>
          </w:p>
        </w:tc>
        <w:tc>
          <w:tcPr>
            <w:tcW w:w="960" w:type="dxa"/>
            <w:gridSpan w:val="2"/>
            <w:tcBorders>
              <w:top w:val="nil"/>
              <w:left w:val="nil"/>
              <w:bottom w:val="nil"/>
              <w:right w:val="nil"/>
            </w:tcBorders>
            <w:shd w:val="clear" w:color="auto" w:fill="auto"/>
            <w:vAlign w:val="bottom"/>
          </w:tcPr>
          <w:p w14:paraId="22C1C5C9" w14:textId="77777777" w:rsidR="000F6636" w:rsidRPr="00D2619F" w:rsidRDefault="000F6636" w:rsidP="00484DB0">
            <w:pPr>
              <w:jc w:val="center"/>
              <w:rPr>
                <w:rFonts w:ascii="Times New Roman" w:hAnsi="Times New Roman" w:cs="Times New Roman"/>
                <w:sz w:val="18"/>
                <w:szCs w:val="18"/>
              </w:rPr>
            </w:pPr>
          </w:p>
        </w:tc>
        <w:tc>
          <w:tcPr>
            <w:tcW w:w="960" w:type="dxa"/>
            <w:gridSpan w:val="2"/>
            <w:tcBorders>
              <w:top w:val="nil"/>
              <w:left w:val="nil"/>
              <w:bottom w:val="nil"/>
              <w:right w:val="nil"/>
            </w:tcBorders>
            <w:shd w:val="clear" w:color="auto" w:fill="auto"/>
            <w:vAlign w:val="bottom"/>
          </w:tcPr>
          <w:p w14:paraId="7ECD7CF8" w14:textId="77777777" w:rsidR="000F6636" w:rsidRPr="00D2619F" w:rsidRDefault="000F6636" w:rsidP="00484DB0">
            <w:pPr>
              <w:jc w:val="center"/>
              <w:rPr>
                <w:rFonts w:ascii="Times New Roman" w:hAnsi="Times New Roman" w:cs="Times New Roman"/>
                <w:sz w:val="18"/>
                <w:szCs w:val="18"/>
              </w:rPr>
            </w:pPr>
          </w:p>
        </w:tc>
      </w:tr>
      <w:tr w:rsidR="000F6636" w:rsidRPr="0088520B" w14:paraId="6E3B3D3F"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33D21191" w14:textId="77777777" w:rsidR="000F6636" w:rsidRPr="00D2619F" w:rsidRDefault="000F6636" w:rsidP="00484DB0">
            <w:pPr>
              <w:ind w:firstLineChars="100" w:firstLine="180"/>
              <w:rPr>
                <w:rFonts w:cs="Times New Roman"/>
                <w:sz w:val="18"/>
                <w:szCs w:val="18"/>
              </w:rPr>
            </w:pPr>
            <w:r w:rsidRPr="00D2619F">
              <w:rPr>
                <w:rFonts w:cs="Times New Roman"/>
                <w:sz w:val="18"/>
                <w:szCs w:val="18"/>
              </w:rPr>
              <w:t>Opatrenia na príjmovej strane - verejná správa</w:t>
            </w:r>
          </w:p>
        </w:tc>
        <w:tc>
          <w:tcPr>
            <w:tcW w:w="851" w:type="dxa"/>
            <w:gridSpan w:val="2"/>
            <w:tcBorders>
              <w:top w:val="nil"/>
              <w:left w:val="nil"/>
              <w:bottom w:val="nil"/>
              <w:right w:val="nil"/>
            </w:tcBorders>
            <w:shd w:val="clear" w:color="000000" w:fill="FFFFFF"/>
            <w:vAlign w:val="center"/>
            <w:hideMark/>
          </w:tcPr>
          <w:p w14:paraId="1CF8A9C4"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0A957FA0"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244DD22D"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5884D2E6"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7A9BB77D"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42DB32DE"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r>
      <w:tr w:rsidR="000F6636" w:rsidRPr="0088520B" w14:paraId="2587D06B"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71A9887A" w14:textId="77777777" w:rsidR="000F6636" w:rsidRPr="00D2619F" w:rsidRDefault="000F6636" w:rsidP="00484DB0">
            <w:pPr>
              <w:ind w:firstLineChars="100" w:firstLine="180"/>
              <w:rPr>
                <w:rFonts w:cs="Times New Roman"/>
                <w:sz w:val="18"/>
                <w:szCs w:val="18"/>
              </w:rPr>
            </w:pPr>
            <w:r w:rsidRPr="00D2619F">
              <w:rPr>
                <w:rFonts w:cs="Times New Roman"/>
                <w:sz w:val="18"/>
                <w:szCs w:val="18"/>
              </w:rPr>
              <w:t>Opatrenia na výdavkovej strane - verejná správa</w:t>
            </w:r>
          </w:p>
        </w:tc>
        <w:tc>
          <w:tcPr>
            <w:tcW w:w="851" w:type="dxa"/>
            <w:gridSpan w:val="2"/>
            <w:tcBorders>
              <w:top w:val="nil"/>
              <w:left w:val="nil"/>
              <w:bottom w:val="nil"/>
              <w:right w:val="nil"/>
            </w:tcBorders>
            <w:shd w:val="clear" w:color="000000" w:fill="FFFFFF"/>
            <w:vAlign w:val="center"/>
            <w:hideMark/>
          </w:tcPr>
          <w:p w14:paraId="0FE5B46C"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7A474FB3"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1CC97646"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77CB12CC"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449D253A"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5BAA0B7E"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r>
      <w:tr w:rsidR="000F6636" w:rsidRPr="0088520B" w14:paraId="2309D055" w14:textId="77777777" w:rsidTr="00C525B1">
        <w:trPr>
          <w:gridAfter w:val="1"/>
          <w:wAfter w:w="100" w:type="dxa"/>
          <w:trHeight w:val="283"/>
        </w:trPr>
        <w:tc>
          <w:tcPr>
            <w:tcW w:w="3544" w:type="dxa"/>
            <w:gridSpan w:val="2"/>
            <w:tcBorders>
              <w:top w:val="nil"/>
              <w:left w:val="nil"/>
              <w:bottom w:val="nil"/>
              <w:right w:val="nil"/>
            </w:tcBorders>
            <w:shd w:val="clear" w:color="auto" w:fill="auto"/>
            <w:vAlign w:val="center"/>
            <w:hideMark/>
          </w:tcPr>
          <w:p w14:paraId="66536512" w14:textId="77777777" w:rsidR="000F6636" w:rsidRPr="00D2619F" w:rsidRDefault="000F6636" w:rsidP="00484DB0">
            <w:pPr>
              <w:rPr>
                <w:rFonts w:cs="Times New Roman"/>
                <w:sz w:val="18"/>
                <w:szCs w:val="18"/>
              </w:rPr>
            </w:pPr>
            <w:r w:rsidRPr="00D2619F">
              <w:rPr>
                <w:rFonts w:cs="Times New Roman"/>
                <w:sz w:val="18"/>
                <w:szCs w:val="18"/>
              </w:rPr>
              <w:t>5. Rast potenciálneho HDP (%)</w:t>
            </w:r>
          </w:p>
        </w:tc>
        <w:tc>
          <w:tcPr>
            <w:tcW w:w="851" w:type="dxa"/>
            <w:gridSpan w:val="2"/>
            <w:tcBorders>
              <w:top w:val="nil"/>
              <w:left w:val="nil"/>
              <w:bottom w:val="nil"/>
              <w:right w:val="nil"/>
            </w:tcBorders>
            <w:shd w:val="clear" w:color="auto" w:fill="auto"/>
            <w:vAlign w:val="center"/>
            <w:hideMark/>
          </w:tcPr>
          <w:p w14:paraId="28595954"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06C4B3AD" w14:textId="77777777" w:rsidR="000F6636" w:rsidRPr="00D2619F" w:rsidRDefault="000F6636" w:rsidP="00484DB0">
            <w:pPr>
              <w:jc w:val="center"/>
              <w:rPr>
                <w:rFonts w:cs="Times New Roman"/>
                <w:color w:val="000000"/>
                <w:sz w:val="18"/>
                <w:szCs w:val="18"/>
              </w:rPr>
            </w:pPr>
            <w:r w:rsidRPr="00D2619F">
              <w:rPr>
                <w:color w:val="000000"/>
                <w:sz w:val="18"/>
                <w:szCs w:val="18"/>
              </w:rPr>
              <w:t>2,0</w:t>
            </w:r>
          </w:p>
        </w:tc>
        <w:tc>
          <w:tcPr>
            <w:tcW w:w="960" w:type="dxa"/>
            <w:gridSpan w:val="2"/>
            <w:tcBorders>
              <w:top w:val="nil"/>
              <w:left w:val="nil"/>
              <w:bottom w:val="nil"/>
              <w:right w:val="nil"/>
            </w:tcBorders>
            <w:shd w:val="clear" w:color="auto" w:fill="auto"/>
            <w:vAlign w:val="bottom"/>
            <w:hideMark/>
          </w:tcPr>
          <w:p w14:paraId="432DA440" w14:textId="77777777" w:rsidR="000F6636" w:rsidRPr="00D2619F" w:rsidRDefault="000F6636" w:rsidP="00484DB0">
            <w:pPr>
              <w:jc w:val="center"/>
              <w:rPr>
                <w:rFonts w:cs="Times New Roman"/>
                <w:color w:val="000000"/>
                <w:sz w:val="18"/>
                <w:szCs w:val="18"/>
              </w:rPr>
            </w:pPr>
            <w:r w:rsidRPr="00D2619F">
              <w:rPr>
                <w:color w:val="000000"/>
                <w:sz w:val="18"/>
                <w:szCs w:val="18"/>
              </w:rPr>
              <w:t>2,0</w:t>
            </w:r>
          </w:p>
        </w:tc>
        <w:tc>
          <w:tcPr>
            <w:tcW w:w="960" w:type="dxa"/>
            <w:gridSpan w:val="2"/>
            <w:tcBorders>
              <w:top w:val="nil"/>
              <w:left w:val="nil"/>
              <w:bottom w:val="nil"/>
              <w:right w:val="nil"/>
            </w:tcBorders>
            <w:shd w:val="clear" w:color="auto" w:fill="auto"/>
            <w:vAlign w:val="bottom"/>
            <w:hideMark/>
          </w:tcPr>
          <w:p w14:paraId="49031220" w14:textId="77777777" w:rsidR="000F6636" w:rsidRPr="00D2619F" w:rsidRDefault="000F6636" w:rsidP="00484DB0">
            <w:pPr>
              <w:jc w:val="center"/>
              <w:rPr>
                <w:rFonts w:cs="Times New Roman"/>
                <w:color w:val="000000"/>
                <w:sz w:val="18"/>
                <w:szCs w:val="18"/>
              </w:rPr>
            </w:pPr>
            <w:r w:rsidRPr="00D2619F">
              <w:rPr>
                <w:color w:val="000000"/>
                <w:sz w:val="18"/>
                <w:szCs w:val="18"/>
              </w:rPr>
              <w:t>2,0</w:t>
            </w:r>
          </w:p>
        </w:tc>
        <w:tc>
          <w:tcPr>
            <w:tcW w:w="960" w:type="dxa"/>
            <w:gridSpan w:val="2"/>
            <w:tcBorders>
              <w:top w:val="nil"/>
              <w:left w:val="nil"/>
              <w:bottom w:val="nil"/>
              <w:right w:val="nil"/>
            </w:tcBorders>
            <w:shd w:val="clear" w:color="auto" w:fill="auto"/>
            <w:vAlign w:val="bottom"/>
            <w:hideMark/>
          </w:tcPr>
          <w:p w14:paraId="15DB3E87" w14:textId="77777777" w:rsidR="000F6636" w:rsidRPr="00D2619F" w:rsidRDefault="000F6636" w:rsidP="00484DB0">
            <w:pPr>
              <w:jc w:val="center"/>
              <w:rPr>
                <w:rFonts w:cs="Times New Roman"/>
                <w:color w:val="000000"/>
                <w:sz w:val="18"/>
                <w:szCs w:val="18"/>
              </w:rPr>
            </w:pPr>
            <w:r w:rsidRPr="00D2619F">
              <w:rPr>
                <w:color w:val="000000"/>
                <w:sz w:val="18"/>
                <w:szCs w:val="18"/>
              </w:rPr>
              <w:t>2,0</w:t>
            </w:r>
          </w:p>
        </w:tc>
        <w:tc>
          <w:tcPr>
            <w:tcW w:w="960" w:type="dxa"/>
            <w:gridSpan w:val="2"/>
            <w:tcBorders>
              <w:top w:val="nil"/>
              <w:left w:val="nil"/>
              <w:bottom w:val="nil"/>
              <w:right w:val="nil"/>
            </w:tcBorders>
            <w:shd w:val="clear" w:color="auto" w:fill="auto"/>
            <w:vAlign w:val="bottom"/>
            <w:hideMark/>
          </w:tcPr>
          <w:p w14:paraId="16FA7FE9" w14:textId="77777777" w:rsidR="000F6636" w:rsidRPr="00D2619F" w:rsidRDefault="000F6636" w:rsidP="00484DB0">
            <w:pPr>
              <w:jc w:val="center"/>
              <w:rPr>
                <w:rFonts w:cs="Times New Roman"/>
                <w:color w:val="000000"/>
                <w:sz w:val="18"/>
                <w:szCs w:val="18"/>
              </w:rPr>
            </w:pPr>
            <w:r w:rsidRPr="00D2619F">
              <w:rPr>
                <w:color w:val="000000"/>
                <w:sz w:val="18"/>
                <w:szCs w:val="18"/>
              </w:rPr>
              <w:t>1,8</w:t>
            </w:r>
          </w:p>
        </w:tc>
      </w:tr>
      <w:tr w:rsidR="000F6636" w:rsidRPr="0088520B" w14:paraId="6890B0E1" w14:textId="77777777" w:rsidTr="00C525B1">
        <w:trPr>
          <w:gridAfter w:val="1"/>
          <w:wAfter w:w="100" w:type="dxa"/>
          <w:trHeight w:val="283"/>
        </w:trPr>
        <w:tc>
          <w:tcPr>
            <w:tcW w:w="3544" w:type="dxa"/>
            <w:gridSpan w:val="2"/>
            <w:tcBorders>
              <w:top w:val="nil"/>
              <w:left w:val="nil"/>
              <w:bottom w:val="nil"/>
              <w:right w:val="nil"/>
            </w:tcBorders>
            <w:shd w:val="clear" w:color="auto" w:fill="auto"/>
            <w:vAlign w:val="center"/>
            <w:hideMark/>
          </w:tcPr>
          <w:p w14:paraId="4A8A19AE" w14:textId="77777777" w:rsidR="000F6636" w:rsidRPr="00D2619F" w:rsidRDefault="000F6636" w:rsidP="00484DB0">
            <w:pPr>
              <w:ind w:firstLineChars="200" w:firstLine="360"/>
              <w:rPr>
                <w:rFonts w:cs="Times New Roman"/>
                <w:sz w:val="18"/>
                <w:szCs w:val="18"/>
              </w:rPr>
            </w:pPr>
            <w:r w:rsidRPr="00D2619F">
              <w:rPr>
                <w:rFonts w:cs="Times New Roman"/>
                <w:sz w:val="18"/>
                <w:szCs w:val="18"/>
              </w:rPr>
              <w:t>príspevky:</w:t>
            </w:r>
          </w:p>
        </w:tc>
        <w:tc>
          <w:tcPr>
            <w:tcW w:w="851" w:type="dxa"/>
            <w:gridSpan w:val="2"/>
            <w:tcBorders>
              <w:top w:val="nil"/>
              <w:left w:val="nil"/>
              <w:bottom w:val="nil"/>
              <w:right w:val="nil"/>
            </w:tcBorders>
            <w:shd w:val="clear" w:color="auto" w:fill="auto"/>
            <w:vAlign w:val="center"/>
            <w:hideMark/>
          </w:tcPr>
          <w:p w14:paraId="2F080905"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624ED25E" w14:textId="77777777" w:rsidR="000F6636" w:rsidRPr="00D2619F" w:rsidRDefault="000F6636" w:rsidP="00484DB0">
            <w:pPr>
              <w:jc w:val="center"/>
              <w:rPr>
                <w:rFonts w:cs="Times New Roman"/>
                <w:color w:val="000000"/>
                <w:sz w:val="18"/>
                <w:szCs w:val="18"/>
              </w:rPr>
            </w:pPr>
          </w:p>
        </w:tc>
        <w:tc>
          <w:tcPr>
            <w:tcW w:w="960" w:type="dxa"/>
            <w:gridSpan w:val="2"/>
            <w:tcBorders>
              <w:top w:val="nil"/>
              <w:left w:val="nil"/>
              <w:bottom w:val="nil"/>
              <w:right w:val="nil"/>
            </w:tcBorders>
            <w:shd w:val="clear" w:color="auto" w:fill="auto"/>
            <w:vAlign w:val="bottom"/>
            <w:hideMark/>
          </w:tcPr>
          <w:p w14:paraId="04E939EB" w14:textId="77777777" w:rsidR="000F6636" w:rsidRPr="00D2619F" w:rsidRDefault="000F6636" w:rsidP="00484DB0">
            <w:pPr>
              <w:jc w:val="center"/>
              <w:rPr>
                <w:rFonts w:cs="Times New Roman"/>
                <w:color w:val="000000"/>
                <w:sz w:val="18"/>
                <w:szCs w:val="18"/>
              </w:rPr>
            </w:pPr>
          </w:p>
        </w:tc>
        <w:tc>
          <w:tcPr>
            <w:tcW w:w="960" w:type="dxa"/>
            <w:gridSpan w:val="2"/>
            <w:tcBorders>
              <w:top w:val="nil"/>
              <w:left w:val="nil"/>
              <w:bottom w:val="nil"/>
              <w:right w:val="nil"/>
            </w:tcBorders>
            <w:shd w:val="clear" w:color="auto" w:fill="auto"/>
            <w:vAlign w:val="bottom"/>
            <w:hideMark/>
          </w:tcPr>
          <w:p w14:paraId="025F90B7" w14:textId="77777777" w:rsidR="000F6636" w:rsidRPr="00D2619F" w:rsidRDefault="000F6636" w:rsidP="00484DB0">
            <w:pPr>
              <w:jc w:val="center"/>
              <w:rPr>
                <w:rFonts w:cs="Times New Roman"/>
                <w:color w:val="000000"/>
                <w:sz w:val="18"/>
                <w:szCs w:val="18"/>
              </w:rPr>
            </w:pPr>
          </w:p>
        </w:tc>
        <w:tc>
          <w:tcPr>
            <w:tcW w:w="960" w:type="dxa"/>
            <w:gridSpan w:val="2"/>
            <w:tcBorders>
              <w:top w:val="nil"/>
              <w:left w:val="nil"/>
              <w:bottom w:val="nil"/>
              <w:right w:val="nil"/>
            </w:tcBorders>
            <w:shd w:val="clear" w:color="auto" w:fill="auto"/>
            <w:vAlign w:val="bottom"/>
            <w:hideMark/>
          </w:tcPr>
          <w:p w14:paraId="273F73A1" w14:textId="77777777" w:rsidR="000F6636" w:rsidRPr="00D2619F" w:rsidRDefault="000F6636" w:rsidP="00484DB0">
            <w:pPr>
              <w:jc w:val="center"/>
              <w:rPr>
                <w:rFonts w:cs="Times New Roman"/>
                <w:color w:val="000000"/>
                <w:sz w:val="18"/>
                <w:szCs w:val="18"/>
              </w:rPr>
            </w:pPr>
          </w:p>
        </w:tc>
        <w:tc>
          <w:tcPr>
            <w:tcW w:w="960" w:type="dxa"/>
            <w:gridSpan w:val="2"/>
            <w:tcBorders>
              <w:top w:val="nil"/>
              <w:left w:val="nil"/>
              <w:bottom w:val="nil"/>
              <w:right w:val="nil"/>
            </w:tcBorders>
            <w:shd w:val="clear" w:color="auto" w:fill="auto"/>
            <w:vAlign w:val="bottom"/>
            <w:hideMark/>
          </w:tcPr>
          <w:p w14:paraId="4843B557" w14:textId="77777777" w:rsidR="000F6636" w:rsidRPr="00D2619F" w:rsidRDefault="000F6636" w:rsidP="00484DB0">
            <w:pPr>
              <w:jc w:val="center"/>
              <w:rPr>
                <w:rFonts w:cs="Times New Roman"/>
                <w:color w:val="000000"/>
                <w:sz w:val="18"/>
                <w:szCs w:val="18"/>
              </w:rPr>
            </w:pPr>
          </w:p>
        </w:tc>
      </w:tr>
      <w:tr w:rsidR="000F6636" w:rsidRPr="0088520B" w14:paraId="01A162B7" w14:textId="77777777" w:rsidTr="00C525B1">
        <w:trPr>
          <w:gridAfter w:val="1"/>
          <w:wAfter w:w="100" w:type="dxa"/>
          <w:trHeight w:val="283"/>
        </w:trPr>
        <w:tc>
          <w:tcPr>
            <w:tcW w:w="3544" w:type="dxa"/>
            <w:gridSpan w:val="2"/>
            <w:tcBorders>
              <w:top w:val="nil"/>
              <w:left w:val="nil"/>
              <w:bottom w:val="nil"/>
              <w:right w:val="nil"/>
            </w:tcBorders>
            <w:shd w:val="clear" w:color="auto" w:fill="auto"/>
            <w:vAlign w:val="center"/>
            <w:hideMark/>
          </w:tcPr>
          <w:p w14:paraId="11DEA59F" w14:textId="77777777" w:rsidR="000F6636" w:rsidRPr="00D2619F" w:rsidRDefault="000F6636" w:rsidP="00484DB0">
            <w:pPr>
              <w:ind w:firstLineChars="400" w:firstLine="720"/>
              <w:rPr>
                <w:rFonts w:cs="Times New Roman"/>
                <w:sz w:val="18"/>
                <w:szCs w:val="18"/>
              </w:rPr>
            </w:pPr>
            <w:r w:rsidRPr="00D2619F">
              <w:rPr>
                <w:rFonts w:cs="Times New Roman"/>
                <w:sz w:val="18"/>
                <w:szCs w:val="18"/>
              </w:rPr>
              <w:t>- pracovná sila</w:t>
            </w:r>
          </w:p>
        </w:tc>
        <w:tc>
          <w:tcPr>
            <w:tcW w:w="851" w:type="dxa"/>
            <w:gridSpan w:val="2"/>
            <w:tcBorders>
              <w:top w:val="nil"/>
              <w:left w:val="nil"/>
              <w:bottom w:val="nil"/>
              <w:right w:val="nil"/>
            </w:tcBorders>
            <w:shd w:val="clear" w:color="auto" w:fill="auto"/>
            <w:vAlign w:val="center"/>
            <w:hideMark/>
          </w:tcPr>
          <w:p w14:paraId="25847E3C"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66EB837C"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74201505" w14:textId="77777777" w:rsidR="000F6636" w:rsidRPr="00D2619F" w:rsidRDefault="000F6636" w:rsidP="00484DB0">
            <w:pPr>
              <w:jc w:val="center"/>
              <w:rPr>
                <w:rFonts w:cs="Times New Roman"/>
                <w:color w:val="000000"/>
                <w:sz w:val="18"/>
                <w:szCs w:val="18"/>
              </w:rPr>
            </w:pPr>
            <w:r w:rsidRPr="00D2619F">
              <w:rPr>
                <w:color w:val="000000"/>
                <w:sz w:val="18"/>
                <w:szCs w:val="18"/>
              </w:rPr>
              <w:t>0,0</w:t>
            </w:r>
          </w:p>
        </w:tc>
        <w:tc>
          <w:tcPr>
            <w:tcW w:w="960" w:type="dxa"/>
            <w:gridSpan w:val="2"/>
            <w:tcBorders>
              <w:top w:val="nil"/>
              <w:left w:val="nil"/>
              <w:bottom w:val="nil"/>
              <w:right w:val="nil"/>
            </w:tcBorders>
            <w:shd w:val="clear" w:color="auto" w:fill="auto"/>
            <w:vAlign w:val="bottom"/>
            <w:hideMark/>
          </w:tcPr>
          <w:p w14:paraId="0DD34D04" w14:textId="77777777" w:rsidR="000F6636" w:rsidRPr="00D2619F" w:rsidRDefault="000F6636" w:rsidP="00484DB0">
            <w:pPr>
              <w:jc w:val="center"/>
              <w:rPr>
                <w:rFonts w:cs="Times New Roman"/>
                <w:color w:val="000000"/>
                <w:sz w:val="18"/>
                <w:szCs w:val="18"/>
              </w:rPr>
            </w:pPr>
            <w:r w:rsidRPr="00D2619F">
              <w:rPr>
                <w:color w:val="000000"/>
                <w:sz w:val="18"/>
                <w:szCs w:val="18"/>
              </w:rPr>
              <w:t>-0,1</w:t>
            </w:r>
          </w:p>
        </w:tc>
        <w:tc>
          <w:tcPr>
            <w:tcW w:w="960" w:type="dxa"/>
            <w:gridSpan w:val="2"/>
            <w:tcBorders>
              <w:top w:val="nil"/>
              <w:left w:val="nil"/>
              <w:bottom w:val="nil"/>
              <w:right w:val="nil"/>
            </w:tcBorders>
            <w:shd w:val="clear" w:color="auto" w:fill="auto"/>
            <w:vAlign w:val="bottom"/>
            <w:hideMark/>
          </w:tcPr>
          <w:p w14:paraId="7E3E5104" w14:textId="77777777" w:rsidR="000F6636" w:rsidRPr="00D2619F" w:rsidRDefault="000F6636" w:rsidP="00484DB0">
            <w:pPr>
              <w:jc w:val="center"/>
              <w:rPr>
                <w:rFonts w:cs="Times New Roman"/>
                <w:color w:val="000000"/>
                <w:sz w:val="18"/>
                <w:szCs w:val="18"/>
              </w:rPr>
            </w:pPr>
            <w:r w:rsidRPr="00D2619F">
              <w:rPr>
                <w:color w:val="000000"/>
                <w:sz w:val="18"/>
                <w:szCs w:val="18"/>
              </w:rPr>
              <w:t>-0,3</w:t>
            </w:r>
          </w:p>
        </w:tc>
        <w:tc>
          <w:tcPr>
            <w:tcW w:w="960" w:type="dxa"/>
            <w:gridSpan w:val="2"/>
            <w:tcBorders>
              <w:top w:val="nil"/>
              <w:left w:val="nil"/>
              <w:bottom w:val="nil"/>
              <w:right w:val="nil"/>
            </w:tcBorders>
            <w:shd w:val="clear" w:color="auto" w:fill="auto"/>
            <w:vAlign w:val="bottom"/>
            <w:hideMark/>
          </w:tcPr>
          <w:p w14:paraId="37B6F9FE" w14:textId="77777777" w:rsidR="000F6636" w:rsidRPr="00D2619F" w:rsidRDefault="000F6636" w:rsidP="00484DB0">
            <w:pPr>
              <w:jc w:val="center"/>
              <w:rPr>
                <w:rFonts w:cs="Times New Roman"/>
                <w:color w:val="000000"/>
                <w:sz w:val="18"/>
                <w:szCs w:val="18"/>
              </w:rPr>
            </w:pPr>
            <w:r w:rsidRPr="00D2619F">
              <w:rPr>
                <w:color w:val="000000"/>
                <w:sz w:val="18"/>
                <w:szCs w:val="18"/>
              </w:rPr>
              <w:t>-0,3</w:t>
            </w:r>
          </w:p>
        </w:tc>
      </w:tr>
      <w:tr w:rsidR="000F6636" w:rsidRPr="0088520B" w14:paraId="2EE9ADC8" w14:textId="77777777" w:rsidTr="00C525B1">
        <w:trPr>
          <w:gridAfter w:val="1"/>
          <w:wAfter w:w="100" w:type="dxa"/>
          <w:trHeight w:val="283"/>
        </w:trPr>
        <w:tc>
          <w:tcPr>
            <w:tcW w:w="3544" w:type="dxa"/>
            <w:gridSpan w:val="2"/>
            <w:tcBorders>
              <w:top w:val="nil"/>
              <w:left w:val="nil"/>
              <w:bottom w:val="nil"/>
              <w:right w:val="nil"/>
            </w:tcBorders>
            <w:shd w:val="clear" w:color="auto" w:fill="auto"/>
            <w:vAlign w:val="center"/>
            <w:hideMark/>
          </w:tcPr>
          <w:p w14:paraId="2754A700" w14:textId="77777777" w:rsidR="000F6636" w:rsidRPr="00D2619F" w:rsidRDefault="000F6636" w:rsidP="00484DB0">
            <w:pPr>
              <w:ind w:firstLineChars="400" w:firstLine="720"/>
              <w:rPr>
                <w:rFonts w:cs="Times New Roman"/>
                <w:sz w:val="18"/>
                <w:szCs w:val="18"/>
              </w:rPr>
            </w:pPr>
            <w:r w:rsidRPr="00D2619F">
              <w:rPr>
                <w:rFonts w:cs="Times New Roman"/>
                <w:sz w:val="18"/>
                <w:szCs w:val="18"/>
              </w:rPr>
              <w:t>- kapitál</w:t>
            </w:r>
          </w:p>
        </w:tc>
        <w:tc>
          <w:tcPr>
            <w:tcW w:w="851" w:type="dxa"/>
            <w:gridSpan w:val="2"/>
            <w:tcBorders>
              <w:top w:val="nil"/>
              <w:left w:val="nil"/>
              <w:bottom w:val="nil"/>
              <w:right w:val="nil"/>
            </w:tcBorders>
            <w:shd w:val="clear" w:color="auto" w:fill="auto"/>
            <w:vAlign w:val="center"/>
            <w:hideMark/>
          </w:tcPr>
          <w:p w14:paraId="75977E65"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4FD8D466" w14:textId="77777777" w:rsidR="000F6636" w:rsidRPr="00D2619F" w:rsidRDefault="000F6636" w:rsidP="00484DB0">
            <w:pPr>
              <w:jc w:val="center"/>
              <w:rPr>
                <w:rFonts w:cs="Times New Roman"/>
                <w:color w:val="000000"/>
                <w:sz w:val="18"/>
                <w:szCs w:val="18"/>
              </w:rPr>
            </w:pPr>
            <w:r w:rsidRPr="00D2619F">
              <w:rPr>
                <w:color w:val="000000"/>
                <w:sz w:val="18"/>
                <w:szCs w:val="18"/>
              </w:rPr>
              <w:t>0,8</w:t>
            </w:r>
          </w:p>
        </w:tc>
        <w:tc>
          <w:tcPr>
            <w:tcW w:w="960" w:type="dxa"/>
            <w:gridSpan w:val="2"/>
            <w:tcBorders>
              <w:top w:val="nil"/>
              <w:left w:val="nil"/>
              <w:bottom w:val="nil"/>
              <w:right w:val="nil"/>
            </w:tcBorders>
            <w:shd w:val="clear" w:color="auto" w:fill="auto"/>
            <w:vAlign w:val="bottom"/>
            <w:hideMark/>
          </w:tcPr>
          <w:p w14:paraId="4C593E45"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c>
          <w:tcPr>
            <w:tcW w:w="960" w:type="dxa"/>
            <w:gridSpan w:val="2"/>
            <w:tcBorders>
              <w:top w:val="nil"/>
              <w:left w:val="nil"/>
              <w:bottom w:val="nil"/>
              <w:right w:val="nil"/>
            </w:tcBorders>
            <w:shd w:val="clear" w:color="auto" w:fill="auto"/>
            <w:vAlign w:val="bottom"/>
            <w:hideMark/>
          </w:tcPr>
          <w:p w14:paraId="16B6C884"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c>
          <w:tcPr>
            <w:tcW w:w="960" w:type="dxa"/>
            <w:gridSpan w:val="2"/>
            <w:tcBorders>
              <w:top w:val="nil"/>
              <w:left w:val="nil"/>
              <w:bottom w:val="nil"/>
              <w:right w:val="nil"/>
            </w:tcBorders>
            <w:shd w:val="clear" w:color="auto" w:fill="auto"/>
            <w:vAlign w:val="bottom"/>
            <w:hideMark/>
          </w:tcPr>
          <w:p w14:paraId="7D37358F" w14:textId="77777777" w:rsidR="000F6636" w:rsidRPr="00D2619F" w:rsidRDefault="000F6636" w:rsidP="00484DB0">
            <w:pPr>
              <w:jc w:val="center"/>
              <w:rPr>
                <w:rFonts w:cs="Times New Roman"/>
                <w:color w:val="000000"/>
                <w:sz w:val="18"/>
                <w:szCs w:val="18"/>
              </w:rPr>
            </w:pPr>
            <w:r w:rsidRPr="00D2619F">
              <w:rPr>
                <w:color w:val="000000"/>
                <w:sz w:val="18"/>
                <w:szCs w:val="18"/>
              </w:rPr>
              <w:t>1,1</w:t>
            </w:r>
          </w:p>
        </w:tc>
        <w:tc>
          <w:tcPr>
            <w:tcW w:w="960" w:type="dxa"/>
            <w:gridSpan w:val="2"/>
            <w:tcBorders>
              <w:top w:val="nil"/>
              <w:left w:val="nil"/>
              <w:bottom w:val="nil"/>
              <w:right w:val="nil"/>
            </w:tcBorders>
            <w:shd w:val="clear" w:color="auto" w:fill="auto"/>
            <w:vAlign w:val="bottom"/>
            <w:hideMark/>
          </w:tcPr>
          <w:p w14:paraId="4A0EA556"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r>
      <w:tr w:rsidR="000F6636" w:rsidRPr="0088520B" w14:paraId="48BF404F" w14:textId="77777777" w:rsidTr="00C525B1">
        <w:trPr>
          <w:gridAfter w:val="1"/>
          <w:wAfter w:w="100" w:type="dxa"/>
          <w:trHeight w:val="283"/>
        </w:trPr>
        <w:tc>
          <w:tcPr>
            <w:tcW w:w="3544" w:type="dxa"/>
            <w:gridSpan w:val="2"/>
            <w:tcBorders>
              <w:top w:val="nil"/>
              <w:left w:val="nil"/>
              <w:bottom w:val="nil"/>
              <w:right w:val="nil"/>
            </w:tcBorders>
            <w:shd w:val="clear" w:color="auto" w:fill="auto"/>
            <w:vAlign w:val="center"/>
            <w:hideMark/>
          </w:tcPr>
          <w:p w14:paraId="55BCADD1" w14:textId="77777777" w:rsidR="000F6636" w:rsidRPr="00D2619F" w:rsidRDefault="000F6636" w:rsidP="00484DB0">
            <w:pPr>
              <w:ind w:firstLineChars="400" w:firstLine="720"/>
              <w:rPr>
                <w:rFonts w:cs="Times New Roman"/>
                <w:sz w:val="18"/>
                <w:szCs w:val="18"/>
              </w:rPr>
            </w:pPr>
            <w:r w:rsidRPr="00D2619F">
              <w:rPr>
                <w:rFonts w:cs="Times New Roman"/>
                <w:sz w:val="18"/>
                <w:szCs w:val="18"/>
              </w:rPr>
              <w:t>- celková produktivita faktorov</w:t>
            </w:r>
          </w:p>
        </w:tc>
        <w:tc>
          <w:tcPr>
            <w:tcW w:w="851" w:type="dxa"/>
            <w:gridSpan w:val="2"/>
            <w:tcBorders>
              <w:top w:val="nil"/>
              <w:left w:val="nil"/>
              <w:bottom w:val="nil"/>
              <w:right w:val="nil"/>
            </w:tcBorders>
            <w:shd w:val="clear" w:color="auto" w:fill="auto"/>
            <w:vAlign w:val="center"/>
            <w:hideMark/>
          </w:tcPr>
          <w:p w14:paraId="426514CD"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bottom"/>
            <w:hideMark/>
          </w:tcPr>
          <w:p w14:paraId="3ADBC933" w14:textId="77777777" w:rsidR="000F6636" w:rsidRPr="00D2619F" w:rsidRDefault="000F6636" w:rsidP="00484DB0">
            <w:pPr>
              <w:jc w:val="center"/>
              <w:rPr>
                <w:rFonts w:cs="Times New Roman"/>
                <w:color w:val="000000"/>
                <w:sz w:val="18"/>
                <w:szCs w:val="18"/>
              </w:rPr>
            </w:pPr>
            <w:r w:rsidRPr="00D2619F">
              <w:rPr>
                <w:color w:val="000000"/>
                <w:sz w:val="18"/>
                <w:szCs w:val="18"/>
              </w:rPr>
              <w:t>1,1</w:t>
            </w:r>
          </w:p>
        </w:tc>
        <w:tc>
          <w:tcPr>
            <w:tcW w:w="960" w:type="dxa"/>
            <w:gridSpan w:val="2"/>
            <w:tcBorders>
              <w:top w:val="nil"/>
              <w:left w:val="nil"/>
              <w:bottom w:val="nil"/>
              <w:right w:val="nil"/>
            </w:tcBorders>
            <w:shd w:val="clear" w:color="auto" w:fill="auto"/>
            <w:vAlign w:val="bottom"/>
            <w:hideMark/>
          </w:tcPr>
          <w:p w14:paraId="1CC2835E"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c>
          <w:tcPr>
            <w:tcW w:w="960" w:type="dxa"/>
            <w:gridSpan w:val="2"/>
            <w:tcBorders>
              <w:top w:val="nil"/>
              <w:left w:val="nil"/>
              <w:bottom w:val="nil"/>
              <w:right w:val="nil"/>
            </w:tcBorders>
            <w:shd w:val="clear" w:color="auto" w:fill="auto"/>
            <w:vAlign w:val="bottom"/>
            <w:hideMark/>
          </w:tcPr>
          <w:p w14:paraId="6D367ED1"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c>
          <w:tcPr>
            <w:tcW w:w="960" w:type="dxa"/>
            <w:gridSpan w:val="2"/>
            <w:tcBorders>
              <w:top w:val="nil"/>
              <w:left w:val="nil"/>
              <w:bottom w:val="nil"/>
              <w:right w:val="nil"/>
            </w:tcBorders>
            <w:shd w:val="clear" w:color="auto" w:fill="auto"/>
            <w:vAlign w:val="bottom"/>
            <w:hideMark/>
          </w:tcPr>
          <w:p w14:paraId="5EAC17AD"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c>
          <w:tcPr>
            <w:tcW w:w="960" w:type="dxa"/>
            <w:gridSpan w:val="2"/>
            <w:tcBorders>
              <w:top w:val="nil"/>
              <w:left w:val="nil"/>
              <w:bottom w:val="nil"/>
              <w:right w:val="nil"/>
            </w:tcBorders>
            <w:shd w:val="clear" w:color="auto" w:fill="auto"/>
            <w:vAlign w:val="bottom"/>
            <w:hideMark/>
          </w:tcPr>
          <w:p w14:paraId="0B153C84"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r>
      <w:tr w:rsidR="000F6636" w:rsidRPr="0088520B" w14:paraId="1482719E"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6C1304EB" w14:textId="77777777" w:rsidR="000F6636" w:rsidRPr="00D2619F" w:rsidRDefault="000F6636" w:rsidP="00484DB0">
            <w:pPr>
              <w:rPr>
                <w:rFonts w:cs="Times New Roman"/>
                <w:sz w:val="18"/>
                <w:szCs w:val="18"/>
              </w:rPr>
            </w:pPr>
            <w:r w:rsidRPr="00D2619F">
              <w:rPr>
                <w:rFonts w:cs="Times New Roman"/>
                <w:sz w:val="18"/>
                <w:szCs w:val="18"/>
              </w:rPr>
              <w:t>6. Produkčná medzera</w:t>
            </w:r>
          </w:p>
        </w:tc>
        <w:tc>
          <w:tcPr>
            <w:tcW w:w="851" w:type="dxa"/>
            <w:gridSpan w:val="2"/>
            <w:tcBorders>
              <w:top w:val="nil"/>
              <w:left w:val="nil"/>
              <w:bottom w:val="nil"/>
              <w:right w:val="nil"/>
            </w:tcBorders>
            <w:shd w:val="clear" w:color="000000" w:fill="FFFFFF"/>
            <w:vAlign w:val="center"/>
            <w:hideMark/>
          </w:tcPr>
          <w:p w14:paraId="30B08CA1"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center"/>
            <w:hideMark/>
          </w:tcPr>
          <w:p w14:paraId="000FCDA4" w14:textId="77777777" w:rsidR="000F6636" w:rsidRPr="00D2619F" w:rsidRDefault="000F6636" w:rsidP="00484DB0">
            <w:pPr>
              <w:jc w:val="center"/>
              <w:rPr>
                <w:rFonts w:cs="Times New Roman"/>
                <w:color w:val="000000"/>
                <w:sz w:val="18"/>
                <w:szCs w:val="18"/>
              </w:rPr>
            </w:pPr>
            <w:r w:rsidRPr="00D2619F">
              <w:rPr>
                <w:sz w:val="18"/>
                <w:szCs w:val="18"/>
              </w:rPr>
              <w:t>-0,3</w:t>
            </w:r>
          </w:p>
        </w:tc>
        <w:tc>
          <w:tcPr>
            <w:tcW w:w="960" w:type="dxa"/>
            <w:gridSpan w:val="2"/>
            <w:tcBorders>
              <w:top w:val="nil"/>
              <w:left w:val="nil"/>
              <w:bottom w:val="nil"/>
              <w:right w:val="nil"/>
            </w:tcBorders>
            <w:shd w:val="clear" w:color="auto" w:fill="auto"/>
            <w:vAlign w:val="center"/>
            <w:hideMark/>
          </w:tcPr>
          <w:p w14:paraId="7950B530" w14:textId="77777777" w:rsidR="000F6636" w:rsidRPr="00D2619F" w:rsidRDefault="000F6636" w:rsidP="00484DB0">
            <w:pPr>
              <w:jc w:val="center"/>
              <w:rPr>
                <w:rFonts w:cs="Times New Roman"/>
                <w:color w:val="000000"/>
                <w:sz w:val="18"/>
                <w:szCs w:val="18"/>
              </w:rPr>
            </w:pPr>
            <w:r w:rsidRPr="00D2619F">
              <w:rPr>
                <w:color w:val="000000"/>
                <w:sz w:val="18"/>
                <w:szCs w:val="18"/>
              </w:rPr>
              <w:t>-0,3</w:t>
            </w:r>
          </w:p>
        </w:tc>
        <w:tc>
          <w:tcPr>
            <w:tcW w:w="960" w:type="dxa"/>
            <w:gridSpan w:val="2"/>
            <w:tcBorders>
              <w:top w:val="nil"/>
              <w:left w:val="nil"/>
              <w:bottom w:val="nil"/>
              <w:right w:val="nil"/>
            </w:tcBorders>
            <w:shd w:val="clear" w:color="auto" w:fill="auto"/>
            <w:vAlign w:val="center"/>
            <w:hideMark/>
          </w:tcPr>
          <w:p w14:paraId="2843DD83" w14:textId="77777777" w:rsidR="000F6636" w:rsidRPr="00D2619F" w:rsidRDefault="000F6636" w:rsidP="00484DB0">
            <w:pPr>
              <w:jc w:val="center"/>
              <w:rPr>
                <w:rFonts w:cs="Times New Roman"/>
                <w:color w:val="000000"/>
                <w:sz w:val="18"/>
                <w:szCs w:val="18"/>
              </w:rPr>
            </w:pPr>
            <w:r w:rsidRPr="00D2619F">
              <w:rPr>
                <w:color w:val="000000"/>
                <w:sz w:val="18"/>
                <w:szCs w:val="18"/>
              </w:rPr>
              <w:t>0,7</w:t>
            </w:r>
          </w:p>
        </w:tc>
        <w:tc>
          <w:tcPr>
            <w:tcW w:w="960" w:type="dxa"/>
            <w:gridSpan w:val="2"/>
            <w:tcBorders>
              <w:top w:val="nil"/>
              <w:left w:val="nil"/>
              <w:bottom w:val="nil"/>
              <w:right w:val="nil"/>
            </w:tcBorders>
            <w:shd w:val="clear" w:color="auto" w:fill="auto"/>
            <w:vAlign w:val="center"/>
            <w:hideMark/>
          </w:tcPr>
          <w:p w14:paraId="4E95C16E" w14:textId="77777777" w:rsidR="000F6636" w:rsidRPr="00D2619F" w:rsidRDefault="000F6636" w:rsidP="00484DB0">
            <w:pPr>
              <w:jc w:val="center"/>
              <w:rPr>
                <w:rFonts w:cs="Times New Roman"/>
                <w:color w:val="000000"/>
                <w:sz w:val="18"/>
                <w:szCs w:val="18"/>
              </w:rPr>
            </w:pPr>
            <w:r w:rsidRPr="00D2619F">
              <w:rPr>
                <w:color w:val="000000"/>
                <w:sz w:val="18"/>
                <w:szCs w:val="18"/>
              </w:rPr>
              <w:t>1,0</w:t>
            </w:r>
          </w:p>
        </w:tc>
        <w:tc>
          <w:tcPr>
            <w:tcW w:w="960" w:type="dxa"/>
            <w:gridSpan w:val="2"/>
            <w:tcBorders>
              <w:top w:val="nil"/>
              <w:left w:val="nil"/>
              <w:bottom w:val="nil"/>
              <w:right w:val="nil"/>
            </w:tcBorders>
            <w:shd w:val="clear" w:color="auto" w:fill="auto"/>
            <w:vAlign w:val="center"/>
            <w:hideMark/>
          </w:tcPr>
          <w:p w14:paraId="622A86CE" w14:textId="77777777" w:rsidR="000F6636" w:rsidRPr="00D2619F" w:rsidRDefault="000F6636" w:rsidP="00484DB0">
            <w:pPr>
              <w:jc w:val="center"/>
              <w:rPr>
                <w:rFonts w:cs="Times New Roman"/>
                <w:color w:val="000000"/>
                <w:sz w:val="18"/>
                <w:szCs w:val="18"/>
              </w:rPr>
            </w:pPr>
            <w:r w:rsidRPr="00D2619F">
              <w:rPr>
                <w:color w:val="000000"/>
                <w:sz w:val="18"/>
                <w:szCs w:val="18"/>
              </w:rPr>
              <w:t>0,8</w:t>
            </w:r>
          </w:p>
        </w:tc>
      </w:tr>
      <w:tr w:rsidR="000F6636" w:rsidRPr="0088520B" w14:paraId="30A7BCEE"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6B4D79A3" w14:textId="77777777" w:rsidR="000F6636" w:rsidRPr="00D2619F" w:rsidRDefault="000F6636" w:rsidP="00484DB0">
            <w:pPr>
              <w:rPr>
                <w:rFonts w:cs="Times New Roman"/>
                <w:sz w:val="18"/>
                <w:szCs w:val="18"/>
              </w:rPr>
            </w:pPr>
            <w:r w:rsidRPr="00D2619F">
              <w:rPr>
                <w:rFonts w:cs="Times New Roman"/>
                <w:sz w:val="18"/>
                <w:szCs w:val="18"/>
              </w:rPr>
              <w:t>7. Cyklická zložka rozpočtu</w:t>
            </w:r>
          </w:p>
        </w:tc>
        <w:tc>
          <w:tcPr>
            <w:tcW w:w="851" w:type="dxa"/>
            <w:gridSpan w:val="2"/>
            <w:tcBorders>
              <w:top w:val="nil"/>
              <w:left w:val="nil"/>
              <w:bottom w:val="nil"/>
              <w:right w:val="nil"/>
            </w:tcBorders>
            <w:shd w:val="clear" w:color="000000" w:fill="FFFFFF"/>
            <w:vAlign w:val="center"/>
            <w:hideMark/>
          </w:tcPr>
          <w:p w14:paraId="164047BF"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center"/>
            <w:hideMark/>
          </w:tcPr>
          <w:p w14:paraId="3B0D22A9" w14:textId="77777777" w:rsidR="000F6636" w:rsidRPr="00D2619F" w:rsidRDefault="000F6636" w:rsidP="00484DB0">
            <w:pPr>
              <w:jc w:val="center"/>
              <w:rPr>
                <w:rFonts w:cs="Times New Roman"/>
                <w:color w:val="000000"/>
                <w:sz w:val="18"/>
                <w:szCs w:val="18"/>
              </w:rPr>
            </w:pPr>
            <w:r w:rsidRPr="00D2619F">
              <w:rPr>
                <w:color w:val="000000"/>
                <w:sz w:val="18"/>
                <w:szCs w:val="18"/>
              </w:rPr>
              <w:t>-0,1</w:t>
            </w:r>
          </w:p>
        </w:tc>
        <w:tc>
          <w:tcPr>
            <w:tcW w:w="960" w:type="dxa"/>
            <w:gridSpan w:val="2"/>
            <w:tcBorders>
              <w:top w:val="nil"/>
              <w:left w:val="nil"/>
              <w:bottom w:val="nil"/>
              <w:right w:val="nil"/>
            </w:tcBorders>
            <w:shd w:val="clear" w:color="auto" w:fill="auto"/>
            <w:vAlign w:val="center"/>
            <w:hideMark/>
          </w:tcPr>
          <w:p w14:paraId="01F770AF" w14:textId="77777777" w:rsidR="000F6636" w:rsidRPr="00D2619F" w:rsidRDefault="000F6636" w:rsidP="00484DB0">
            <w:pPr>
              <w:jc w:val="center"/>
              <w:rPr>
                <w:rFonts w:cs="Times New Roman"/>
                <w:color w:val="000000"/>
                <w:sz w:val="18"/>
                <w:szCs w:val="18"/>
              </w:rPr>
            </w:pPr>
            <w:r w:rsidRPr="00D2619F">
              <w:rPr>
                <w:color w:val="000000"/>
                <w:sz w:val="18"/>
                <w:szCs w:val="18"/>
              </w:rPr>
              <w:t>-0,1</w:t>
            </w:r>
          </w:p>
        </w:tc>
        <w:tc>
          <w:tcPr>
            <w:tcW w:w="960" w:type="dxa"/>
            <w:gridSpan w:val="2"/>
            <w:tcBorders>
              <w:top w:val="nil"/>
              <w:left w:val="nil"/>
              <w:bottom w:val="nil"/>
              <w:right w:val="nil"/>
            </w:tcBorders>
            <w:shd w:val="clear" w:color="auto" w:fill="auto"/>
            <w:vAlign w:val="center"/>
            <w:hideMark/>
          </w:tcPr>
          <w:p w14:paraId="0CAAA166" w14:textId="77777777" w:rsidR="000F6636" w:rsidRPr="00D2619F" w:rsidRDefault="000F6636" w:rsidP="00484DB0">
            <w:pPr>
              <w:jc w:val="center"/>
              <w:rPr>
                <w:rFonts w:cs="Times New Roman"/>
                <w:color w:val="000000"/>
                <w:sz w:val="18"/>
                <w:szCs w:val="18"/>
              </w:rPr>
            </w:pPr>
            <w:r w:rsidRPr="00D2619F">
              <w:rPr>
                <w:color w:val="000000"/>
                <w:sz w:val="18"/>
                <w:szCs w:val="18"/>
              </w:rPr>
              <w:t>0,3</w:t>
            </w:r>
          </w:p>
        </w:tc>
        <w:tc>
          <w:tcPr>
            <w:tcW w:w="960" w:type="dxa"/>
            <w:gridSpan w:val="2"/>
            <w:tcBorders>
              <w:top w:val="nil"/>
              <w:left w:val="nil"/>
              <w:bottom w:val="nil"/>
              <w:right w:val="nil"/>
            </w:tcBorders>
            <w:shd w:val="clear" w:color="auto" w:fill="auto"/>
            <w:vAlign w:val="center"/>
            <w:hideMark/>
          </w:tcPr>
          <w:p w14:paraId="08FE85E6" w14:textId="77777777" w:rsidR="000F6636" w:rsidRPr="00D2619F" w:rsidRDefault="000F6636" w:rsidP="00484DB0">
            <w:pPr>
              <w:jc w:val="center"/>
              <w:rPr>
                <w:rFonts w:cs="Times New Roman"/>
                <w:color w:val="000000"/>
                <w:sz w:val="18"/>
                <w:szCs w:val="18"/>
              </w:rPr>
            </w:pPr>
            <w:r w:rsidRPr="00D2619F">
              <w:rPr>
                <w:color w:val="000000"/>
                <w:sz w:val="18"/>
                <w:szCs w:val="18"/>
              </w:rPr>
              <w:t>0,4</w:t>
            </w:r>
          </w:p>
        </w:tc>
        <w:tc>
          <w:tcPr>
            <w:tcW w:w="960" w:type="dxa"/>
            <w:gridSpan w:val="2"/>
            <w:tcBorders>
              <w:top w:val="nil"/>
              <w:left w:val="nil"/>
              <w:bottom w:val="nil"/>
              <w:right w:val="nil"/>
            </w:tcBorders>
            <w:shd w:val="clear" w:color="auto" w:fill="auto"/>
            <w:vAlign w:val="center"/>
            <w:hideMark/>
          </w:tcPr>
          <w:p w14:paraId="276389BC" w14:textId="77777777" w:rsidR="000F6636" w:rsidRPr="00D2619F" w:rsidRDefault="000F6636" w:rsidP="00484DB0">
            <w:pPr>
              <w:jc w:val="center"/>
              <w:rPr>
                <w:rFonts w:cs="Times New Roman"/>
                <w:color w:val="000000"/>
                <w:sz w:val="18"/>
                <w:szCs w:val="18"/>
              </w:rPr>
            </w:pPr>
            <w:r w:rsidRPr="00D2619F">
              <w:rPr>
                <w:color w:val="000000"/>
                <w:sz w:val="18"/>
                <w:szCs w:val="18"/>
              </w:rPr>
              <w:t>0,3</w:t>
            </w:r>
          </w:p>
        </w:tc>
      </w:tr>
      <w:tr w:rsidR="000F6636" w:rsidRPr="0088520B" w14:paraId="4EA17336" w14:textId="77777777" w:rsidTr="00C525B1">
        <w:trPr>
          <w:gridAfter w:val="1"/>
          <w:wAfter w:w="100" w:type="dxa"/>
          <w:trHeight w:val="283"/>
        </w:trPr>
        <w:tc>
          <w:tcPr>
            <w:tcW w:w="3544" w:type="dxa"/>
            <w:gridSpan w:val="2"/>
            <w:tcBorders>
              <w:top w:val="nil"/>
              <w:left w:val="nil"/>
              <w:bottom w:val="nil"/>
              <w:right w:val="nil"/>
            </w:tcBorders>
            <w:shd w:val="clear" w:color="000000" w:fill="FFFFFF"/>
            <w:vAlign w:val="center"/>
            <w:hideMark/>
          </w:tcPr>
          <w:p w14:paraId="2E07BBEC" w14:textId="77777777" w:rsidR="000F6636" w:rsidRPr="00D2619F" w:rsidRDefault="000F6636" w:rsidP="00484DB0">
            <w:pPr>
              <w:rPr>
                <w:rFonts w:cs="Times New Roman"/>
                <w:sz w:val="18"/>
                <w:szCs w:val="18"/>
              </w:rPr>
            </w:pPr>
            <w:r w:rsidRPr="00D2619F">
              <w:rPr>
                <w:rFonts w:cs="Times New Roman"/>
                <w:sz w:val="18"/>
                <w:szCs w:val="18"/>
              </w:rPr>
              <w:t>8. Cyklicky upravené saldo (2 - 7)</w:t>
            </w:r>
          </w:p>
        </w:tc>
        <w:tc>
          <w:tcPr>
            <w:tcW w:w="851" w:type="dxa"/>
            <w:gridSpan w:val="2"/>
            <w:tcBorders>
              <w:top w:val="nil"/>
              <w:left w:val="nil"/>
              <w:bottom w:val="nil"/>
              <w:right w:val="nil"/>
            </w:tcBorders>
            <w:shd w:val="clear" w:color="000000" w:fill="FFFFFF"/>
            <w:vAlign w:val="center"/>
            <w:hideMark/>
          </w:tcPr>
          <w:p w14:paraId="79C10ED1"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center"/>
            <w:hideMark/>
          </w:tcPr>
          <w:p w14:paraId="7E627011" w14:textId="77777777" w:rsidR="000F6636" w:rsidRPr="00D2619F" w:rsidRDefault="000F6636" w:rsidP="00484DB0">
            <w:pPr>
              <w:jc w:val="center"/>
              <w:rPr>
                <w:rFonts w:cs="Times New Roman"/>
                <w:color w:val="000000"/>
                <w:sz w:val="18"/>
                <w:szCs w:val="18"/>
              </w:rPr>
            </w:pPr>
            <w:r w:rsidRPr="00D2619F">
              <w:rPr>
                <w:color w:val="000000"/>
                <w:sz w:val="18"/>
                <w:szCs w:val="18"/>
              </w:rPr>
              <w:t>-4,8</w:t>
            </w:r>
          </w:p>
        </w:tc>
        <w:tc>
          <w:tcPr>
            <w:tcW w:w="960" w:type="dxa"/>
            <w:gridSpan w:val="2"/>
            <w:tcBorders>
              <w:top w:val="nil"/>
              <w:left w:val="nil"/>
              <w:bottom w:val="nil"/>
              <w:right w:val="nil"/>
            </w:tcBorders>
            <w:shd w:val="clear" w:color="auto" w:fill="auto"/>
            <w:vAlign w:val="center"/>
            <w:hideMark/>
          </w:tcPr>
          <w:p w14:paraId="21723E07" w14:textId="77777777" w:rsidR="000F6636" w:rsidRPr="00D2619F" w:rsidRDefault="000F6636" w:rsidP="00484DB0">
            <w:pPr>
              <w:jc w:val="center"/>
              <w:rPr>
                <w:rFonts w:cs="Times New Roman"/>
                <w:color w:val="000000"/>
                <w:sz w:val="18"/>
                <w:szCs w:val="18"/>
              </w:rPr>
            </w:pPr>
            <w:r w:rsidRPr="00D2619F">
              <w:rPr>
                <w:color w:val="000000"/>
                <w:sz w:val="18"/>
                <w:szCs w:val="18"/>
              </w:rPr>
              <w:t>-5,8</w:t>
            </w:r>
          </w:p>
        </w:tc>
        <w:tc>
          <w:tcPr>
            <w:tcW w:w="960" w:type="dxa"/>
            <w:gridSpan w:val="2"/>
            <w:tcBorders>
              <w:top w:val="nil"/>
              <w:left w:val="nil"/>
              <w:bottom w:val="nil"/>
              <w:right w:val="nil"/>
            </w:tcBorders>
            <w:shd w:val="clear" w:color="auto" w:fill="auto"/>
            <w:vAlign w:val="center"/>
            <w:hideMark/>
          </w:tcPr>
          <w:p w14:paraId="36C26424" w14:textId="77777777" w:rsidR="000F6636" w:rsidRPr="00D2619F" w:rsidRDefault="000F6636" w:rsidP="00484DB0">
            <w:pPr>
              <w:jc w:val="center"/>
              <w:rPr>
                <w:rFonts w:cs="Times New Roman"/>
                <w:color w:val="000000"/>
                <w:sz w:val="18"/>
                <w:szCs w:val="18"/>
              </w:rPr>
            </w:pPr>
            <w:r w:rsidRPr="00D2619F">
              <w:rPr>
                <w:color w:val="000000"/>
                <w:sz w:val="18"/>
                <w:szCs w:val="18"/>
              </w:rPr>
              <w:t>-5,7</w:t>
            </w:r>
          </w:p>
        </w:tc>
        <w:tc>
          <w:tcPr>
            <w:tcW w:w="960" w:type="dxa"/>
            <w:gridSpan w:val="2"/>
            <w:tcBorders>
              <w:top w:val="nil"/>
              <w:left w:val="nil"/>
              <w:bottom w:val="nil"/>
              <w:right w:val="nil"/>
            </w:tcBorders>
            <w:shd w:val="clear" w:color="auto" w:fill="auto"/>
            <w:vAlign w:val="center"/>
            <w:hideMark/>
          </w:tcPr>
          <w:p w14:paraId="5A888B7F" w14:textId="77777777" w:rsidR="000F6636" w:rsidRPr="00D2619F" w:rsidRDefault="000F6636" w:rsidP="00484DB0">
            <w:pPr>
              <w:jc w:val="center"/>
              <w:rPr>
                <w:rFonts w:cs="Times New Roman"/>
                <w:color w:val="000000"/>
                <w:sz w:val="18"/>
                <w:szCs w:val="18"/>
              </w:rPr>
            </w:pPr>
            <w:r w:rsidRPr="00D2619F">
              <w:rPr>
                <w:color w:val="000000"/>
                <w:sz w:val="18"/>
                <w:szCs w:val="18"/>
              </w:rPr>
              <w:t>-5,5</w:t>
            </w:r>
          </w:p>
        </w:tc>
        <w:tc>
          <w:tcPr>
            <w:tcW w:w="960" w:type="dxa"/>
            <w:gridSpan w:val="2"/>
            <w:tcBorders>
              <w:top w:val="nil"/>
              <w:left w:val="nil"/>
              <w:bottom w:val="nil"/>
              <w:right w:val="nil"/>
            </w:tcBorders>
            <w:shd w:val="clear" w:color="auto" w:fill="auto"/>
            <w:vAlign w:val="center"/>
            <w:hideMark/>
          </w:tcPr>
          <w:p w14:paraId="435C7FD9" w14:textId="77777777" w:rsidR="000F6636" w:rsidRPr="00D2619F" w:rsidRDefault="000F6636" w:rsidP="00484DB0">
            <w:pPr>
              <w:jc w:val="center"/>
              <w:rPr>
                <w:rFonts w:cs="Times New Roman"/>
                <w:color w:val="000000"/>
                <w:sz w:val="18"/>
                <w:szCs w:val="18"/>
              </w:rPr>
            </w:pPr>
            <w:r w:rsidRPr="00D2619F">
              <w:rPr>
                <w:color w:val="000000"/>
                <w:sz w:val="18"/>
                <w:szCs w:val="18"/>
              </w:rPr>
              <w:t>-5,8</w:t>
            </w:r>
          </w:p>
        </w:tc>
      </w:tr>
      <w:tr w:rsidR="000F6636" w:rsidRPr="0088520B" w14:paraId="766E2F89" w14:textId="77777777" w:rsidTr="00C525B1">
        <w:trPr>
          <w:gridAfter w:val="1"/>
          <w:wAfter w:w="100" w:type="dxa"/>
          <w:trHeight w:val="283"/>
        </w:trPr>
        <w:tc>
          <w:tcPr>
            <w:tcW w:w="3544" w:type="dxa"/>
            <w:gridSpan w:val="2"/>
            <w:tcBorders>
              <w:top w:val="nil"/>
              <w:left w:val="nil"/>
              <w:right w:val="nil"/>
            </w:tcBorders>
            <w:shd w:val="clear" w:color="000000" w:fill="FFFFFF"/>
            <w:vAlign w:val="center"/>
            <w:hideMark/>
          </w:tcPr>
          <w:p w14:paraId="22CDAE1E" w14:textId="77777777" w:rsidR="000F6636" w:rsidRPr="00D2619F" w:rsidRDefault="000F6636" w:rsidP="00484DB0">
            <w:pPr>
              <w:rPr>
                <w:rFonts w:cs="Times New Roman"/>
                <w:sz w:val="18"/>
                <w:szCs w:val="18"/>
              </w:rPr>
            </w:pPr>
            <w:r w:rsidRPr="00D2619F">
              <w:rPr>
                <w:rFonts w:cs="Times New Roman"/>
                <w:sz w:val="18"/>
                <w:szCs w:val="18"/>
              </w:rPr>
              <w:t>9. Cyklicky upravené primárne saldo (8 + 3)</w:t>
            </w:r>
          </w:p>
        </w:tc>
        <w:tc>
          <w:tcPr>
            <w:tcW w:w="851" w:type="dxa"/>
            <w:gridSpan w:val="2"/>
            <w:tcBorders>
              <w:top w:val="nil"/>
              <w:left w:val="nil"/>
              <w:right w:val="nil"/>
            </w:tcBorders>
            <w:shd w:val="clear" w:color="000000" w:fill="FFFFFF"/>
            <w:vAlign w:val="center"/>
            <w:hideMark/>
          </w:tcPr>
          <w:p w14:paraId="479D8406" w14:textId="77777777" w:rsidR="000F6636" w:rsidRPr="00D2619F" w:rsidRDefault="000F6636" w:rsidP="00484DB0">
            <w:pPr>
              <w:jc w:val="center"/>
              <w:rPr>
                <w:rFonts w:cs="Times New Roman"/>
                <w:sz w:val="18"/>
                <w:szCs w:val="18"/>
              </w:rPr>
            </w:pPr>
          </w:p>
        </w:tc>
        <w:tc>
          <w:tcPr>
            <w:tcW w:w="765" w:type="dxa"/>
            <w:gridSpan w:val="2"/>
            <w:tcBorders>
              <w:top w:val="nil"/>
              <w:left w:val="nil"/>
              <w:bottom w:val="nil"/>
              <w:right w:val="nil"/>
            </w:tcBorders>
            <w:shd w:val="clear" w:color="auto" w:fill="auto"/>
            <w:vAlign w:val="center"/>
            <w:hideMark/>
          </w:tcPr>
          <w:p w14:paraId="00DEACD4" w14:textId="77777777" w:rsidR="000F6636" w:rsidRPr="00D2619F" w:rsidRDefault="000F6636" w:rsidP="00484DB0">
            <w:pPr>
              <w:jc w:val="center"/>
              <w:rPr>
                <w:rFonts w:cs="Times New Roman"/>
                <w:color w:val="000000"/>
                <w:sz w:val="18"/>
                <w:szCs w:val="18"/>
              </w:rPr>
            </w:pPr>
            <w:r w:rsidRPr="00D2619F">
              <w:rPr>
                <w:color w:val="000000"/>
                <w:sz w:val="18"/>
                <w:szCs w:val="18"/>
              </w:rPr>
              <w:t>-3,6</w:t>
            </w:r>
          </w:p>
        </w:tc>
        <w:tc>
          <w:tcPr>
            <w:tcW w:w="960" w:type="dxa"/>
            <w:gridSpan w:val="2"/>
            <w:tcBorders>
              <w:top w:val="nil"/>
              <w:left w:val="nil"/>
              <w:bottom w:val="nil"/>
              <w:right w:val="nil"/>
            </w:tcBorders>
            <w:shd w:val="clear" w:color="auto" w:fill="auto"/>
            <w:vAlign w:val="center"/>
            <w:hideMark/>
          </w:tcPr>
          <w:p w14:paraId="799901E6" w14:textId="77777777" w:rsidR="000F6636" w:rsidRPr="00D2619F" w:rsidRDefault="000F6636" w:rsidP="00484DB0">
            <w:pPr>
              <w:jc w:val="center"/>
              <w:rPr>
                <w:rFonts w:cs="Times New Roman"/>
                <w:color w:val="000000"/>
                <w:sz w:val="18"/>
                <w:szCs w:val="18"/>
              </w:rPr>
            </w:pPr>
            <w:r w:rsidRPr="00D2619F">
              <w:rPr>
                <w:color w:val="000000"/>
                <w:sz w:val="18"/>
                <w:szCs w:val="18"/>
              </w:rPr>
              <w:t>-4,4</w:t>
            </w:r>
          </w:p>
        </w:tc>
        <w:tc>
          <w:tcPr>
            <w:tcW w:w="960" w:type="dxa"/>
            <w:gridSpan w:val="2"/>
            <w:tcBorders>
              <w:top w:val="nil"/>
              <w:left w:val="nil"/>
              <w:bottom w:val="nil"/>
              <w:right w:val="nil"/>
            </w:tcBorders>
            <w:shd w:val="clear" w:color="auto" w:fill="auto"/>
            <w:vAlign w:val="center"/>
            <w:hideMark/>
          </w:tcPr>
          <w:p w14:paraId="7DEAE04B" w14:textId="77777777" w:rsidR="000F6636" w:rsidRPr="00D2619F" w:rsidRDefault="000F6636" w:rsidP="00484DB0">
            <w:pPr>
              <w:jc w:val="center"/>
              <w:rPr>
                <w:rFonts w:cs="Times New Roman"/>
                <w:color w:val="000000"/>
                <w:sz w:val="18"/>
                <w:szCs w:val="18"/>
              </w:rPr>
            </w:pPr>
            <w:r w:rsidRPr="00D2619F">
              <w:rPr>
                <w:color w:val="000000"/>
                <w:sz w:val="18"/>
                <w:szCs w:val="18"/>
              </w:rPr>
              <w:t>-4,1</w:t>
            </w:r>
          </w:p>
        </w:tc>
        <w:tc>
          <w:tcPr>
            <w:tcW w:w="960" w:type="dxa"/>
            <w:gridSpan w:val="2"/>
            <w:tcBorders>
              <w:top w:val="nil"/>
              <w:left w:val="nil"/>
              <w:bottom w:val="nil"/>
              <w:right w:val="nil"/>
            </w:tcBorders>
            <w:shd w:val="clear" w:color="auto" w:fill="auto"/>
            <w:vAlign w:val="center"/>
            <w:hideMark/>
          </w:tcPr>
          <w:p w14:paraId="36AB9FD9" w14:textId="77777777" w:rsidR="000F6636" w:rsidRPr="00D2619F" w:rsidRDefault="000F6636" w:rsidP="00484DB0">
            <w:pPr>
              <w:jc w:val="center"/>
              <w:rPr>
                <w:rFonts w:cs="Times New Roman"/>
                <w:color w:val="000000"/>
                <w:sz w:val="18"/>
                <w:szCs w:val="18"/>
              </w:rPr>
            </w:pPr>
            <w:r w:rsidRPr="00D2619F">
              <w:rPr>
                <w:color w:val="000000"/>
                <w:sz w:val="18"/>
                <w:szCs w:val="18"/>
              </w:rPr>
              <w:t>-3,9</w:t>
            </w:r>
          </w:p>
        </w:tc>
        <w:tc>
          <w:tcPr>
            <w:tcW w:w="960" w:type="dxa"/>
            <w:gridSpan w:val="2"/>
            <w:tcBorders>
              <w:top w:val="nil"/>
              <w:left w:val="nil"/>
              <w:bottom w:val="nil"/>
              <w:right w:val="nil"/>
            </w:tcBorders>
            <w:shd w:val="clear" w:color="auto" w:fill="auto"/>
            <w:vAlign w:val="center"/>
            <w:hideMark/>
          </w:tcPr>
          <w:p w14:paraId="71201262" w14:textId="77777777" w:rsidR="000F6636" w:rsidRPr="00D2619F" w:rsidRDefault="000F6636" w:rsidP="00484DB0">
            <w:pPr>
              <w:jc w:val="center"/>
              <w:rPr>
                <w:rFonts w:cs="Times New Roman"/>
                <w:color w:val="000000"/>
                <w:sz w:val="18"/>
                <w:szCs w:val="18"/>
              </w:rPr>
            </w:pPr>
            <w:r w:rsidRPr="00D2619F">
              <w:rPr>
                <w:color w:val="000000"/>
                <w:sz w:val="18"/>
                <w:szCs w:val="18"/>
              </w:rPr>
              <w:t>-3,9</w:t>
            </w:r>
          </w:p>
        </w:tc>
      </w:tr>
      <w:tr w:rsidR="000F6636" w:rsidRPr="0088520B" w14:paraId="4816C9E1" w14:textId="77777777" w:rsidTr="00C525B1">
        <w:trPr>
          <w:gridAfter w:val="1"/>
          <w:wAfter w:w="100" w:type="dxa"/>
          <w:trHeight w:val="283"/>
        </w:trPr>
        <w:tc>
          <w:tcPr>
            <w:tcW w:w="3544" w:type="dxa"/>
            <w:gridSpan w:val="2"/>
            <w:tcBorders>
              <w:top w:val="nil"/>
              <w:left w:val="nil"/>
              <w:bottom w:val="single" w:sz="8" w:space="0" w:color="auto"/>
              <w:right w:val="nil"/>
            </w:tcBorders>
            <w:shd w:val="clear" w:color="000000" w:fill="FFFFFF"/>
            <w:vAlign w:val="center"/>
            <w:hideMark/>
          </w:tcPr>
          <w:p w14:paraId="7C22975F" w14:textId="77777777" w:rsidR="000F6636" w:rsidRPr="00D2619F" w:rsidRDefault="000F6636" w:rsidP="00484DB0">
            <w:pPr>
              <w:rPr>
                <w:rFonts w:cs="Times New Roman"/>
                <w:sz w:val="18"/>
                <w:szCs w:val="18"/>
              </w:rPr>
            </w:pPr>
            <w:r w:rsidRPr="00D2619F">
              <w:rPr>
                <w:rFonts w:cs="Times New Roman"/>
                <w:sz w:val="18"/>
                <w:szCs w:val="18"/>
              </w:rPr>
              <w:t>10. Štrukturálne saldo (8 - 4)</w:t>
            </w:r>
          </w:p>
        </w:tc>
        <w:tc>
          <w:tcPr>
            <w:tcW w:w="851" w:type="dxa"/>
            <w:gridSpan w:val="2"/>
            <w:tcBorders>
              <w:top w:val="nil"/>
              <w:left w:val="nil"/>
              <w:bottom w:val="single" w:sz="8" w:space="0" w:color="auto"/>
              <w:right w:val="nil"/>
            </w:tcBorders>
            <w:shd w:val="clear" w:color="000000" w:fill="FFFFFF"/>
            <w:vAlign w:val="center"/>
            <w:hideMark/>
          </w:tcPr>
          <w:p w14:paraId="56161A69" w14:textId="77777777" w:rsidR="000F6636" w:rsidRPr="00D2619F" w:rsidRDefault="000F6636" w:rsidP="00484DB0">
            <w:pPr>
              <w:jc w:val="center"/>
              <w:rPr>
                <w:rFonts w:cs="Times New Roman"/>
                <w:sz w:val="18"/>
                <w:szCs w:val="18"/>
              </w:rPr>
            </w:pPr>
          </w:p>
        </w:tc>
        <w:tc>
          <w:tcPr>
            <w:tcW w:w="765" w:type="dxa"/>
            <w:gridSpan w:val="2"/>
            <w:tcBorders>
              <w:top w:val="nil"/>
              <w:left w:val="nil"/>
              <w:bottom w:val="single" w:sz="4" w:space="0" w:color="auto"/>
              <w:right w:val="nil"/>
            </w:tcBorders>
            <w:shd w:val="clear" w:color="auto" w:fill="auto"/>
            <w:vAlign w:val="center"/>
            <w:hideMark/>
          </w:tcPr>
          <w:p w14:paraId="29001493" w14:textId="77777777" w:rsidR="000F6636" w:rsidRPr="00D2619F" w:rsidRDefault="000F6636" w:rsidP="00484DB0">
            <w:pPr>
              <w:jc w:val="center"/>
              <w:rPr>
                <w:rFonts w:cs="Times New Roman"/>
                <w:color w:val="000000"/>
                <w:sz w:val="18"/>
                <w:szCs w:val="18"/>
              </w:rPr>
            </w:pPr>
            <w:r w:rsidRPr="00D2619F">
              <w:rPr>
                <w:color w:val="000000"/>
                <w:sz w:val="18"/>
                <w:szCs w:val="18"/>
              </w:rPr>
              <w:t>-4,8</w:t>
            </w:r>
          </w:p>
        </w:tc>
        <w:tc>
          <w:tcPr>
            <w:tcW w:w="960" w:type="dxa"/>
            <w:gridSpan w:val="2"/>
            <w:tcBorders>
              <w:top w:val="nil"/>
              <w:left w:val="nil"/>
              <w:bottom w:val="single" w:sz="4" w:space="0" w:color="auto"/>
              <w:right w:val="nil"/>
            </w:tcBorders>
            <w:shd w:val="clear" w:color="auto" w:fill="auto"/>
            <w:vAlign w:val="center"/>
            <w:hideMark/>
          </w:tcPr>
          <w:p w14:paraId="03220A7F" w14:textId="77777777" w:rsidR="000F6636" w:rsidRPr="00D2619F" w:rsidRDefault="000F6636" w:rsidP="00484DB0">
            <w:pPr>
              <w:jc w:val="center"/>
              <w:rPr>
                <w:rFonts w:cs="Times New Roman"/>
                <w:color w:val="000000"/>
                <w:sz w:val="18"/>
                <w:szCs w:val="18"/>
              </w:rPr>
            </w:pPr>
            <w:r w:rsidRPr="00D2619F">
              <w:rPr>
                <w:color w:val="000000"/>
                <w:sz w:val="18"/>
                <w:szCs w:val="18"/>
              </w:rPr>
              <w:t>-5,8</w:t>
            </w:r>
          </w:p>
        </w:tc>
        <w:tc>
          <w:tcPr>
            <w:tcW w:w="960" w:type="dxa"/>
            <w:gridSpan w:val="2"/>
            <w:tcBorders>
              <w:top w:val="nil"/>
              <w:left w:val="nil"/>
              <w:bottom w:val="single" w:sz="4" w:space="0" w:color="auto"/>
              <w:right w:val="nil"/>
            </w:tcBorders>
            <w:shd w:val="clear" w:color="auto" w:fill="auto"/>
            <w:vAlign w:val="center"/>
            <w:hideMark/>
          </w:tcPr>
          <w:p w14:paraId="4BF95B5D" w14:textId="77777777" w:rsidR="000F6636" w:rsidRPr="00D2619F" w:rsidRDefault="000F6636" w:rsidP="00484DB0">
            <w:pPr>
              <w:jc w:val="center"/>
              <w:rPr>
                <w:rFonts w:cs="Times New Roman"/>
                <w:color w:val="000000"/>
                <w:sz w:val="18"/>
                <w:szCs w:val="18"/>
              </w:rPr>
            </w:pPr>
            <w:r w:rsidRPr="00D2619F">
              <w:rPr>
                <w:color w:val="000000"/>
                <w:sz w:val="18"/>
                <w:szCs w:val="18"/>
              </w:rPr>
              <w:t>-5,7</w:t>
            </w:r>
          </w:p>
        </w:tc>
        <w:tc>
          <w:tcPr>
            <w:tcW w:w="960" w:type="dxa"/>
            <w:gridSpan w:val="2"/>
            <w:tcBorders>
              <w:top w:val="nil"/>
              <w:left w:val="nil"/>
              <w:bottom w:val="single" w:sz="4" w:space="0" w:color="auto"/>
              <w:right w:val="nil"/>
            </w:tcBorders>
            <w:shd w:val="clear" w:color="auto" w:fill="auto"/>
            <w:vAlign w:val="center"/>
            <w:hideMark/>
          </w:tcPr>
          <w:p w14:paraId="3832E597" w14:textId="77777777" w:rsidR="000F6636" w:rsidRPr="00D2619F" w:rsidRDefault="000F6636" w:rsidP="00484DB0">
            <w:pPr>
              <w:jc w:val="center"/>
              <w:rPr>
                <w:rFonts w:cs="Times New Roman"/>
                <w:color w:val="000000"/>
                <w:sz w:val="18"/>
                <w:szCs w:val="18"/>
              </w:rPr>
            </w:pPr>
            <w:r w:rsidRPr="00D2619F">
              <w:rPr>
                <w:color w:val="000000"/>
                <w:sz w:val="18"/>
                <w:szCs w:val="18"/>
              </w:rPr>
              <w:t>-5,5</w:t>
            </w:r>
          </w:p>
        </w:tc>
        <w:tc>
          <w:tcPr>
            <w:tcW w:w="960" w:type="dxa"/>
            <w:gridSpan w:val="2"/>
            <w:tcBorders>
              <w:top w:val="nil"/>
              <w:left w:val="nil"/>
              <w:bottom w:val="single" w:sz="4" w:space="0" w:color="auto"/>
              <w:right w:val="nil"/>
            </w:tcBorders>
            <w:shd w:val="clear" w:color="auto" w:fill="auto"/>
            <w:vAlign w:val="center"/>
            <w:hideMark/>
          </w:tcPr>
          <w:p w14:paraId="139EA46E" w14:textId="77777777" w:rsidR="000F6636" w:rsidRPr="00D2619F" w:rsidRDefault="000F6636" w:rsidP="00484DB0">
            <w:pPr>
              <w:jc w:val="center"/>
              <w:rPr>
                <w:rFonts w:cs="Times New Roman"/>
                <w:color w:val="000000"/>
                <w:sz w:val="18"/>
                <w:szCs w:val="18"/>
              </w:rPr>
            </w:pPr>
            <w:r w:rsidRPr="00D2619F">
              <w:rPr>
                <w:color w:val="000000"/>
                <w:sz w:val="18"/>
                <w:szCs w:val="18"/>
              </w:rPr>
              <w:t>-5,8</w:t>
            </w:r>
          </w:p>
        </w:tc>
      </w:tr>
      <w:tr w:rsidR="000F6636" w:rsidRPr="0088520B" w14:paraId="78417E39" w14:textId="77777777" w:rsidTr="00484DB0">
        <w:trPr>
          <w:gridAfter w:val="1"/>
          <w:wAfter w:w="100" w:type="dxa"/>
          <w:trHeight w:val="283"/>
        </w:trPr>
        <w:tc>
          <w:tcPr>
            <w:tcW w:w="7080" w:type="dxa"/>
            <w:gridSpan w:val="10"/>
            <w:tcBorders>
              <w:top w:val="single" w:sz="8" w:space="0" w:color="auto"/>
              <w:left w:val="nil"/>
              <w:bottom w:val="nil"/>
              <w:right w:val="nil"/>
            </w:tcBorders>
            <w:shd w:val="clear" w:color="000000" w:fill="FFFFFF"/>
            <w:vAlign w:val="bottom"/>
            <w:hideMark/>
          </w:tcPr>
          <w:p w14:paraId="2D4BA63D" w14:textId="4DEFA76D" w:rsidR="000F6636" w:rsidRPr="00AE77A4" w:rsidRDefault="00C525B1" w:rsidP="00484DB0">
            <w:pPr>
              <w:rPr>
                <w:rFonts w:cs="Times New Roman"/>
                <w:i/>
                <w:iCs/>
                <w:sz w:val="16"/>
                <w:szCs w:val="18"/>
              </w:rPr>
            </w:pPr>
            <w:r w:rsidRPr="00AE77A4">
              <w:rPr>
                <w:rFonts w:cs="Times New Roman"/>
                <w:i/>
                <w:iCs/>
                <w:sz w:val="16"/>
                <w:szCs w:val="18"/>
              </w:rPr>
              <w:t>* Pre rok 202</w:t>
            </w:r>
            <w:r>
              <w:rPr>
                <w:rFonts w:cs="Times New Roman"/>
                <w:i/>
                <w:iCs/>
                <w:sz w:val="16"/>
                <w:szCs w:val="18"/>
              </w:rPr>
              <w:t>4</w:t>
            </w:r>
            <w:r w:rsidRPr="00AE77A4">
              <w:rPr>
                <w:rFonts w:cs="Times New Roman"/>
                <w:i/>
                <w:iCs/>
                <w:sz w:val="16"/>
                <w:szCs w:val="18"/>
              </w:rPr>
              <w:t xml:space="preserve"> uvádzame očakávanú skutočnosť.</w:t>
            </w:r>
          </w:p>
        </w:tc>
        <w:tc>
          <w:tcPr>
            <w:tcW w:w="1920" w:type="dxa"/>
            <w:gridSpan w:val="4"/>
            <w:tcBorders>
              <w:top w:val="single" w:sz="8" w:space="0" w:color="auto"/>
              <w:left w:val="nil"/>
              <w:bottom w:val="nil"/>
              <w:right w:val="nil"/>
            </w:tcBorders>
            <w:shd w:val="clear" w:color="000000" w:fill="FFFFFF"/>
            <w:noWrap/>
            <w:vAlign w:val="bottom"/>
            <w:hideMark/>
          </w:tcPr>
          <w:p w14:paraId="4A354268" w14:textId="77777777" w:rsidR="000F6636" w:rsidRPr="00D2619F" w:rsidRDefault="000F6636" w:rsidP="00484DB0">
            <w:pPr>
              <w:jc w:val="right"/>
              <w:rPr>
                <w:rFonts w:cs="Times New Roman"/>
                <w:i/>
                <w:iCs/>
                <w:sz w:val="18"/>
                <w:szCs w:val="18"/>
              </w:rPr>
            </w:pPr>
            <w:r w:rsidRPr="00D2619F">
              <w:rPr>
                <w:rFonts w:cs="Times New Roman"/>
                <w:i/>
                <w:iCs/>
                <w:sz w:val="16"/>
                <w:szCs w:val="18"/>
              </w:rPr>
              <w:t>Zdroj: MF SR</w:t>
            </w:r>
          </w:p>
        </w:tc>
      </w:tr>
      <w:tr w:rsidR="000F6636" w:rsidRPr="0088520B" w14:paraId="6072F3FA" w14:textId="77777777" w:rsidTr="00484DB0">
        <w:trPr>
          <w:gridAfter w:val="1"/>
          <w:wAfter w:w="100" w:type="dxa"/>
          <w:trHeight w:val="283"/>
        </w:trPr>
        <w:tc>
          <w:tcPr>
            <w:tcW w:w="5160" w:type="dxa"/>
            <w:gridSpan w:val="6"/>
            <w:tcBorders>
              <w:top w:val="nil"/>
              <w:left w:val="nil"/>
              <w:bottom w:val="nil"/>
              <w:right w:val="nil"/>
            </w:tcBorders>
            <w:shd w:val="clear" w:color="000000" w:fill="FFFFFF"/>
            <w:hideMark/>
          </w:tcPr>
          <w:p w14:paraId="6A6F9DB8" w14:textId="77777777" w:rsidR="000F6636" w:rsidRPr="00AE77A4" w:rsidRDefault="000F6636" w:rsidP="00484DB0">
            <w:pPr>
              <w:rPr>
                <w:rFonts w:cs="Times New Roman"/>
                <w:i/>
                <w:iCs/>
                <w:sz w:val="18"/>
                <w:szCs w:val="18"/>
              </w:rPr>
            </w:pPr>
          </w:p>
          <w:p w14:paraId="57028B56" w14:textId="77777777" w:rsidR="000F6636" w:rsidRPr="00AE77A4" w:rsidRDefault="000F6636" w:rsidP="00484DB0">
            <w:pPr>
              <w:rPr>
                <w:rFonts w:ascii="Times New Roman" w:hAnsi="Times New Roman" w:cs="Times New Roman"/>
                <w:i/>
                <w:iCs/>
                <w:sz w:val="18"/>
                <w:szCs w:val="18"/>
              </w:rPr>
            </w:pPr>
          </w:p>
        </w:tc>
        <w:tc>
          <w:tcPr>
            <w:tcW w:w="960" w:type="dxa"/>
            <w:gridSpan w:val="2"/>
            <w:tcBorders>
              <w:top w:val="nil"/>
              <w:left w:val="nil"/>
              <w:bottom w:val="nil"/>
              <w:right w:val="nil"/>
            </w:tcBorders>
            <w:shd w:val="clear" w:color="auto" w:fill="auto"/>
            <w:noWrap/>
            <w:vAlign w:val="bottom"/>
            <w:hideMark/>
          </w:tcPr>
          <w:p w14:paraId="17A846E0" w14:textId="77777777" w:rsidR="000F6636" w:rsidRPr="00AE77A4" w:rsidRDefault="000F6636" w:rsidP="00484DB0">
            <w:pPr>
              <w:rPr>
                <w:rFonts w:ascii="Times New Roman" w:hAnsi="Times New Roman" w:cs="Times New Roman"/>
                <w:i/>
                <w:iCs/>
                <w:sz w:val="18"/>
                <w:szCs w:val="18"/>
              </w:rPr>
            </w:pPr>
          </w:p>
        </w:tc>
        <w:tc>
          <w:tcPr>
            <w:tcW w:w="960" w:type="dxa"/>
            <w:gridSpan w:val="2"/>
            <w:tcBorders>
              <w:top w:val="nil"/>
              <w:left w:val="nil"/>
              <w:bottom w:val="nil"/>
              <w:right w:val="nil"/>
            </w:tcBorders>
            <w:shd w:val="clear" w:color="auto" w:fill="auto"/>
            <w:noWrap/>
            <w:vAlign w:val="bottom"/>
            <w:hideMark/>
          </w:tcPr>
          <w:p w14:paraId="2DB3B0AE" w14:textId="77777777" w:rsidR="000F6636" w:rsidRPr="00AE77A4" w:rsidRDefault="000F6636" w:rsidP="00484DB0">
            <w:pPr>
              <w:rPr>
                <w:rFonts w:ascii="Times New Roman" w:hAnsi="Times New Roman" w:cs="Times New Roman"/>
                <w:i/>
                <w:iCs/>
                <w:sz w:val="18"/>
                <w:szCs w:val="18"/>
              </w:rPr>
            </w:pPr>
          </w:p>
        </w:tc>
        <w:tc>
          <w:tcPr>
            <w:tcW w:w="960" w:type="dxa"/>
            <w:gridSpan w:val="2"/>
            <w:tcBorders>
              <w:top w:val="nil"/>
              <w:left w:val="nil"/>
              <w:bottom w:val="nil"/>
              <w:right w:val="nil"/>
            </w:tcBorders>
            <w:shd w:val="clear" w:color="auto" w:fill="auto"/>
            <w:noWrap/>
            <w:vAlign w:val="bottom"/>
            <w:hideMark/>
          </w:tcPr>
          <w:p w14:paraId="618DCA9E" w14:textId="77777777" w:rsidR="000F6636" w:rsidRPr="00D2619F" w:rsidRDefault="000F6636" w:rsidP="00484DB0">
            <w:pPr>
              <w:rPr>
                <w:rFonts w:ascii="Times New Roman" w:hAnsi="Times New Roman" w:cs="Times New Roman"/>
                <w:sz w:val="18"/>
                <w:szCs w:val="18"/>
              </w:rPr>
            </w:pPr>
          </w:p>
        </w:tc>
        <w:tc>
          <w:tcPr>
            <w:tcW w:w="960" w:type="dxa"/>
            <w:gridSpan w:val="2"/>
            <w:tcBorders>
              <w:top w:val="nil"/>
              <w:left w:val="nil"/>
              <w:bottom w:val="nil"/>
              <w:right w:val="nil"/>
            </w:tcBorders>
            <w:shd w:val="clear" w:color="auto" w:fill="auto"/>
            <w:noWrap/>
            <w:vAlign w:val="bottom"/>
            <w:hideMark/>
          </w:tcPr>
          <w:p w14:paraId="17A2ED36" w14:textId="77777777" w:rsidR="000F6636" w:rsidRPr="00D2619F" w:rsidRDefault="000F6636" w:rsidP="00484DB0">
            <w:pPr>
              <w:rPr>
                <w:rFonts w:ascii="Times New Roman" w:hAnsi="Times New Roman" w:cs="Times New Roman"/>
                <w:sz w:val="18"/>
                <w:szCs w:val="18"/>
              </w:rPr>
            </w:pPr>
          </w:p>
        </w:tc>
      </w:tr>
      <w:tr w:rsidR="000F6636" w:rsidRPr="0088520B" w14:paraId="5AA70C89" w14:textId="77777777" w:rsidTr="00484DB0">
        <w:trPr>
          <w:trHeight w:val="283"/>
        </w:trPr>
        <w:tc>
          <w:tcPr>
            <w:tcW w:w="9100" w:type="dxa"/>
            <w:gridSpan w:val="15"/>
            <w:tcBorders>
              <w:top w:val="nil"/>
              <w:left w:val="nil"/>
              <w:bottom w:val="single" w:sz="8" w:space="0" w:color="auto"/>
              <w:right w:val="nil"/>
            </w:tcBorders>
            <w:shd w:val="clear" w:color="auto" w:fill="auto"/>
            <w:noWrap/>
            <w:vAlign w:val="bottom"/>
            <w:hideMark/>
          </w:tcPr>
          <w:p w14:paraId="3506A2F9" w14:textId="77777777" w:rsidR="000F6636" w:rsidRPr="00AE77A4" w:rsidRDefault="000F6636" w:rsidP="00484DB0">
            <w:pPr>
              <w:rPr>
                <w:rFonts w:eastAsia="Calibri"/>
                <w:b/>
                <w:color w:val="2C9ADC"/>
                <w:sz w:val="18"/>
                <w:szCs w:val="18"/>
              </w:rPr>
            </w:pPr>
            <w:bookmarkStart w:id="274" w:name="RANGE!A3"/>
            <w:bookmarkStart w:id="275" w:name="_Toc480905420"/>
            <w:bookmarkStart w:id="276" w:name="_Toc6314227"/>
            <w:bookmarkStart w:id="277" w:name="_Toc71622467"/>
            <w:r w:rsidRPr="00AE77A4">
              <w:rPr>
                <w:rFonts w:eastAsia="Calibri"/>
                <w:b/>
                <w:color w:val="2C9ADC"/>
                <w:sz w:val="20"/>
                <w:szCs w:val="18"/>
              </w:rPr>
              <w:t xml:space="preserve">Tabuľka 6 </w:t>
            </w:r>
            <w:r w:rsidRPr="00AE77A4">
              <w:rPr>
                <w:rFonts w:eastAsia="Calibri"/>
                <w:b/>
                <w:color w:val="2C9ADC"/>
                <w:sz w:val="20"/>
                <w:szCs w:val="20"/>
              </w:rPr>
              <w:t>–</w:t>
            </w:r>
            <w:r w:rsidRPr="00AE77A4">
              <w:rPr>
                <w:rFonts w:eastAsia="Calibri"/>
                <w:b/>
                <w:color w:val="2C9ADC"/>
                <w:sz w:val="20"/>
                <w:szCs w:val="18"/>
              </w:rPr>
              <w:t xml:space="preserve"> Porovnanie predchádzajúcej a aktualizovanej prognózy</w:t>
            </w:r>
            <w:bookmarkEnd w:id="274"/>
            <w:bookmarkEnd w:id="275"/>
            <w:bookmarkEnd w:id="276"/>
            <w:bookmarkEnd w:id="277"/>
            <w:r w:rsidRPr="00AE77A4">
              <w:rPr>
                <w:rFonts w:eastAsia="Calibri"/>
                <w:b/>
                <w:color w:val="2C9ADC"/>
                <w:sz w:val="20"/>
                <w:szCs w:val="18"/>
              </w:rPr>
              <w:t> </w:t>
            </w:r>
          </w:p>
        </w:tc>
      </w:tr>
      <w:tr w:rsidR="000F6636" w:rsidRPr="0088520B" w14:paraId="58EE6A14" w14:textId="77777777" w:rsidTr="00484DB0">
        <w:trPr>
          <w:trHeight w:val="283"/>
        </w:trPr>
        <w:tc>
          <w:tcPr>
            <w:tcW w:w="2880" w:type="dxa"/>
            <w:tcBorders>
              <w:top w:val="nil"/>
              <w:left w:val="nil"/>
              <w:bottom w:val="nil"/>
              <w:right w:val="nil"/>
            </w:tcBorders>
            <w:shd w:val="clear" w:color="auto" w:fill="auto"/>
            <w:vAlign w:val="center"/>
            <w:hideMark/>
          </w:tcPr>
          <w:p w14:paraId="5598DB0E" w14:textId="77777777" w:rsidR="000F6636" w:rsidRPr="00AE77A4" w:rsidRDefault="000F6636" w:rsidP="00484DB0">
            <w:pPr>
              <w:rPr>
                <w:rFonts w:cs="Times New Roman"/>
                <w:b/>
                <w:bCs/>
                <w:color w:val="2C9ADC"/>
                <w:sz w:val="18"/>
                <w:szCs w:val="18"/>
              </w:rPr>
            </w:pPr>
          </w:p>
        </w:tc>
        <w:tc>
          <w:tcPr>
            <w:tcW w:w="818" w:type="dxa"/>
            <w:gridSpan w:val="2"/>
            <w:tcBorders>
              <w:top w:val="nil"/>
              <w:left w:val="nil"/>
              <w:bottom w:val="nil"/>
              <w:right w:val="nil"/>
            </w:tcBorders>
            <w:shd w:val="clear" w:color="auto" w:fill="auto"/>
            <w:vAlign w:val="center"/>
            <w:hideMark/>
          </w:tcPr>
          <w:p w14:paraId="64188884" w14:textId="77777777" w:rsidR="000F6636" w:rsidRPr="00AE77A4" w:rsidRDefault="000F6636" w:rsidP="00484DB0">
            <w:pPr>
              <w:rPr>
                <w:rFonts w:cs="Times New Roman"/>
                <w:color w:val="000000"/>
                <w:sz w:val="18"/>
                <w:szCs w:val="18"/>
              </w:rPr>
            </w:pPr>
            <w:r w:rsidRPr="00AE77A4">
              <w:rPr>
                <w:rFonts w:cs="Times New Roman"/>
                <w:color w:val="000000"/>
                <w:sz w:val="18"/>
                <w:szCs w:val="18"/>
              </w:rPr>
              <w:t xml:space="preserve">ESA kód </w:t>
            </w:r>
          </w:p>
        </w:tc>
        <w:tc>
          <w:tcPr>
            <w:tcW w:w="886" w:type="dxa"/>
            <w:gridSpan w:val="2"/>
            <w:tcBorders>
              <w:top w:val="nil"/>
              <w:left w:val="nil"/>
              <w:bottom w:val="nil"/>
              <w:right w:val="nil"/>
            </w:tcBorders>
            <w:shd w:val="clear" w:color="auto" w:fill="auto"/>
            <w:vAlign w:val="center"/>
          </w:tcPr>
          <w:p w14:paraId="1C3A2764" w14:textId="77777777" w:rsidR="000F6636" w:rsidRPr="00AE77A4" w:rsidRDefault="000F6636" w:rsidP="00484DB0">
            <w:pPr>
              <w:jc w:val="center"/>
              <w:rPr>
                <w:rFonts w:cs="Times New Roman"/>
                <w:b/>
                <w:bCs/>
                <w:color w:val="000000"/>
                <w:sz w:val="18"/>
                <w:szCs w:val="18"/>
              </w:rPr>
            </w:pPr>
          </w:p>
        </w:tc>
        <w:tc>
          <w:tcPr>
            <w:tcW w:w="904" w:type="dxa"/>
            <w:gridSpan w:val="2"/>
            <w:tcBorders>
              <w:top w:val="nil"/>
              <w:left w:val="nil"/>
              <w:bottom w:val="nil"/>
              <w:right w:val="nil"/>
            </w:tcBorders>
            <w:shd w:val="clear" w:color="auto" w:fill="auto"/>
            <w:vAlign w:val="center"/>
            <w:hideMark/>
          </w:tcPr>
          <w:p w14:paraId="7E05EF55" w14:textId="77777777" w:rsidR="000F6636" w:rsidRPr="00AE77A4" w:rsidRDefault="000F6636" w:rsidP="00484DB0">
            <w:pPr>
              <w:jc w:val="center"/>
              <w:rPr>
                <w:rFonts w:cs="Times New Roman"/>
                <w:b/>
                <w:bCs/>
                <w:color w:val="000000"/>
                <w:sz w:val="18"/>
                <w:szCs w:val="18"/>
              </w:rPr>
            </w:pPr>
            <w:r w:rsidRPr="00AE77A4">
              <w:rPr>
                <w:b/>
                <w:bCs/>
                <w:color w:val="000000"/>
                <w:sz w:val="18"/>
                <w:szCs w:val="18"/>
              </w:rPr>
              <w:t>2023</w:t>
            </w:r>
          </w:p>
        </w:tc>
        <w:tc>
          <w:tcPr>
            <w:tcW w:w="903" w:type="dxa"/>
            <w:gridSpan w:val="2"/>
            <w:tcBorders>
              <w:top w:val="nil"/>
              <w:left w:val="nil"/>
              <w:bottom w:val="nil"/>
              <w:right w:val="nil"/>
            </w:tcBorders>
            <w:shd w:val="clear" w:color="auto" w:fill="auto"/>
            <w:vAlign w:val="center"/>
            <w:hideMark/>
          </w:tcPr>
          <w:p w14:paraId="44BB7F13" w14:textId="77777777" w:rsidR="000F6636" w:rsidRPr="00AE77A4" w:rsidRDefault="000F6636" w:rsidP="00484DB0">
            <w:pPr>
              <w:jc w:val="center"/>
              <w:rPr>
                <w:rFonts w:cs="Times New Roman"/>
                <w:b/>
                <w:bCs/>
                <w:color w:val="000000"/>
                <w:sz w:val="18"/>
                <w:szCs w:val="18"/>
              </w:rPr>
            </w:pPr>
            <w:r w:rsidRPr="00AE77A4">
              <w:rPr>
                <w:b/>
                <w:bCs/>
                <w:color w:val="000000"/>
                <w:sz w:val="18"/>
                <w:szCs w:val="18"/>
              </w:rPr>
              <w:t>2024</w:t>
            </w:r>
          </w:p>
        </w:tc>
        <w:tc>
          <w:tcPr>
            <w:tcW w:w="903" w:type="dxa"/>
            <w:gridSpan w:val="2"/>
            <w:tcBorders>
              <w:top w:val="nil"/>
              <w:left w:val="nil"/>
              <w:bottom w:val="nil"/>
              <w:right w:val="nil"/>
            </w:tcBorders>
            <w:shd w:val="clear" w:color="auto" w:fill="auto"/>
            <w:vAlign w:val="center"/>
            <w:hideMark/>
          </w:tcPr>
          <w:p w14:paraId="6806C4A8" w14:textId="77777777" w:rsidR="000F6636" w:rsidRPr="00AE77A4" w:rsidRDefault="000F6636" w:rsidP="00484DB0">
            <w:pPr>
              <w:jc w:val="center"/>
              <w:rPr>
                <w:rFonts w:cs="Times New Roman"/>
                <w:b/>
                <w:bCs/>
                <w:color w:val="000000"/>
                <w:sz w:val="18"/>
                <w:szCs w:val="18"/>
              </w:rPr>
            </w:pPr>
            <w:r w:rsidRPr="00AE77A4">
              <w:rPr>
                <w:b/>
                <w:bCs/>
                <w:color w:val="000000"/>
                <w:sz w:val="18"/>
                <w:szCs w:val="18"/>
              </w:rPr>
              <w:t>2025</w:t>
            </w:r>
          </w:p>
        </w:tc>
        <w:tc>
          <w:tcPr>
            <w:tcW w:w="903" w:type="dxa"/>
            <w:gridSpan w:val="2"/>
            <w:tcBorders>
              <w:top w:val="nil"/>
              <w:left w:val="nil"/>
              <w:bottom w:val="nil"/>
              <w:right w:val="nil"/>
            </w:tcBorders>
            <w:shd w:val="clear" w:color="auto" w:fill="auto"/>
            <w:vAlign w:val="center"/>
            <w:hideMark/>
          </w:tcPr>
          <w:p w14:paraId="66B3492E" w14:textId="77777777" w:rsidR="000F6636" w:rsidRPr="00AE77A4" w:rsidRDefault="000F6636" w:rsidP="00484DB0">
            <w:pPr>
              <w:jc w:val="center"/>
              <w:rPr>
                <w:rFonts w:cs="Times New Roman"/>
                <w:b/>
                <w:bCs/>
                <w:color w:val="000000"/>
                <w:sz w:val="18"/>
                <w:szCs w:val="18"/>
              </w:rPr>
            </w:pPr>
            <w:r w:rsidRPr="00AE77A4">
              <w:rPr>
                <w:b/>
                <w:bCs/>
                <w:color w:val="000000"/>
                <w:sz w:val="18"/>
                <w:szCs w:val="18"/>
              </w:rPr>
              <w:t>2026</w:t>
            </w:r>
          </w:p>
        </w:tc>
        <w:tc>
          <w:tcPr>
            <w:tcW w:w="903" w:type="dxa"/>
            <w:gridSpan w:val="2"/>
            <w:tcBorders>
              <w:top w:val="nil"/>
              <w:left w:val="nil"/>
              <w:bottom w:val="nil"/>
              <w:right w:val="nil"/>
            </w:tcBorders>
            <w:shd w:val="clear" w:color="auto" w:fill="auto"/>
            <w:vAlign w:val="center"/>
          </w:tcPr>
          <w:p w14:paraId="070B55FC" w14:textId="77777777" w:rsidR="000F6636" w:rsidRPr="00AE77A4" w:rsidRDefault="000F6636" w:rsidP="00484DB0">
            <w:pPr>
              <w:jc w:val="center"/>
              <w:rPr>
                <w:rFonts w:cs="Times New Roman"/>
                <w:b/>
                <w:bCs/>
                <w:color w:val="000000"/>
                <w:sz w:val="18"/>
                <w:szCs w:val="18"/>
              </w:rPr>
            </w:pPr>
            <w:r w:rsidRPr="00AE77A4">
              <w:rPr>
                <w:b/>
                <w:bCs/>
                <w:color w:val="000000"/>
                <w:sz w:val="18"/>
                <w:szCs w:val="18"/>
              </w:rPr>
              <w:t>2027</w:t>
            </w:r>
          </w:p>
        </w:tc>
      </w:tr>
      <w:tr w:rsidR="000F6636" w:rsidRPr="0088520B" w14:paraId="06BCAE63" w14:textId="77777777" w:rsidTr="00484DB0">
        <w:trPr>
          <w:trHeight w:val="283"/>
        </w:trPr>
        <w:tc>
          <w:tcPr>
            <w:tcW w:w="2880" w:type="dxa"/>
            <w:tcBorders>
              <w:top w:val="single" w:sz="4" w:space="0" w:color="000000"/>
              <w:left w:val="nil"/>
              <w:bottom w:val="nil"/>
              <w:right w:val="nil"/>
            </w:tcBorders>
            <w:shd w:val="clear" w:color="000000" w:fill="FFFFFF"/>
            <w:vAlign w:val="center"/>
            <w:hideMark/>
          </w:tcPr>
          <w:p w14:paraId="4D6870AF" w14:textId="77777777" w:rsidR="000F6636" w:rsidRPr="00AE77A4" w:rsidRDefault="000F6636" w:rsidP="00484DB0">
            <w:pPr>
              <w:rPr>
                <w:rFonts w:cs="Times New Roman"/>
                <w:b/>
                <w:bCs/>
                <w:color w:val="000000"/>
                <w:sz w:val="18"/>
                <w:szCs w:val="18"/>
              </w:rPr>
            </w:pPr>
            <w:r w:rsidRPr="00AE77A4">
              <w:rPr>
                <w:rFonts w:cs="Times New Roman"/>
                <w:b/>
                <w:bCs/>
                <w:color w:val="000000"/>
                <w:sz w:val="18"/>
                <w:szCs w:val="18"/>
              </w:rPr>
              <w:t>Reálny rast HDP (%)</w:t>
            </w:r>
          </w:p>
        </w:tc>
        <w:tc>
          <w:tcPr>
            <w:tcW w:w="818" w:type="dxa"/>
            <w:gridSpan w:val="2"/>
            <w:tcBorders>
              <w:top w:val="single" w:sz="4" w:space="0" w:color="000000"/>
              <w:left w:val="nil"/>
              <w:bottom w:val="nil"/>
              <w:right w:val="nil"/>
            </w:tcBorders>
            <w:shd w:val="clear" w:color="000000" w:fill="FFFFFF"/>
            <w:vAlign w:val="center"/>
            <w:hideMark/>
          </w:tcPr>
          <w:p w14:paraId="3AB7C73C"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 </w:t>
            </w:r>
          </w:p>
        </w:tc>
        <w:tc>
          <w:tcPr>
            <w:tcW w:w="886" w:type="dxa"/>
            <w:gridSpan w:val="2"/>
            <w:tcBorders>
              <w:top w:val="single" w:sz="4" w:space="0" w:color="000000"/>
              <w:left w:val="nil"/>
              <w:bottom w:val="nil"/>
              <w:right w:val="nil"/>
            </w:tcBorders>
            <w:shd w:val="clear" w:color="auto" w:fill="auto"/>
            <w:vAlign w:val="center"/>
          </w:tcPr>
          <w:p w14:paraId="37632496" w14:textId="77777777" w:rsidR="000F6636" w:rsidRPr="00AE77A4" w:rsidRDefault="000F6636" w:rsidP="00484DB0">
            <w:pPr>
              <w:jc w:val="center"/>
              <w:rPr>
                <w:rFonts w:cs="Times New Roman"/>
                <w:color w:val="000000"/>
                <w:sz w:val="18"/>
                <w:szCs w:val="18"/>
              </w:rPr>
            </w:pPr>
          </w:p>
        </w:tc>
        <w:tc>
          <w:tcPr>
            <w:tcW w:w="904" w:type="dxa"/>
            <w:gridSpan w:val="2"/>
            <w:tcBorders>
              <w:top w:val="single" w:sz="4" w:space="0" w:color="000000"/>
              <w:left w:val="nil"/>
              <w:bottom w:val="nil"/>
              <w:right w:val="nil"/>
            </w:tcBorders>
            <w:shd w:val="clear" w:color="auto" w:fill="auto"/>
            <w:vAlign w:val="center"/>
            <w:hideMark/>
          </w:tcPr>
          <w:p w14:paraId="717F5586"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000000"/>
              <w:left w:val="nil"/>
              <w:bottom w:val="nil"/>
              <w:right w:val="nil"/>
            </w:tcBorders>
            <w:shd w:val="clear" w:color="auto" w:fill="auto"/>
            <w:vAlign w:val="center"/>
            <w:hideMark/>
          </w:tcPr>
          <w:p w14:paraId="3D00D703"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000000"/>
              <w:left w:val="nil"/>
              <w:bottom w:val="nil"/>
              <w:right w:val="nil"/>
            </w:tcBorders>
            <w:shd w:val="clear" w:color="auto" w:fill="auto"/>
            <w:noWrap/>
            <w:vAlign w:val="center"/>
            <w:hideMark/>
          </w:tcPr>
          <w:p w14:paraId="64456621"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000000"/>
              <w:left w:val="nil"/>
              <w:bottom w:val="nil"/>
              <w:right w:val="nil"/>
            </w:tcBorders>
            <w:shd w:val="clear" w:color="auto" w:fill="auto"/>
            <w:noWrap/>
            <w:vAlign w:val="center"/>
            <w:hideMark/>
          </w:tcPr>
          <w:p w14:paraId="556BEA3C"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000000"/>
              <w:left w:val="nil"/>
              <w:bottom w:val="nil"/>
              <w:right w:val="nil"/>
            </w:tcBorders>
            <w:shd w:val="clear" w:color="auto" w:fill="auto"/>
            <w:noWrap/>
            <w:vAlign w:val="center"/>
          </w:tcPr>
          <w:p w14:paraId="2805EF5E" w14:textId="77777777" w:rsidR="000F6636" w:rsidRPr="00AE77A4" w:rsidRDefault="000F6636" w:rsidP="00484DB0">
            <w:pPr>
              <w:jc w:val="center"/>
              <w:rPr>
                <w:rFonts w:cs="Times New Roman"/>
                <w:color w:val="000000"/>
                <w:sz w:val="18"/>
                <w:szCs w:val="18"/>
              </w:rPr>
            </w:pPr>
          </w:p>
        </w:tc>
      </w:tr>
      <w:tr w:rsidR="000F6636" w:rsidRPr="0088520B" w14:paraId="499935E6" w14:textId="77777777" w:rsidTr="00484DB0">
        <w:trPr>
          <w:trHeight w:val="283"/>
        </w:trPr>
        <w:tc>
          <w:tcPr>
            <w:tcW w:w="2880" w:type="dxa"/>
            <w:tcBorders>
              <w:top w:val="nil"/>
              <w:left w:val="nil"/>
              <w:bottom w:val="nil"/>
              <w:right w:val="nil"/>
            </w:tcBorders>
            <w:shd w:val="clear" w:color="000000" w:fill="FFFFFF"/>
            <w:vAlign w:val="center"/>
            <w:hideMark/>
          </w:tcPr>
          <w:p w14:paraId="0F7AB926"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Predchádzajúca aktualizácia*</w:t>
            </w:r>
          </w:p>
        </w:tc>
        <w:tc>
          <w:tcPr>
            <w:tcW w:w="818" w:type="dxa"/>
            <w:gridSpan w:val="2"/>
            <w:tcBorders>
              <w:top w:val="nil"/>
              <w:left w:val="nil"/>
              <w:bottom w:val="nil"/>
              <w:right w:val="nil"/>
            </w:tcBorders>
            <w:shd w:val="clear" w:color="000000" w:fill="FFFFFF"/>
            <w:vAlign w:val="center"/>
            <w:hideMark/>
          </w:tcPr>
          <w:p w14:paraId="721DAE95" w14:textId="77777777" w:rsidR="000F6636" w:rsidRPr="00AE77A4" w:rsidRDefault="000F6636" w:rsidP="00484DB0">
            <w:pP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tcPr>
          <w:p w14:paraId="77BF8AC7"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vAlign w:val="center"/>
            <w:hideMark/>
          </w:tcPr>
          <w:p w14:paraId="0A3BEFDA" w14:textId="77777777" w:rsidR="000F6636" w:rsidRPr="00AE77A4" w:rsidRDefault="000F6636" w:rsidP="00484DB0">
            <w:pPr>
              <w:jc w:val="center"/>
              <w:rPr>
                <w:rFonts w:cs="Times New Roman"/>
                <w:color w:val="000000"/>
                <w:sz w:val="18"/>
                <w:szCs w:val="18"/>
              </w:rPr>
            </w:pPr>
            <w:r w:rsidRPr="00AE77A4">
              <w:rPr>
                <w:color w:val="000000"/>
                <w:sz w:val="18"/>
                <w:szCs w:val="18"/>
              </w:rPr>
              <w:t>1,3</w:t>
            </w:r>
          </w:p>
        </w:tc>
        <w:tc>
          <w:tcPr>
            <w:tcW w:w="903" w:type="dxa"/>
            <w:gridSpan w:val="2"/>
            <w:tcBorders>
              <w:top w:val="nil"/>
              <w:left w:val="nil"/>
              <w:bottom w:val="nil"/>
              <w:right w:val="nil"/>
            </w:tcBorders>
            <w:shd w:val="clear" w:color="auto" w:fill="auto"/>
            <w:vAlign w:val="center"/>
            <w:hideMark/>
          </w:tcPr>
          <w:p w14:paraId="386D45E7" w14:textId="77777777" w:rsidR="000F6636" w:rsidRPr="00AE77A4" w:rsidRDefault="000F6636" w:rsidP="00484DB0">
            <w:pPr>
              <w:jc w:val="center"/>
              <w:rPr>
                <w:rFonts w:cs="Times New Roman"/>
                <w:color w:val="000000"/>
                <w:sz w:val="18"/>
                <w:szCs w:val="18"/>
              </w:rPr>
            </w:pPr>
            <w:r w:rsidRPr="00AE77A4">
              <w:rPr>
                <w:color w:val="000000"/>
                <w:sz w:val="18"/>
                <w:szCs w:val="18"/>
              </w:rPr>
              <w:t>1,8</w:t>
            </w:r>
          </w:p>
        </w:tc>
        <w:tc>
          <w:tcPr>
            <w:tcW w:w="903" w:type="dxa"/>
            <w:gridSpan w:val="2"/>
            <w:tcBorders>
              <w:top w:val="nil"/>
              <w:left w:val="nil"/>
              <w:bottom w:val="nil"/>
              <w:right w:val="nil"/>
            </w:tcBorders>
            <w:shd w:val="clear" w:color="auto" w:fill="auto"/>
            <w:vAlign w:val="center"/>
            <w:hideMark/>
          </w:tcPr>
          <w:p w14:paraId="531F823D" w14:textId="77777777" w:rsidR="000F6636" w:rsidRPr="00AE77A4" w:rsidRDefault="000F6636" w:rsidP="00484DB0">
            <w:pPr>
              <w:jc w:val="center"/>
              <w:rPr>
                <w:rFonts w:cs="Times New Roman"/>
                <w:color w:val="000000"/>
                <w:sz w:val="18"/>
                <w:szCs w:val="18"/>
              </w:rPr>
            </w:pPr>
            <w:r w:rsidRPr="00AE77A4">
              <w:rPr>
                <w:color w:val="000000"/>
                <w:sz w:val="18"/>
                <w:szCs w:val="18"/>
              </w:rPr>
              <w:t>2,7</w:t>
            </w:r>
          </w:p>
        </w:tc>
        <w:tc>
          <w:tcPr>
            <w:tcW w:w="903" w:type="dxa"/>
            <w:gridSpan w:val="2"/>
            <w:tcBorders>
              <w:top w:val="nil"/>
              <w:left w:val="nil"/>
              <w:bottom w:val="nil"/>
              <w:right w:val="nil"/>
            </w:tcBorders>
            <w:shd w:val="clear" w:color="auto" w:fill="auto"/>
            <w:vAlign w:val="center"/>
            <w:hideMark/>
          </w:tcPr>
          <w:p w14:paraId="7AD43766" w14:textId="77777777" w:rsidR="000F6636" w:rsidRPr="00AE77A4" w:rsidRDefault="000F6636" w:rsidP="00484DB0">
            <w:pPr>
              <w:jc w:val="center"/>
              <w:rPr>
                <w:rFonts w:cs="Times New Roman"/>
                <w:color w:val="000000"/>
                <w:sz w:val="18"/>
                <w:szCs w:val="18"/>
              </w:rPr>
            </w:pPr>
            <w:r w:rsidRPr="00AE77A4">
              <w:rPr>
                <w:color w:val="000000"/>
                <w:sz w:val="18"/>
                <w:szCs w:val="18"/>
              </w:rPr>
              <w:t>1,9</w:t>
            </w:r>
          </w:p>
        </w:tc>
        <w:tc>
          <w:tcPr>
            <w:tcW w:w="903" w:type="dxa"/>
            <w:gridSpan w:val="2"/>
            <w:tcBorders>
              <w:top w:val="nil"/>
              <w:left w:val="nil"/>
              <w:bottom w:val="nil"/>
              <w:right w:val="nil"/>
            </w:tcBorders>
            <w:shd w:val="clear" w:color="auto" w:fill="auto"/>
            <w:vAlign w:val="center"/>
          </w:tcPr>
          <w:p w14:paraId="3A5E2AB5" w14:textId="77777777" w:rsidR="000F6636" w:rsidRPr="00AE77A4" w:rsidRDefault="000F6636" w:rsidP="00484DB0">
            <w:pPr>
              <w:jc w:val="center"/>
              <w:rPr>
                <w:rFonts w:cs="Times New Roman"/>
                <w:color w:val="000000"/>
                <w:sz w:val="18"/>
                <w:szCs w:val="18"/>
              </w:rPr>
            </w:pPr>
            <w:r w:rsidRPr="00AE77A4">
              <w:rPr>
                <w:color w:val="000000"/>
                <w:sz w:val="18"/>
                <w:szCs w:val="18"/>
              </w:rPr>
              <w:t>-</w:t>
            </w:r>
          </w:p>
        </w:tc>
      </w:tr>
      <w:tr w:rsidR="000F6636" w:rsidRPr="0088520B" w14:paraId="0D99F9C4" w14:textId="77777777" w:rsidTr="00484DB0">
        <w:trPr>
          <w:trHeight w:val="283"/>
        </w:trPr>
        <w:tc>
          <w:tcPr>
            <w:tcW w:w="2880" w:type="dxa"/>
            <w:tcBorders>
              <w:top w:val="nil"/>
              <w:left w:val="nil"/>
              <w:bottom w:val="nil"/>
              <w:right w:val="nil"/>
            </w:tcBorders>
            <w:shd w:val="clear" w:color="000000" w:fill="FFFFFF"/>
            <w:vAlign w:val="center"/>
            <w:hideMark/>
          </w:tcPr>
          <w:p w14:paraId="15B591B9"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Skutočnosť a súčasná aktualizácia</w:t>
            </w:r>
          </w:p>
        </w:tc>
        <w:tc>
          <w:tcPr>
            <w:tcW w:w="818" w:type="dxa"/>
            <w:gridSpan w:val="2"/>
            <w:tcBorders>
              <w:top w:val="nil"/>
              <w:left w:val="nil"/>
              <w:bottom w:val="nil"/>
              <w:right w:val="nil"/>
            </w:tcBorders>
            <w:shd w:val="clear" w:color="000000" w:fill="FFFFFF"/>
            <w:noWrap/>
            <w:vAlign w:val="center"/>
            <w:hideMark/>
          </w:tcPr>
          <w:p w14:paraId="71A41F86" w14:textId="77777777" w:rsidR="000F6636" w:rsidRPr="00AE77A4" w:rsidRDefault="000F6636" w:rsidP="00484DB0">
            <w:pP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noWrap/>
          </w:tcPr>
          <w:p w14:paraId="405A5629"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noWrap/>
            <w:vAlign w:val="center"/>
            <w:hideMark/>
          </w:tcPr>
          <w:p w14:paraId="64A82DBF" w14:textId="77777777" w:rsidR="000F6636" w:rsidRPr="00AE77A4" w:rsidRDefault="000F6636" w:rsidP="00484DB0">
            <w:pPr>
              <w:jc w:val="center"/>
              <w:rPr>
                <w:rFonts w:cs="Times New Roman"/>
                <w:color w:val="000000"/>
                <w:sz w:val="18"/>
                <w:szCs w:val="18"/>
              </w:rPr>
            </w:pPr>
            <w:r w:rsidRPr="00AE77A4">
              <w:rPr>
                <w:color w:val="000000"/>
                <w:sz w:val="18"/>
                <w:szCs w:val="18"/>
              </w:rPr>
              <w:t>1,6</w:t>
            </w:r>
          </w:p>
        </w:tc>
        <w:tc>
          <w:tcPr>
            <w:tcW w:w="903" w:type="dxa"/>
            <w:gridSpan w:val="2"/>
            <w:tcBorders>
              <w:top w:val="nil"/>
              <w:left w:val="nil"/>
              <w:bottom w:val="nil"/>
              <w:right w:val="nil"/>
            </w:tcBorders>
            <w:shd w:val="clear" w:color="auto" w:fill="auto"/>
            <w:noWrap/>
            <w:vAlign w:val="center"/>
            <w:hideMark/>
          </w:tcPr>
          <w:p w14:paraId="22EFE3D6" w14:textId="77777777" w:rsidR="000F6636" w:rsidRPr="00AE77A4" w:rsidRDefault="000F6636" w:rsidP="00484DB0">
            <w:pPr>
              <w:jc w:val="center"/>
              <w:rPr>
                <w:rFonts w:cs="Times New Roman"/>
                <w:color w:val="000000"/>
                <w:sz w:val="18"/>
                <w:szCs w:val="18"/>
              </w:rPr>
            </w:pPr>
            <w:r w:rsidRPr="00AE77A4">
              <w:rPr>
                <w:color w:val="000000"/>
                <w:sz w:val="18"/>
                <w:szCs w:val="18"/>
              </w:rPr>
              <w:t>2,0</w:t>
            </w:r>
          </w:p>
        </w:tc>
        <w:tc>
          <w:tcPr>
            <w:tcW w:w="903" w:type="dxa"/>
            <w:gridSpan w:val="2"/>
            <w:tcBorders>
              <w:top w:val="nil"/>
              <w:left w:val="nil"/>
              <w:bottom w:val="nil"/>
              <w:right w:val="nil"/>
            </w:tcBorders>
            <w:shd w:val="clear" w:color="auto" w:fill="auto"/>
            <w:noWrap/>
            <w:vAlign w:val="center"/>
            <w:hideMark/>
          </w:tcPr>
          <w:p w14:paraId="68044E59" w14:textId="77777777" w:rsidR="000F6636" w:rsidRPr="00AE77A4" w:rsidRDefault="000F6636" w:rsidP="00484DB0">
            <w:pPr>
              <w:jc w:val="center"/>
              <w:rPr>
                <w:rFonts w:cs="Times New Roman"/>
                <w:color w:val="000000"/>
                <w:sz w:val="18"/>
                <w:szCs w:val="18"/>
              </w:rPr>
            </w:pPr>
            <w:r w:rsidRPr="00AE77A4">
              <w:rPr>
                <w:color w:val="000000"/>
                <w:sz w:val="18"/>
                <w:szCs w:val="18"/>
              </w:rPr>
              <w:t>3,1</w:t>
            </w:r>
          </w:p>
        </w:tc>
        <w:tc>
          <w:tcPr>
            <w:tcW w:w="903" w:type="dxa"/>
            <w:gridSpan w:val="2"/>
            <w:tcBorders>
              <w:top w:val="nil"/>
              <w:left w:val="nil"/>
              <w:bottom w:val="nil"/>
              <w:right w:val="nil"/>
            </w:tcBorders>
            <w:shd w:val="clear" w:color="auto" w:fill="auto"/>
            <w:noWrap/>
            <w:vAlign w:val="center"/>
            <w:hideMark/>
          </w:tcPr>
          <w:p w14:paraId="083EA2B9" w14:textId="77777777" w:rsidR="000F6636" w:rsidRPr="00AE77A4" w:rsidRDefault="000F6636" w:rsidP="00484DB0">
            <w:pPr>
              <w:jc w:val="center"/>
              <w:rPr>
                <w:rFonts w:cs="Times New Roman"/>
                <w:color w:val="000000"/>
                <w:sz w:val="18"/>
                <w:szCs w:val="18"/>
              </w:rPr>
            </w:pPr>
            <w:r w:rsidRPr="00AE77A4">
              <w:rPr>
                <w:color w:val="000000"/>
                <w:sz w:val="18"/>
                <w:szCs w:val="18"/>
              </w:rPr>
              <w:t>2,2</w:t>
            </w:r>
          </w:p>
        </w:tc>
        <w:tc>
          <w:tcPr>
            <w:tcW w:w="903" w:type="dxa"/>
            <w:gridSpan w:val="2"/>
            <w:tcBorders>
              <w:top w:val="nil"/>
              <w:left w:val="nil"/>
              <w:bottom w:val="nil"/>
              <w:right w:val="nil"/>
            </w:tcBorders>
            <w:shd w:val="clear" w:color="auto" w:fill="auto"/>
            <w:noWrap/>
            <w:vAlign w:val="center"/>
          </w:tcPr>
          <w:p w14:paraId="65F54662" w14:textId="77777777" w:rsidR="000F6636" w:rsidRPr="00AE77A4" w:rsidRDefault="000F6636" w:rsidP="00484DB0">
            <w:pPr>
              <w:jc w:val="center"/>
              <w:rPr>
                <w:rFonts w:cs="Times New Roman"/>
                <w:color w:val="000000"/>
                <w:sz w:val="18"/>
                <w:szCs w:val="18"/>
              </w:rPr>
            </w:pPr>
            <w:r w:rsidRPr="00AE77A4">
              <w:rPr>
                <w:color w:val="000000"/>
                <w:sz w:val="18"/>
                <w:szCs w:val="18"/>
              </w:rPr>
              <w:t>1,6</w:t>
            </w:r>
          </w:p>
        </w:tc>
      </w:tr>
      <w:tr w:rsidR="000F6636" w:rsidRPr="0088520B" w14:paraId="74700196" w14:textId="77777777" w:rsidTr="00484DB0">
        <w:trPr>
          <w:trHeight w:val="283"/>
        </w:trPr>
        <w:tc>
          <w:tcPr>
            <w:tcW w:w="2880" w:type="dxa"/>
            <w:tcBorders>
              <w:top w:val="nil"/>
              <w:left w:val="nil"/>
              <w:bottom w:val="single" w:sz="4" w:space="0" w:color="auto"/>
              <w:right w:val="nil"/>
            </w:tcBorders>
            <w:shd w:val="clear" w:color="000000" w:fill="FFFFFF"/>
            <w:vAlign w:val="center"/>
            <w:hideMark/>
          </w:tcPr>
          <w:p w14:paraId="670F97B6"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Rozdiel</w:t>
            </w:r>
          </w:p>
        </w:tc>
        <w:tc>
          <w:tcPr>
            <w:tcW w:w="818" w:type="dxa"/>
            <w:gridSpan w:val="2"/>
            <w:tcBorders>
              <w:top w:val="nil"/>
              <w:left w:val="nil"/>
              <w:bottom w:val="single" w:sz="4" w:space="0" w:color="auto"/>
              <w:right w:val="nil"/>
            </w:tcBorders>
            <w:shd w:val="clear" w:color="000000" w:fill="FFFFFF"/>
            <w:vAlign w:val="center"/>
            <w:hideMark/>
          </w:tcPr>
          <w:p w14:paraId="5C3C1435" w14:textId="77777777" w:rsidR="000F6636" w:rsidRPr="00AE77A4" w:rsidRDefault="000F6636" w:rsidP="00484DB0">
            <w:pP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tcPr>
          <w:p w14:paraId="07E00F19"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vAlign w:val="center"/>
            <w:hideMark/>
          </w:tcPr>
          <w:p w14:paraId="39AFDD64" w14:textId="77777777" w:rsidR="000F6636" w:rsidRPr="00AE77A4" w:rsidRDefault="000F6636" w:rsidP="00484DB0">
            <w:pPr>
              <w:jc w:val="center"/>
              <w:rPr>
                <w:rFonts w:cs="Times New Roman"/>
                <w:color w:val="000000"/>
                <w:sz w:val="18"/>
                <w:szCs w:val="18"/>
              </w:rPr>
            </w:pPr>
            <w:r w:rsidRPr="00AE77A4">
              <w:rPr>
                <w:color w:val="000000"/>
                <w:sz w:val="18"/>
                <w:szCs w:val="18"/>
              </w:rPr>
              <w:t>0,3</w:t>
            </w:r>
          </w:p>
        </w:tc>
        <w:tc>
          <w:tcPr>
            <w:tcW w:w="903" w:type="dxa"/>
            <w:gridSpan w:val="2"/>
            <w:tcBorders>
              <w:top w:val="nil"/>
              <w:left w:val="nil"/>
              <w:bottom w:val="nil"/>
              <w:right w:val="nil"/>
            </w:tcBorders>
            <w:shd w:val="clear" w:color="auto" w:fill="auto"/>
            <w:vAlign w:val="center"/>
            <w:hideMark/>
          </w:tcPr>
          <w:p w14:paraId="2ACD1EB8" w14:textId="77777777" w:rsidR="000F6636" w:rsidRPr="00AE77A4" w:rsidRDefault="000F6636" w:rsidP="00484DB0">
            <w:pPr>
              <w:jc w:val="center"/>
              <w:rPr>
                <w:rFonts w:cs="Times New Roman"/>
                <w:color w:val="000000"/>
                <w:sz w:val="18"/>
                <w:szCs w:val="18"/>
              </w:rPr>
            </w:pPr>
            <w:r w:rsidRPr="00AE77A4">
              <w:rPr>
                <w:color w:val="000000"/>
                <w:sz w:val="18"/>
                <w:szCs w:val="18"/>
              </w:rPr>
              <w:t>0,2</w:t>
            </w:r>
          </w:p>
        </w:tc>
        <w:tc>
          <w:tcPr>
            <w:tcW w:w="903" w:type="dxa"/>
            <w:gridSpan w:val="2"/>
            <w:tcBorders>
              <w:top w:val="nil"/>
              <w:left w:val="nil"/>
              <w:bottom w:val="nil"/>
              <w:right w:val="nil"/>
            </w:tcBorders>
            <w:shd w:val="clear" w:color="auto" w:fill="auto"/>
            <w:vAlign w:val="center"/>
            <w:hideMark/>
          </w:tcPr>
          <w:p w14:paraId="1A204712" w14:textId="77777777" w:rsidR="000F6636" w:rsidRPr="00AE77A4" w:rsidRDefault="000F6636" w:rsidP="00484DB0">
            <w:pPr>
              <w:jc w:val="center"/>
              <w:rPr>
                <w:rFonts w:cs="Times New Roman"/>
                <w:color w:val="000000"/>
                <w:sz w:val="18"/>
                <w:szCs w:val="18"/>
              </w:rPr>
            </w:pPr>
            <w:r w:rsidRPr="00AE77A4">
              <w:rPr>
                <w:color w:val="000000"/>
                <w:sz w:val="18"/>
                <w:szCs w:val="18"/>
              </w:rPr>
              <w:t>0,4</w:t>
            </w:r>
          </w:p>
        </w:tc>
        <w:tc>
          <w:tcPr>
            <w:tcW w:w="903" w:type="dxa"/>
            <w:gridSpan w:val="2"/>
            <w:tcBorders>
              <w:top w:val="nil"/>
              <w:left w:val="nil"/>
              <w:bottom w:val="nil"/>
              <w:right w:val="nil"/>
            </w:tcBorders>
            <w:shd w:val="clear" w:color="auto" w:fill="auto"/>
            <w:vAlign w:val="center"/>
            <w:hideMark/>
          </w:tcPr>
          <w:p w14:paraId="6353494A" w14:textId="77777777" w:rsidR="000F6636" w:rsidRPr="00AE77A4" w:rsidRDefault="000F6636" w:rsidP="00484DB0">
            <w:pPr>
              <w:jc w:val="center"/>
              <w:rPr>
                <w:rFonts w:cs="Times New Roman"/>
                <w:color w:val="000000"/>
                <w:sz w:val="18"/>
                <w:szCs w:val="18"/>
              </w:rPr>
            </w:pPr>
            <w:r w:rsidRPr="00AE77A4">
              <w:rPr>
                <w:color w:val="000000"/>
                <w:sz w:val="18"/>
                <w:szCs w:val="18"/>
              </w:rPr>
              <w:t>0,3</w:t>
            </w:r>
          </w:p>
        </w:tc>
        <w:tc>
          <w:tcPr>
            <w:tcW w:w="903" w:type="dxa"/>
            <w:gridSpan w:val="2"/>
            <w:tcBorders>
              <w:top w:val="nil"/>
              <w:left w:val="nil"/>
              <w:bottom w:val="nil"/>
              <w:right w:val="nil"/>
            </w:tcBorders>
            <w:shd w:val="clear" w:color="auto" w:fill="auto"/>
            <w:vAlign w:val="center"/>
          </w:tcPr>
          <w:p w14:paraId="0D2F8E3A" w14:textId="77777777" w:rsidR="000F6636" w:rsidRPr="00AE77A4" w:rsidRDefault="000F6636" w:rsidP="00484DB0">
            <w:pPr>
              <w:jc w:val="center"/>
              <w:rPr>
                <w:rFonts w:cs="Times New Roman"/>
                <w:color w:val="000000"/>
                <w:sz w:val="18"/>
                <w:szCs w:val="18"/>
              </w:rPr>
            </w:pPr>
            <w:r w:rsidRPr="00AE77A4">
              <w:rPr>
                <w:color w:val="000000"/>
                <w:sz w:val="18"/>
                <w:szCs w:val="18"/>
              </w:rPr>
              <w:t>-</w:t>
            </w:r>
          </w:p>
        </w:tc>
      </w:tr>
      <w:tr w:rsidR="000F6636" w:rsidRPr="0088520B" w14:paraId="094D9F78" w14:textId="77777777" w:rsidTr="00484DB0">
        <w:trPr>
          <w:trHeight w:val="283"/>
        </w:trPr>
        <w:tc>
          <w:tcPr>
            <w:tcW w:w="2880" w:type="dxa"/>
            <w:tcBorders>
              <w:top w:val="nil"/>
              <w:left w:val="nil"/>
              <w:bottom w:val="nil"/>
              <w:right w:val="nil"/>
            </w:tcBorders>
            <w:shd w:val="clear" w:color="000000" w:fill="FFFFFF"/>
            <w:noWrap/>
            <w:vAlign w:val="center"/>
            <w:hideMark/>
          </w:tcPr>
          <w:p w14:paraId="07F9D261" w14:textId="77777777" w:rsidR="000F6636" w:rsidRPr="00AE77A4" w:rsidRDefault="000F6636" w:rsidP="00484DB0">
            <w:pPr>
              <w:rPr>
                <w:rFonts w:cs="Times New Roman"/>
                <w:b/>
                <w:bCs/>
                <w:color w:val="000000"/>
                <w:sz w:val="18"/>
                <w:szCs w:val="18"/>
              </w:rPr>
            </w:pPr>
            <w:r w:rsidRPr="00AE77A4">
              <w:rPr>
                <w:rFonts w:cs="Times New Roman"/>
                <w:b/>
                <w:bCs/>
                <w:color w:val="000000"/>
                <w:sz w:val="18"/>
                <w:szCs w:val="18"/>
              </w:rPr>
              <w:t>Saldo verejnej správy (% HDP)</w:t>
            </w:r>
          </w:p>
        </w:tc>
        <w:tc>
          <w:tcPr>
            <w:tcW w:w="818" w:type="dxa"/>
            <w:gridSpan w:val="2"/>
            <w:tcBorders>
              <w:top w:val="nil"/>
              <w:left w:val="nil"/>
              <w:bottom w:val="nil"/>
              <w:right w:val="nil"/>
            </w:tcBorders>
            <w:shd w:val="clear" w:color="000000" w:fill="FFFFFF"/>
            <w:vAlign w:val="center"/>
            <w:hideMark/>
          </w:tcPr>
          <w:p w14:paraId="16088285"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EDP B.9</w:t>
            </w:r>
          </w:p>
        </w:tc>
        <w:tc>
          <w:tcPr>
            <w:tcW w:w="886" w:type="dxa"/>
            <w:gridSpan w:val="2"/>
            <w:tcBorders>
              <w:top w:val="single" w:sz="4" w:space="0" w:color="auto"/>
              <w:left w:val="nil"/>
              <w:bottom w:val="nil"/>
              <w:right w:val="nil"/>
            </w:tcBorders>
            <w:shd w:val="clear" w:color="auto" w:fill="auto"/>
            <w:vAlign w:val="center"/>
          </w:tcPr>
          <w:p w14:paraId="5F83F365" w14:textId="77777777" w:rsidR="000F6636" w:rsidRPr="00AE77A4" w:rsidRDefault="000F6636" w:rsidP="00484DB0">
            <w:pPr>
              <w:jc w:val="center"/>
              <w:rPr>
                <w:rFonts w:cs="Times New Roman"/>
                <w:color w:val="000000"/>
                <w:sz w:val="18"/>
                <w:szCs w:val="18"/>
              </w:rPr>
            </w:pPr>
          </w:p>
        </w:tc>
        <w:tc>
          <w:tcPr>
            <w:tcW w:w="904" w:type="dxa"/>
            <w:gridSpan w:val="2"/>
            <w:tcBorders>
              <w:top w:val="single" w:sz="4" w:space="0" w:color="auto"/>
              <w:left w:val="nil"/>
              <w:bottom w:val="nil"/>
              <w:right w:val="nil"/>
            </w:tcBorders>
            <w:shd w:val="clear" w:color="auto" w:fill="auto"/>
            <w:vAlign w:val="center"/>
            <w:hideMark/>
          </w:tcPr>
          <w:p w14:paraId="641D43AE"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vAlign w:val="center"/>
            <w:hideMark/>
          </w:tcPr>
          <w:p w14:paraId="51BA49D2"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noWrap/>
            <w:vAlign w:val="center"/>
            <w:hideMark/>
          </w:tcPr>
          <w:p w14:paraId="72AECE6F"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noWrap/>
            <w:vAlign w:val="center"/>
            <w:hideMark/>
          </w:tcPr>
          <w:p w14:paraId="37326DAA"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noWrap/>
            <w:vAlign w:val="center"/>
          </w:tcPr>
          <w:p w14:paraId="24A5D79E" w14:textId="77777777" w:rsidR="000F6636" w:rsidRPr="00AE77A4" w:rsidRDefault="000F6636" w:rsidP="00484DB0">
            <w:pPr>
              <w:jc w:val="center"/>
              <w:rPr>
                <w:rFonts w:cs="Times New Roman"/>
                <w:color w:val="000000"/>
                <w:sz w:val="18"/>
                <w:szCs w:val="18"/>
              </w:rPr>
            </w:pPr>
          </w:p>
        </w:tc>
      </w:tr>
      <w:tr w:rsidR="000F6636" w:rsidRPr="0088520B" w14:paraId="30978A27" w14:textId="77777777" w:rsidTr="00484DB0">
        <w:trPr>
          <w:trHeight w:val="283"/>
        </w:trPr>
        <w:tc>
          <w:tcPr>
            <w:tcW w:w="2880" w:type="dxa"/>
            <w:tcBorders>
              <w:top w:val="nil"/>
              <w:left w:val="nil"/>
              <w:bottom w:val="nil"/>
              <w:right w:val="nil"/>
            </w:tcBorders>
            <w:shd w:val="clear" w:color="000000" w:fill="FFFFFF"/>
            <w:vAlign w:val="center"/>
            <w:hideMark/>
          </w:tcPr>
          <w:p w14:paraId="01EB749F"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Predchádzajúca aktualizácia*</w:t>
            </w:r>
          </w:p>
        </w:tc>
        <w:tc>
          <w:tcPr>
            <w:tcW w:w="818" w:type="dxa"/>
            <w:gridSpan w:val="2"/>
            <w:tcBorders>
              <w:top w:val="nil"/>
              <w:left w:val="nil"/>
              <w:bottom w:val="nil"/>
              <w:right w:val="nil"/>
            </w:tcBorders>
            <w:shd w:val="clear" w:color="000000" w:fill="FFFFFF"/>
            <w:noWrap/>
            <w:vAlign w:val="bottom"/>
            <w:hideMark/>
          </w:tcPr>
          <w:p w14:paraId="40E5A9D0" w14:textId="77777777" w:rsidR="000F6636" w:rsidRPr="00AE77A4" w:rsidRDefault="000F6636" w:rsidP="00484DB0">
            <w:pP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noWrap/>
          </w:tcPr>
          <w:p w14:paraId="45B0774B"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noWrap/>
            <w:vAlign w:val="center"/>
            <w:hideMark/>
          </w:tcPr>
          <w:p w14:paraId="1DDD43DA" w14:textId="77777777" w:rsidR="000F6636" w:rsidRPr="00AE77A4" w:rsidRDefault="000F6636" w:rsidP="00484DB0">
            <w:pPr>
              <w:jc w:val="center"/>
              <w:rPr>
                <w:rFonts w:cs="Times New Roman"/>
                <w:color w:val="000000"/>
                <w:sz w:val="18"/>
                <w:szCs w:val="18"/>
              </w:rPr>
            </w:pPr>
            <w:r w:rsidRPr="00AE77A4">
              <w:rPr>
                <w:color w:val="000000"/>
                <w:sz w:val="18"/>
                <w:szCs w:val="18"/>
              </w:rPr>
              <w:t>-6,3</w:t>
            </w:r>
          </w:p>
        </w:tc>
        <w:tc>
          <w:tcPr>
            <w:tcW w:w="903" w:type="dxa"/>
            <w:gridSpan w:val="2"/>
            <w:tcBorders>
              <w:top w:val="nil"/>
              <w:left w:val="nil"/>
              <w:bottom w:val="nil"/>
              <w:right w:val="nil"/>
            </w:tcBorders>
            <w:shd w:val="clear" w:color="auto" w:fill="auto"/>
            <w:noWrap/>
            <w:vAlign w:val="center"/>
            <w:hideMark/>
          </w:tcPr>
          <w:p w14:paraId="4C80C03C" w14:textId="77777777" w:rsidR="000F6636" w:rsidRPr="00AE77A4" w:rsidRDefault="000F6636" w:rsidP="00484DB0">
            <w:pPr>
              <w:jc w:val="center"/>
              <w:rPr>
                <w:rFonts w:cs="Times New Roman"/>
                <w:color w:val="000000"/>
                <w:sz w:val="18"/>
                <w:szCs w:val="18"/>
              </w:rPr>
            </w:pPr>
            <w:r w:rsidRPr="00AE77A4">
              <w:rPr>
                <w:color w:val="000000"/>
                <w:sz w:val="18"/>
                <w:szCs w:val="18"/>
              </w:rPr>
              <w:t>-4,7</w:t>
            </w:r>
          </w:p>
        </w:tc>
        <w:tc>
          <w:tcPr>
            <w:tcW w:w="903" w:type="dxa"/>
            <w:gridSpan w:val="2"/>
            <w:tcBorders>
              <w:top w:val="nil"/>
              <w:left w:val="nil"/>
              <w:bottom w:val="nil"/>
              <w:right w:val="nil"/>
            </w:tcBorders>
            <w:shd w:val="clear" w:color="auto" w:fill="auto"/>
            <w:noWrap/>
            <w:vAlign w:val="center"/>
            <w:hideMark/>
          </w:tcPr>
          <w:p w14:paraId="025BA6ED" w14:textId="77777777" w:rsidR="000F6636" w:rsidRPr="00AE77A4" w:rsidRDefault="000F6636" w:rsidP="00484DB0">
            <w:pPr>
              <w:jc w:val="center"/>
              <w:rPr>
                <w:rFonts w:cs="Times New Roman"/>
                <w:color w:val="000000"/>
                <w:sz w:val="18"/>
                <w:szCs w:val="18"/>
              </w:rPr>
            </w:pPr>
            <w:r w:rsidRPr="00AE77A4">
              <w:rPr>
                <w:color w:val="000000"/>
                <w:sz w:val="18"/>
                <w:szCs w:val="18"/>
              </w:rPr>
              <w:t>-5,2</w:t>
            </w:r>
          </w:p>
        </w:tc>
        <w:tc>
          <w:tcPr>
            <w:tcW w:w="903" w:type="dxa"/>
            <w:gridSpan w:val="2"/>
            <w:tcBorders>
              <w:top w:val="nil"/>
              <w:left w:val="nil"/>
              <w:bottom w:val="nil"/>
              <w:right w:val="nil"/>
            </w:tcBorders>
            <w:shd w:val="clear" w:color="auto" w:fill="auto"/>
            <w:noWrap/>
            <w:vAlign w:val="center"/>
            <w:hideMark/>
          </w:tcPr>
          <w:p w14:paraId="111F7F82" w14:textId="77777777" w:rsidR="000F6636" w:rsidRPr="00AE77A4" w:rsidRDefault="000F6636" w:rsidP="00484DB0">
            <w:pPr>
              <w:jc w:val="center"/>
              <w:rPr>
                <w:rFonts w:cs="Times New Roman"/>
                <w:color w:val="000000"/>
                <w:sz w:val="18"/>
                <w:szCs w:val="18"/>
              </w:rPr>
            </w:pPr>
            <w:r w:rsidRPr="00AE77A4">
              <w:rPr>
                <w:color w:val="000000"/>
                <w:sz w:val="18"/>
                <w:szCs w:val="18"/>
              </w:rPr>
              <w:t>-4,9</w:t>
            </w:r>
          </w:p>
        </w:tc>
        <w:tc>
          <w:tcPr>
            <w:tcW w:w="903" w:type="dxa"/>
            <w:gridSpan w:val="2"/>
            <w:tcBorders>
              <w:top w:val="nil"/>
              <w:left w:val="nil"/>
              <w:bottom w:val="nil"/>
              <w:right w:val="nil"/>
            </w:tcBorders>
            <w:shd w:val="clear" w:color="auto" w:fill="auto"/>
            <w:vAlign w:val="center"/>
          </w:tcPr>
          <w:p w14:paraId="006B548E" w14:textId="77777777" w:rsidR="000F6636" w:rsidRPr="00AE77A4" w:rsidRDefault="000F6636" w:rsidP="00484DB0">
            <w:pPr>
              <w:jc w:val="center"/>
              <w:rPr>
                <w:rFonts w:cs="Times New Roman"/>
                <w:color w:val="000000"/>
                <w:sz w:val="18"/>
                <w:szCs w:val="18"/>
              </w:rPr>
            </w:pPr>
            <w:r w:rsidRPr="00AE77A4">
              <w:rPr>
                <w:color w:val="000000"/>
                <w:sz w:val="18"/>
                <w:szCs w:val="18"/>
              </w:rPr>
              <w:t>-</w:t>
            </w:r>
          </w:p>
        </w:tc>
      </w:tr>
      <w:tr w:rsidR="000F6636" w:rsidRPr="0088520B" w14:paraId="67BBA59F" w14:textId="77777777" w:rsidTr="00484DB0">
        <w:trPr>
          <w:trHeight w:val="283"/>
        </w:trPr>
        <w:tc>
          <w:tcPr>
            <w:tcW w:w="2880" w:type="dxa"/>
            <w:tcBorders>
              <w:top w:val="nil"/>
              <w:left w:val="nil"/>
              <w:bottom w:val="nil"/>
              <w:right w:val="nil"/>
            </w:tcBorders>
            <w:shd w:val="clear" w:color="000000" w:fill="FFFFFF"/>
            <w:vAlign w:val="center"/>
            <w:hideMark/>
          </w:tcPr>
          <w:p w14:paraId="409BC758"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Skutočnosť a súčasná aktualizácia**</w:t>
            </w:r>
          </w:p>
        </w:tc>
        <w:tc>
          <w:tcPr>
            <w:tcW w:w="818" w:type="dxa"/>
            <w:gridSpan w:val="2"/>
            <w:tcBorders>
              <w:top w:val="nil"/>
              <w:left w:val="nil"/>
              <w:bottom w:val="nil"/>
              <w:right w:val="nil"/>
            </w:tcBorders>
            <w:shd w:val="clear" w:color="000000" w:fill="FFFFFF"/>
            <w:noWrap/>
            <w:vAlign w:val="bottom"/>
            <w:hideMark/>
          </w:tcPr>
          <w:p w14:paraId="333B63C2" w14:textId="77777777" w:rsidR="000F6636" w:rsidRPr="00AE77A4" w:rsidRDefault="000F6636" w:rsidP="00484DB0">
            <w:pP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noWrap/>
          </w:tcPr>
          <w:p w14:paraId="086ED11D"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noWrap/>
            <w:vAlign w:val="center"/>
            <w:hideMark/>
          </w:tcPr>
          <w:p w14:paraId="1E58EB87" w14:textId="77777777" w:rsidR="000F6636" w:rsidRPr="00AE77A4" w:rsidRDefault="000F6636" w:rsidP="00484DB0">
            <w:pPr>
              <w:jc w:val="center"/>
              <w:rPr>
                <w:rFonts w:cs="Times New Roman"/>
                <w:color w:val="000000"/>
                <w:sz w:val="18"/>
                <w:szCs w:val="18"/>
              </w:rPr>
            </w:pPr>
            <w:r w:rsidRPr="00AE77A4">
              <w:rPr>
                <w:color w:val="000000"/>
                <w:sz w:val="18"/>
                <w:szCs w:val="18"/>
              </w:rPr>
              <w:t>-4,9</w:t>
            </w:r>
          </w:p>
        </w:tc>
        <w:tc>
          <w:tcPr>
            <w:tcW w:w="903" w:type="dxa"/>
            <w:gridSpan w:val="2"/>
            <w:tcBorders>
              <w:top w:val="nil"/>
              <w:left w:val="nil"/>
              <w:bottom w:val="nil"/>
              <w:right w:val="nil"/>
            </w:tcBorders>
            <w:shd w:val="clear" w:color="auto" w:fill="auto"/>
            <w:noWrap/>
            <w:vAlign w:val="center"/>
            <w:hideMark/>
          </w:tcPr>
          <w:p w14:paraId="5450510A" w14:textId="77777777" w:rsidR="000F6636" w:rsidRPr="00AE77A4" w:rsidRDefault="000F6636" w:rsidP="00484DB0">
            <w:pPr>
              <w:jc w:val="center"/>
              <w:rPr>
                <w:rFonts w:cs="Times New Roman"/>
                <w:color w:val="000000"/>
                <w:sz w:val="18"/>
                <w:szCs w:val="18"/>
              </w:rPr>
            </w:pPr>
            <w:r w:rsidRPr="00AE77A4">
              <w:rPr>
                <w:color w:val="000000"/>
                <w:sz w:val="18"/>
                <w:szCs w:val="18"/>
              </w:rPr>
              <w:t>-5,9</w:t>
            </w:r>
          </w:p>
        </w:tc>
        <w:tc>
          <w:tcPr>
            <w:tcW w:w="903" w:type="dxa"/>
            <w:gridSpan w:val="2"/>
            <w:tcBorders>
              <w:top w:val="nil"/>
              <w:left w:val="nil"/>
              <w:bottom w:val="nil"/>
              <w:right w:val="nil"/>
            </w:tcBorders>
            <w:shd w:val="clear" w:color="auto" w:fill="auto"/>
            <w:noWrap/>
            <w:vAlign w:val="center"/>
            <w:hideMark/>
          </w:tcPr>
          <w:p w14:paraId="2841D2E9" w14:textId="77777777" w:rsidR="000F6636" w:rsidRPr="00AE77A4" w:rsidRDefault="000F6636" w:rsidP="00484DB0">
            <w:pPr>
              <w:jc w:val="center"/>
              <w:rPr>
                <w:rFonts w:cs="Times New Roman"/>
                <w:color w:val="000000"/>
                <w:sz w:val="18"/>
                <w:szCs w:val="18"/>
              </w:rPr>
            </w:pPr>
            <w:r w:rsidRPr="00AE77A4">
              <w:rPr>
                <w:color w:val="000000"/>
                <w:sz w:val="18"/>
                <w:szCs w:val="18"/>
              </w:rPr>
              <w:t>-5,4</w:t>
            </w:r>
          </w:p>
        </w:tc>
        <w:tc>
          <w:tcPr>
            <w:tcW w:w="903" w:type="dxa"/>
            <w:gridSpan w:val="2"/>
            <w:tcBorders>
              <w:top w:val="nil"/>
              <w:left w:val="nil"/>
              <w:bottom w:val="nil"/>
              <w:right w:val="nil"/>
            </w:tcBorders>
            <w:shd w:val="clear" w:color="auto" w:fill="auto"/>
            <w:noWrap/>
            <w:vAlign w:val="center"/>
            <w:hideMark/>
          </w:tcPr>
          <w:p w14:paraId="00450C2A" w14:textId="77777777" w:rsidR="000F6636" w:rsidRPr="00AE77A4" w:rsidRDefault="000F6636" w:rsidP="00484DB0">
            <w:pPr>
              <w:jc w:val="center"/>
              <w:rPr>
                <w:rFonts w:cs="Times New Roman"/>
                <w:color w:val="000000"/>
                <w:sz w:val="18"/>
                <w:szCs w:val="18"/>
              </w:rPr>
            </w:pPr>
            <w:r w:rsidRPr="00AE77A4">
              <w:rPr>
                <w:color w:val="000000"/>
                <w:sz w:val="18"/>
                <w:szCs w:val="18"/>
              </w:rPr>
              <w:t>-5,2</w:t>
            </w:r>
          </w:p>
        </w:tc>
        <w:tc>
          <w:tcPr>
            <w:tcW w:w="903" w:type="dxa"/>
            <w:gridSpan w:val="2"/>
            <w:tcBorders>
              <w:top w:val="nil"/>
              <w:left w:val="nil"/>
              <w:bottom w:val="nil"/>
              <w:right w:val="nil"/>
            </w:tcBorders>
            <w:shd w:val="clear" w:color="auto" w:fill="auto"/>
            <w:noWrap/>
            <w:vAlign w:val="center"/>
          </w:tcPr>
          <w:p w14:paraId="73F060BA" w14:textId="77777777" w:rsidR="000F6636" w:rsidRPr="00AE77A4" w:rsidRDefault="000F6636" w:rsidP="00484DB0">
            <w:pPr>
              <w:jc w:val="center"/>
              <w:rPr>
                <w:rFonts w:cs="Times New Roman"/>
                <w:color w:val="000000"/>
                <w:sz w:val="18"/>
                <w:szCs w:val="18"/>
              </w:rPr>
            </w:pPr>
            <w:r w:rsidRPr="00AE77A4">
              <w:rPr>
                <w:color w:val="000000"/>
                <w:sz w:val="18"/>
                <w:szCs w:val="18"/>
              </w:rPr>
              <w:t>-5,5</w:t>
            </w:r>
          </w:p>
        </w:tc>
      </w:tr>
      <w:tr w:rsidR="000F6636" w:rsidRPr="0088520B" w14:paraId="59B11F9E" w14:textId="77777777" w:rsidTr="00484DB0">
        <w:trPr>
          <w:trHeight w:val="283"/>
        </w:trPr>
        <w:tc>
          <w:tcPr>
            <w:tcW w:w="2880" w:type="dxa"/>
            <w:tcBorders>
              <w:top w:val="nil"/>
              <w:left w:val="nil"/>
              <w:bottom w:val="single" w:sz="4" w:space="0" w:color="auto"/>
              <w:right w:val="nil"/>
            </w:tcBorders>
            <w:shd w:val="clear" w:color="000000" w:fill="FFFFFF"/>
            <w:vAlign w:val="center"/>
            <w:hideMark/>
          </w:tcPr>
          <w:p w14:paraId="24CDBC20"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lastRenderedPageBreak/>
              <w:t>Rozdiel</w:t>
            </w:r>
          </w:p>
        </w:tc>
        <w:tc>
          <w:tcPr>
            <w:tcW w:w="818" w:type="dxa"/>
            <w:gridSpan w:val="2"/>
            <w:tcBorders>
              <w:top w:val="nil"/>
              <w:left w:val="nil"/>
              <w:bottom w:val="single" w:sz="4" w:space="0" w:color="auto"/>
              <w:right w:val="nil"/>
            </w:tcBorders>
            <w:shd w:val="clear" w:color="000000" w:fill="FFFFFF"/>
            <w:vAlign w:val="center"/>
            <w:hideMark/>
          </w:tcPr>
          <w:p w14:paraId="03B6D8AB"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tcPr>
          <w:p w14:paraId="18A2BEB6"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vAlign w:val="center"/>
            <w:hideMark/>
          </w:tcPr>
          <w:p w14:paraId="367B1480" w14:textId="77777777" w:rsidR="000F6636" w:rsidRPr="00AE77A4" w:rsidRDefault="000F6636" w:rsidP="00484DB0">
            <w:pPr>
              <w:jc w:val="center"/>
              <w:rPr>
                <w:rFonts w:cs="Times New Roman"/>
                <w:color w:val="000000"/>
                <w:sz w:val="18"/>
                <w:szCs w:val="18"/>
              </w:rPr>
            </w:pPr>
            <w:r w:rsidRPr="00AE77A4">
              <w:rPr>
                <w:color w:val="000000"/>
                <w:sz w:val="18"/>
                <w:szCs w:val="18"/>
              </w:rPr>
              <w:t>1,4</w:t>
            </w:r>
          </w:p>
        </w:tc>
        <w:tc>
          <w:tcPr>
            <w:tcW w:w="903" w:type="dxa"/>
            <w:gridSpan w:val="2"/>
            <w:tcBorders>
              <w:top w:val="nil"/>
              <w:left w:val="nil"/>
              <w:bottom w:val="nil"/>
              <w:right w:val="nil"/>
            </w:tcBorders>
            <w:shd w:val="clear" w:color="auto" w:fill="auto"/>
            <w:vAlign w:val="center"/>
            <w:hideMark/>
          </w:tcPr>
          <w:p w14:paraId="2ACE37CF" w14:textId="77777777" w:rsidR="000F6636" w:rsidRPr="00AE77A4" w:rsidRDefault="000F6636" w:rsidP="00484DB0">
            <w:pPr>
              <w:jc w:val="center"/>
              <w:rPr>
                <w:rFonts w:cs="Times New Roman"/>
                <w:color w:val="000000"/>
                <w:sz w:val="18"/>
                <w:szCs w:val="18"/>
              </w:rPr>
            </w:pPr>
            <w:r w:rsidRPr="00AE77A4">
              <w:rPr>
                <w:color w:val="000000"/>
                <w:sz w:val="18"/>
                <w:szCs w:val="18"/>
              </w:rPr>
              <w:t>-1,2</w:t>
            </w:r>
          </w:p>
        </w:tc>
        <w:tc>
          <w:tcPr>
            <w:tcW w:w="903" w:type="dxa"/>
            <w:gridSpan w:val="2"/>
            <w:tcBorders>
              <w:top w:val="nil"/>
              <w:left w:val="nil"/>
              <w:bottom w:val="nil"/>
              <w:right w:val="nil"/>
            </w:tcBorders>
            <w:shd w:val="clear" w:color="auto" w:fill="auto"/>
            <w:vAlign w:val="center"/>
            <w:hideMark/>
          </w:tcPr>
          <w:p w14:paraId="443FDAB6" w14:textId="77777777" w:rsidR="000F6636" w:rsidRPr="00AE77A4" w:rsidRDefault="000F6636" w:rsidP="00484DB0">
            <w:pPr>
              <w:jc w:val="center"/>
              <w:rPr>
                <w:rFonts w:cs="Times New Roman"/>
                <w:color w:val="000000"/>
                <w:sz w:val="18"/>
                <w:szCs w:val="18"/>
              </w:rPr>
            </w:pPr>
            <w:r w:rsidRPr="00AE77A4">
              <w:rPr>
                <w:color w:val="000000"/>
                <w:sz w:val="18"/>
                <w:szCs w:val="18"/>
              </w:rPr>
              <w:t>-0,3</w:t>
            </w:r>
          </w:p>
        </w:tc>
        <w:tc>
          <w:tcPr>
            <w:tcW w:w="903" w:type="dxa"/>
            <w:gridSpan w:val="2"/>
            <w:tcBorders>
              <w:top w:val="nil"/>
              <w:left w:val="nil"/>
              <w:bottom w:val="nil"/>
              <w:right w:val="nil"/>
            </w:tcBorders>
            <w:shd w:val="clear" w:color="auto" w:fill="auto"/>
            <w:vAlign w:val="center"/>
            <w:hideMark/>
          </w:tcPr>
          <w:p w14:paraId="60B66224" w14:textId="77777777" w:rsidR="000F6636" w:rsidRPr="00AE77A4" w:rsidRDefault="000F6636" w:rsidP="00484DB0">
            <w:pPr>
              <w:jc w:val="center"/>
              <w:rPr>
                <w:rFonts w:cs="Times New Roman"/>
                <w:color w:val="000000"/>
                <w:sz w:val="18"/>
                <w:szCs w:val="18"/>
              </w:rPr>
            </w:pPr>
            <w:r w:rsidRPr="00AE77A4">
              <w:rPr>
                <w:color w:val="000000"/>
                <w:sz w:val="18"/>
                <w:szCs w:val="18"/>
              </w:rPr>
              <w:t>-0,2</w:t>
            </w:r>
          </w:p>
        </w:tc>
        <w:tc>
          <w:tcPr>
            <w:tcW w:w="903" w:type="dxa"/>
            <w:gridSpan w:val="2"/>
            <w:tcBorders>
              <w:top w:val="nil"/>
              <w:left w:val="nil"/>
              <w:bottom w:val="nil"/>
              <w:right w:val="nil"/>
            </w:tcBorders>
            <w:shd w:val="clear" w:color="auto" w:fill="auto"/>
            <w:vAlign w:val="center"/>
          </w:tcPr>
          <w:p w14:paraId="4FDFD9BE" w14:textId="77777777" w:rsidR="000F6636" w:rsidRPr="00AE77A4" w:rsidRDefault="000F6636" w:rsidP="00484DB0">
            <w:pPr>
              <w:jc w:val="center"/>
              <w:rPr>
                <w:rFonts w:cs="Times New Roman"/>
                <w:color w:val="000000"/>
                <w:sz w:val="18"/>
                <w:szCs w:val="18"/>
              </w:rPr>
            </w:pPr>
            <w:r w:rsidRPr="00AE77A4">
              <w:rPr>
                <w:color w:val="000000"/>
                <w:sz w:val="18"/>
                <w:szCs w:val="18"/>
              </w:rPr>
              <w:t>-</w:t>
            </w:r>
          </w:p>
        </w:tc>
      </w:tr>
      <w:tr w:rsidR="000F6636" w:rsidRPr="0088520B" w14:paraId="0D2BE799" w14:textId="77777777" w:rsidTr="00484DB0">
        <w:trPr>
          <w:trHeight w:val="283"/>
        </w:trPr>
        <w:tc>
          <w:tcPr>
            <w:tcW w:w="2880" w:type="dxa"/>
            <w:tcBorders>
              <w:top w:val="nil"/>
              <w:left w:val="nil"/>
              <w:bottom w:val="nil"/>
              <w:right w:val="nil"/>
            </w:tcBorders>
            <w:shd w:val="clear" w:color="000000" w:fill="FFFFFF"/>
            <w:vAlign w:val="center"/>
            <w:hideMark/>
          </w:tcPr>
          <w:p w14:paraId="7B16E92E" w14:textId="77777777" w:rsidR="000F6636" w:rsidRPr="00AE77A4" w:rsidRDefault="000F6636" w:rsidP="00484DB0">
            <w:pPr>
              <w:rPr>
                <w:rFonts w:cs="Times New Roman"/>
                <w:b/>
                <w:bCs/>
                <w:color w:val="000000"/>
                <w:sz w:val="18"/>
                <w:szCs w:val="18"/>
              </w:rPr>
            </w:pPr>
            <w:r w:rsidRPr="00AE77A4">
              <w:rPr>
                <w:rFonts w:cs="Times New Roman"/>
                <w:b/>
                <w:bCs/>
                <w:color w:val="000000"/>
                <w:sz w:val="18"/>
                <w:szCs w:val="18"/>
              </w:rPr>
              <w:t>Hrubý dlh verejnej správy (% HDP)</w:t>
            </w:r>
          </w:p>
        </w:tc>
        <w:tc>
          <w:tcPr>
            <w:tcW w:w="818" w:type="dxa"/>
            <w:gridSpan w:val="2"/>
            <w:tcBorders>
              <w:top w:val="nil"/>
              <w:left w:val="nil"/>
              <w:bottom w:val="nil"/>
              <w:right w:val="nil"/>
            </w:tcBorders>
            <w:shd w:val="clear" w:color="000000" w:fill="FFFFFF"/>
            <w:vAlign w:val="center"/>
            <w:hideMark/>
          </w:tcPr>
          <w:p w14:paraId="38FC826C"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 </w:t>
            </w:r>
          </w:p>
        </w:tc>
        <w:tc>
          <w:tcPr>
            <w:tcW w:w="886" w:type="dxa"/>
            <w:gridSpan w:val="2"/>
            <w:tcBorders>
              <w:top w:val="single" w:sz="4" w:space="0" w:color="auto"/>
              <w:left w:val="nil"/>
              <w:bottom w:val="nil"/>
              <w:right w:val="nil"/>
            </w:tcBorders>
            <w:shd w:val="clear" w:color="auto" w:fill="auto"/>
            <w:vAlign w:val="center"/>
          </w:tcPr>
          <w:p w14:paraId="4A2434B0" w14:textId="77777777" w:rsidR="000F6636" w:rsidRPr="00AE77A4" w:rsidRDefault="000F6636" w:rsidP="00484DB0">
            <w:pPr>
              <w:jc w:val="center"/>
              <w:rPr>
                <w:rFonts w:cs="Times New Roman"/>
                <w:color w:val="000000"/>
                <w:sz w:val="18"/>
                <w:szCs w:val="18"/>
              </w:rPr>
            </w:pPr>
          </w:p>
        </w:tc>
        <w:tc>
          <w:tcPr>
            <w:tcW w:w="904" w:type="dxa"/>
            <w:gridSpan w:val="2"/>
            <w:tcBorders>
              <w:top w:val="single" w:sz="4" w:space="0" w:color="auto"/>
              <w:left w:val="nil"/>
              <w:bottom w:val="nil"/>
              <w:right w:val="nil"/>
            </w:tcBorders>
            <w:shd w:val="clear" w:color="auto" w:fill="auto"/>
            <w:vAlign w:val="center"/>
            <w:hideMark/>
          </w:tcPr>
          <w:p w14:paraId="6A061A67"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vAlign w:val="center"/>
            <w:hideMark/>
          </w:tcPr>
          <w:p w14:paraId="072FD2CA"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noWrap/>
            <w:vAlign w:val="center"/>
            <w:hideMark/>
          </w:tcPr>
          <w:p w14:paraId="50B63C0A"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noWrap/>
            <w:vAlign w:val="center"/>
            <w:hideMark/>
          </w:tcPr>
          <w:p w14:paraId="7A2A2F5C" w14:textId="77777777" w:rsidR="000F6636" w:rsidRPr="00AE77A4" w:rsidRDefault="000F6636" w:rsidP="00484DB0">
            <w:pPr>
              <w:jc w:val="center"/>
              <w:rPr>
                <w:rFonts w:cs="Times New Roman"/>
                <w:color w:val="000000"/>
                <w:sz w:val="18"/>
                <w:szCs w:val="18"/>
              </w:rPr>
            </w:pPr>
          </w:p>
        </w:tc>
        <w:tc>
          <w:tcPr>
            <w:tcW w:w="903" w:type="dxa"/>
            <w:gridSpan w:val="2"/>
            <w:tcBorders>
              <w:top w:val="single" w:sz="4" w:space="0" w:color="auto"/>
              <w:left w:val="nil"/>
              <w:bottom w:val="nil"/>
              <w:right w:val="nil"/>
            </w:tcBorders>
            <w:shd w:val="clear" w:color="auto" w:fill="auto"/>
            <w:noWrap/>
            <w:vAlign w:val="center"/>
          </w:tcPr>
          <w:p w14:paraId="3F67D38F" w14:textId="77777777" w:rsidR="000F6636" w:rsidRPr="00AE77A4" w:rsidRDefault="000F6636" w:rsidP="00484DB0">
            <w:pPr>
              <w:jc w:val="center"/>
              <w:rPr>
                <w:rFonts w:cs="Times New Roman"/>
                <w:color w:val="000000"/>
                <w:sz w:val="18"/>
                <w:szCs w:val="18"/>
              </w:rPr>
            </w:pPr>
          </w:p>
        </w:tc>
      </w:tr>
      <w:tr w:rsidR="000F6636" w:rsidRPr="0088520B" w14:paraId="1ABC070A" w14:textId="77777777" w:rsidTr="00484DB0">
        <w:trPr>
          <w:trHeight w:val="283"/>
        </w:trPr>
        <w:tc>
          <w:tcPr>
            <w:tcW w:w="2880" w:type="dxa"/>
            <w:tcBorders>
              <w:top w:val="nil"/>
              <w:left w:val="nil"/>
              <w:bottom w:val="nil"/>
              <w:right w:val="nil"/>
            </w:tcBorders>
            <w:shd w:val="clear" w:color="000000" w:fill="FFFFFF"/>
            <w:vAlign w:val="center"/>
            <w:hideMark/>
          </w:tcPr>
          <w:p w14:paraId="68609978"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Predchádzajúca aktualizácia*</w:t>
            </w:r>
          </w:p>
        </w:tc>
        <w:tc>
          <w:tcPr>
            <w:tcW w:w="818" w:type="dxa"/>
            <w:gridSpan w:val="2"/>
            <w:tcBorders>
              <w:top w:val="nil"/>
              <w:left w:val="nil"/>
              <w:bottom w:val="nil"/>
              <w:right w:val="nil"/>
            </w:tcBorders>
            <w:shd w:val="clear" w:color="000000" w:fill="FFFFFF"/>
            <w:noWrap/>
            <w:vAlign w:val="center"/>
            <w:hideMark/>
          </w:tcPr>
          <w:p w14:paraId="5CEC75F8"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noWrap/>
          </w:tcPr>
          <w:p w14:paraId="7676A214"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noWrap/>
            <w:vAlign w:val="center"/>
            <w:hideMark/>
          </w:tcPr>
          <w:p w14:paraId="4034C430" w14:textId="77777777" w:rsidR="000F6636" w:rsidRPr="00AE77A4" w:rsidRDefault="000F6636" w:rsidP="00484DB0">
            <w:pPr>
              <w:jc w:val="center"/>
              <w:rPr>
                <w:rFonts w:cs="Times New Roman"/>
                <w:color w:val="000000"/>
                <w:sz w:val="18"/>
                <w:szCs w:val="18"/>
              </w:rPr>
            </w:pPr>
            <w:r w:rsidRPr="00AE77A4">
              <w:rPr>
                <w:color w:val="000000"/>
                <w:sz w:val="18"/>
                <w:szCs w:val="18"/>
              </w:rPr>
              <w:t>58,7</w:t>
            </w:r>
          </w:p>
        </w:tc>
        <w:tc>
          <w:tcPr>
            <w:tcW w:w="903" w:type="dxa"/>
            <w:gridSpan w:val="2"/>
            <w:tcBorders>
              <w:top w:val="nil"/>
              <w:left w:val="nil"/>
              <w:bottom w:val="nil"/>
              <w:right w:val="nil"/>
            </w:tcBorders>
            <w:shd w:val="clear" w:color="auto" w:fill="auto"/>
            <w:noWrap/>
            <w:vAlign w:val="center"/>
            <w:hideMark/>
          </w:tcPr>
          <w:p w14:paraId="43574712" w14:textId="77777777" w:rsidR="000F6636" w:rsidRPr="00AE77A4" w:rsidRDefault="000F6636" w:rsidP="00484DB0">
            <w:pPr>
              <w:jc w:val="center"/>
              <w:rPr>
                <w:rFonts w:cs="Times New Roman"/>
                <w:color w:val="000000"/>
                <w:sz w:val="18"/>
                <w:szCs w:val="18"/>
              </w:rPr>
            </w:pPr>
            <w:r w:rsidRPr="00AE77A4">
              <w:rPr>
                <w:color w:val="000000"/>
                <w:sz w:val="18"/>
                <w:szCs w:val="18"/>
              </w:rPr>
              <w:t>59,3</w:t>
            </w:r>
          </w:p>
        </w:tc>
        <w:tc>
          <w:tcPr>
            <w:tcW w:w="903" w:type="dxa"/>
            <w:gridSpan w:val="2"/>
            <w:tcBorders>
              <w:top w:val="nil"/>
              <w:left w:val="nil"/>
              <w:bottom w:val="nil"/>
              <w:right w:val="nil"/>
            </w:tcBorders>
            <w:shd w:val="clear" w:color="auto" w:fill="auto"/>
            <w:noWrap/>
            <w:vAlign w:val="center"/>
            <w:hideMark/>
          </w:tcPr>
          <w:p w14:paraId="064E4B05" w14:textId="77777777" w:rsidR="000F6636" w:rsidRPr="00AE77A4" w:rsidRDefault="000F6636" w:rsidP="00484DB0">
            <w:pPr>
              <w:jc w:val="center"/>
              <w:rPr>
                <w:rFonts w:cs="Times New Roman"/>
                <w:color w:val="000000"/>
                <w:sz w:val="18"/>
                <w:szCs w:val="18"/>
              </w:rPr>
            </w:pPr>
            <w:r w:rsidRPr="00AE77A4">
              <w:rPr>
                <w:color w:val="000000"/>
                <w:sz w:val="18"/>
                <w:szCs w:val="18"/>
              </w:rPr>
              <w:t>59,8</w:t>
            </w:r>
          </w:p>
        </w:tc>
        <w:tc>
          <w:tcPr>
            <w:tcW w:w="903" w:type="dxa"/>
            <w:gridSpan w:val="2"/>
            <w:tcBorders>
              <w:top w:val="nil"/>
              <w:left w:val="nil"/>
              <w:bottom w:val="nil"/>
              <w:right w:val="nil"/>
            </w:tcBorders>
            <w:shd w:val="clear" w:color="auto" w:fill="auto"/>
            <w:noWrap/>
            <w:vAlign w:val="center"/>
            <w:hideMark/>
          </w:tcPr>
          <w:p w14:paraId="04A0AB41" w14:textId="77777777" w:rsidR="000F6636" w:rsidRPr="00AE77A4" w:rsidRDefault="000F6636" w:rsidP="00484DB0">
            <w:pPr>
              <w:jc w:val="center"/>
              <w:rPr>
                <w:rFonts w:cs="Times New Roman"/>
                <w:color w:val="000000"/>
                <w:sz w:val="18"/>
                <w:szCs w:val="18"/>
              </w:rPr>
            </w:pPr>
            <w:r w:rsidRPr="00AE77A4">
              <w:rPr>
                <w:color w:val="000000"/>
                <w:sz w:val="18"/>
                <w:szCs w:val="18"/>
              </w:rPr>
              <w:t>63,1</w:t>
            </w:r>
          </w:p>
        </w:tc>
        <w:tc>
          <w:tcPr>
            <w:tcW w:w="903" w:type="dxa"/>
            <w:gridSpan w:val="2"/>
            <w:tcBorders>
              <w:top w:val="nil"/>
              <w:left w:val="nil"/>
              <w:bottom w:val="nil"/>
              <w:right w:val="nil"/>
            </w:tcBorders>
            <w:shd w:val="clear" w:color="auto" w:fill="auto"/>
            <w:vAlign w:val="center"/>
          </w:tcPr>
          <w:p w14:paraId="22D68514" w14:textId="77777777" w:rsidR="000F6636" w:rsidRPr="00AE77A4" w:rsidRDefault="000F6636" w:rsidP="00484DB0">
            <w:pPr>
              <w:jc w:val="center"/>
              <w:rPr>
                <w:rFonts w:cs="Times New Roman"/>
                <w:color w:val="000000"/>
                <w:sz w:val="18"/>
                <w:szCs w:val="18"/>
              </w:rPr>
            </w:pPr>
            <w:r w:rsidRPr="00AE77A4">
              <w:rPr>
                <w:color w:val="000000"/>
                <w:sz w:val="18"/>
                <w:szCs w:val="18"/>
              </w:rPr>
              <w:t>-</w:t>
            </w:r>
          </w:p>
        </w:tc>
      </w:tr>
      <w:tr w:rsidR="000F6636" w:rsidRPr="0088520B" w14:paraId="3BDC8742" w14:textId="77777777" w:rsidTr="00484DB0">
        <w:trPr>
          <w:trHeight w:val="283"/>
        </w:trPr>
        <w:tc>
          <w:tcPr>
            <w:tcW w:w="2880" w:type="dxa"/>
            <w:tcBorders>
              <w:top w:val="nil"/>
              <w:left w:val="nil"/>
              <w:right w:val="nil"/>
            </w:tcBorders>
            <w:shd w:val="clear" w:color="000000" w:fill="FFFFFF"/>
            <w:vAlign w:val="center"/>
            <w:hideMark/>
          </w:tcPr>
          <w:p w14:paraId="3A66DC01"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Skutočnosť a súčasná aktualizácia**</w:t>
            </w:r>
          </w:p>
        </w:tc>
        <w:tc>
          <w:tcPr>
            <w:tcW w:w="818" w:type="dxa"/>
            <w:gridSpan w:val="2"/>
            <w:tcBorders>
              <w:top w:val="nil"/>
              <w:left w:val="nil"/>
              <w:right w:val="nil"/>
            </w:tcBorders>
            <w:shd w:val="clear" w:color="000000" w:fill="FFFFFF"/>
            <w:noWrap/>
            <w:vAlign w:val="center"/>
            <w:hideMark/>
          </w:tcPr>
          <w:p w14:paraId="1712F63F"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nil"/>
              <w:right w:val="nil"/>
            </w:tcBorders>
            <w:shd w:val="clear" w:color="auto" w:fill="auto"/>
            <w:noWrap/>
          </w:tcPr>
          <w:p w14:paraId="4D7D873B"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nil"/>
              <w:right w:val="nil"/>
            </w:tcBorders>
            <w:shd w:val="clear" w:color="auto" w:fill="auto"/>
            <w:noWrap/>
            <w:vAlign w:val="center"/>
            <w:hideMark/>
          </w:tcPr>
          <w:p w14:paraId="63B9D30D" w14:textId="77777777" w:rsidR="000F6636" w:rsidRPr="00AE77A4" w:rsidRDefault="000F6636" w:rsidP="00484DB0">
            <w:pPr>
              <w:jc w:val="center"/>
              <w:rPr>
                <w:rFonts w:cs="Times New Roman"/>
                <w:color w:val="000000"/>
                <w:sz w:val="18"/>
                <w:szCs w:val="18"/>
              </w:rPr>
            </w:pPr>
            <w:r w:rsidRPr="00AE77A4">
              <w:rPr>
                <w:color w:val="000000"/>
                <w:sz w:val="18"/>
                <w:szCs w:val="18"/>
              </w:rPr>
              <w:t>56,0</w:t>
            </w:r>
          </w:p>
        </w:tc>
        <w:tc>
          <w:tcPr>
            <w:tcW w:w="903" w:type="dxa"/>
            <w:gridSpan w:val="2"/>
            <w:tcBorders>
              <w:top w:val="nil"/>
              <w:left w:val="nil"/>
              <w:bottom w:val="nil"/>
              <w:right w:val="nil"/>
            </w:tcBorders>
            <w:shd w:val="clear" w:color="auto" w:fill="auto"/>
            <w:noWrap/>
            <w:vAlign w:val="center"/>
            <w:hideMark/>
          </w:tcPr>
          <w:p w14:paraId="6AE273C9" w14:textId="77777777" w:rsidR="000F6636" w:rsidRPr="00AE77A4" w:rsidRDefault="000F6636" w:rsidP="00484DB0">
            <w:pPr>
              <w:jc w:val="center"/>
              <w:rPr>
                <w:rFonts w:cs="Times New Roman"/>
                <w:color w:val="000000"/>
                <w:sz w:val="18"/>
                <w:szCs w:val="18"/>
              </w:rPr>
            </w:pPr>
            <w:r w:rsidRPr="00AE77A4">
              <w:rPr>
                <w:color w:val="000000"/>
                <w:sz w:val="18"/>
                <w:szCs w:val="18"/>
              </w:rPr>
              <w:t>58,6</w:t>
            </w:r>
          </w:p>
        </w:tc>
        <w:tc>
          <w:tcPr>
            <w:tcW w:w="903" w:type="dxa"/>
            <w:gridSpan w:val="2"/>
            <w:tcBorders>
              <w:top w:val="nil"/>
              <w:left w:val="nil"/>
              <w:bottom w:val="nil"/>
              <w:right w:val="nil"/>
            </w:tcBorders>
            <w:shd w:val="clear" w:color="auto" w:fill="auto"/>
            <w:noWrap/>
            <w:vAlign w:val="center"/>
            <w:hideMark/>
          </w:tcPr>
          <w:p w14:paraId="0C80CC9A" w14:textId="77777777" w:rsidR="000F6636" w:rsidRPr="00AE77A4" w:rsidRDefault="000F6636" w:rsidP="00484DB0">
            <w:pPr>
              <w:jc w:val="center"/>
              <w:rPr>
                <w:rFonts w:cs="Times New Roman"/>
                <w:color w:val="000000"/>
                <w:sz w:val="18"/>
                <w:szCs w:val="18"/>
              </w:rPr>
            </w:pPr>
            <w:r w:rsidRPr="00AE77A4">
              <w:rPr>
                <w:color w:val="000000"/>
                <w:sz w:val="18"/>
                <w:szCs w:val="18"/>
              </w:rPr>
              <w:t>59,8</w:t>
            </w:r>
          </w:p>
        </w:tc>
        <w:tc>
          <w:tcPr>
            <w:tcW w:w="903" w:type="dxa"/>
            <w:gridSpan w:val="2"/>
            <w:tcBorders>
              <w:top w:val="nil"/>
              <w:left w:val="nil"/>
              <w:bottom w:val="nil"/>
              <w:right w:val="nil"/>
            </w:tcBorders>
            <w:shd w:val="clear" w:color="auto" w:fill="auto"/>
            <w:noWrap/>
            <w:vAlign w:val="center"/>
            <w:hideMark/>
          </w:tcPr>
          <w:p w14:paraId="4435D6AF" w14:textId="77777777" w:rsidR="000F6636" w:rsidRPr="00AE77A4" w:rsidRDefault="000F6636" w:rsidP="00484DB0">
            <w:pPr>
              <w:jc w:val="center"/>
              <w:rPr>
                <w:rFonts w:cs="Times New Roman"/>
                <w:color w:val="000000"/>
                <w:sz w:val="18"/>
                <w:szCs w:val="18"/>
              </w:rPr>
            </w:pPr>
            <w:r w:rsidRPr="00AE77A4">
              <w:rPr>
                <w:color w:val="000000"/>
                <w:sz w:val="18"/>
                <w:szCs w:val="18"/>
              </w:rPr>
              <w:t>63,6</w:t>
            </w:r>
          </w:p>
        </w:tc>
        <w:tc>
          <w:tcPr>
            <w:tcW w:w="903" w:type="dxa"/>
            <w:gridSpan w:val="2"/>
            <w:tcBorders>
              <w:top w:val="nil"/>
              <w:left w:val="nil"/>
              <w:bottom w:val="nil"/>
              <w:right w:val="nil"/>
            </w:tcBorders>
            <w:shd w:val="clear" w:color="auto" w:fill="auto"/>
            <w:noWrap/>
            <w:vAlign w:val="center"/>
          </w:tcPr>
          <w:p w14:paraId="6079CDE4" w14:textId="77777777" w:rsidR="000F6636" w:rsidRPr="00AE77A4" w:rsidRDefault="000F6636" w:rsidP="00484DB0">
            <w:pPr>
              <w:jc w:val="center"/>
              <w:rPr>
                <w:rFonts w:cs="Times New Roman"/>
                <w:color w:val="000000"/>
                <w:sz w:val="18"/>
                <w:szCs w:val="18"/>
              </w:rPr>
            </w:pPr>
            <w:r w:rsidRPr="00AE77A4">
              <w:rPr>
                <w:color w:val="000000"/>
                <w:sz w:val="18"/>
                <w:szCs w:val="18"/>
              </w:rPr>
              <w:t>67,8</w:t>
            </w:r>
          </w:p>
        </w:tc>
      </w:tr>
      <w:tr w:rsidR="000F6636" w:rsidRPr="0088520B" w14:paraId="6F68A445" w14:textId="77777777" w:rsidTr="00484DB0">
        <w:trPr>
          <w:trHeight w:val="283"/>
        </w:trPr>
        <w:tc>
          <w:tcPr>
            <w:tcW w:w="2880" w:type="dxa"/>
            <w:tcBorders>
              <w:top w:val="nil"/>
              <w:left w:val="nil"/>
              <w:bottom w:val="single" w:sz="8" w:space="0" w:color="auto"/>
              <w:right w:val="nil"/>
            </w:tcBorders>
            <w:shd w:val="clear" w:color="000000" w:fill="FFFFFF"/>
            <w:vAlign w:val="center"/>
            <w:hideMark/>
          </w:tcPr>
          <w:p w14:paraId="163DCA3E" w14:textId="77777777" w:rsidR="000F6636" w:rsidRPr="00AE77A4" w:rsidRDefault="000F6636" w:rsidP="00484DB0">
            <w:pPr>
              <w:ind w:firstLineChars="100" w:firstLine="180"/>
              <w:rPr>
                <w:rFonts w:cs="Times New Roman"/>
                <w:color w:val="000000"/>
                <w:sz w:val="18"/>
                <w:szCs w:val="18"/>
              </w:rPr>
            </w:pPr>
            <w:r w:rsidRPr="00AE77A4">
              <w:rPr>
                <w:rFonts w:cs="Times New Roman"/>
                <w:color w:val="000000"/>
                <w:sz w:val="18"/>
                <w:szCs w:val="18"/>
              </w:rPr>
              <w:t>Rozdiel</w:t>
            </w:r>
          </w:p>
        </w:tc>
        <w:tc>
          <w:tcPr>
            <w:tcW w:w="818" w:type="dxa"/>
            <w:gridSpan w:val="2"/>
            <w:tcBorders>
              <w:top w:val="nil"/>
              <w:left w:val="nil"/>
              <w:bottom w:val="single" w:sz="8" w:space="0" w:color="auto"/>
              <w:right w:val="nil"/>
            </w:tcBorders>
            <w:shd w:val="clear" w:color="000000" w:fill="FFFFFF"/>
            <w:vAlign w:val="center"/>
            <w:hideMark/>
          </w:tcPr>
          <w:p w14:paraId="5B846924" w14:textId="77777777" w:rsidR="000F6636" w:rsidRPr="00AE77A4" w:rsidRDefault="000F6636" w:rsidP="00484DB0">
            <w:pPr>
              <w:jc w:val="center"/>
              <w:rPr>
                <w:rFonts w:cs="Times New Roman"/>
                <w:color w:val="000000"/>
                <w:sz w:val="18"/>
                <w:szCs w:val="18"/>
              </w:rPr>
            </w:pPr>
            <w:r w:rsidRPr="00AE77A4">
              <w:rPr>
                <w:rFonts w:cs="Times New Roman"/>
                <w:color w:val="000000"/>
                <w:sz w:val="18"/>
                <w:szCs w:val="18"/>
              </w:rPr>
              <w:t> </w:t>
            </w:r>
          </w:p>
        </w:tc>
        <w:tc>
          <w:tcPr>
            <w:tcW w:w="886" w:type="dxa"/>
            <w:gridSpan w:val="2"/>
            <w:tcBorders>
              <w:top w:val="nil"/>
              <w:left w:val="nil"/>
              <w:bottom w:val="single" w:sz="4" w:space="0" w:color="auto"/>
              <w:right w:val="nil"/>
            </w:tcBorders>
            <w:shd w:val="clear" w:color="auto" w:fill="auto"/>
          </w:tcPr>
          <w:p w14:paraId="01C261E6" w14:textId="77777777" w:rsidR="000F6636" w:rsidRPr="00AE77A4" w:rsidRDefault="000F6636" w:rsidP="00484DB0">
            <w:pPr>
              <w:jc w:val="center"/>
              <w:rPr>
                <w:rFonts w:cs="Times New Roman"/>
                <w:color w:val="000000"/>
                <w:sz w:val="18"/>
                <w:szCs w:val="18"/>
              </w:rPr>
            </w:pPr>
          </w:p>
        </w:tc>
        <w:tc>
          <w:tcPr>
            <w:tcW w:w="904" w:type="dxa"/>
            <w:gridSpan w:val="2"/>
            <w:tcBorders>
              <w:top w:val="nil"/>
              <w:left w:val="nil"/>
              <w:bottom w:val="single" w:sz="4" w:space="0" w:color="auto"/>
              <w:right w:val="nil"/>
            </w:tcBorders>
            <w:shd w:val="clear" w:color="auto" w:fill="auto"/>
            <w:vAlign w:val="center"/>
            <w:hideMark/>
          </w:tcPr>
          <w:p w14:paraId="1932638A" w14:textId="77777777" w:rsidR="000F6636" w:rsidRPr="00AE77A4" w:rsidRDefault="000F6636" w:rsidP="00484DB0">
            <w:pPr>
              <w:jc w:val="center"/>
              <w:rPr>
                <w:rFonts w:cs="Times New Roman"/>
                <w:color w:val="000000"/>
                <w:sz w:val="18"/>
                <w:szCs w:val="18"/>
              </w:rPr>
            </w:pPr>
            <w:r w:rsidRPr="00AE77A4">
              <w:rPr>
                <w:color w:val="000000"/>
                <w:sz w:val="18"/>
                <w:szCs w:val="18"/>
              </w:rPr>
              <w:t>-2,6</w:t>
            </w:r>
          </w:p>
        </w:tc>
        <w:tc>
          <w:tcPr>
            <w:tcW w:w="903" w:type="dxa"/>
            <w:gridSpan w:val="2"/>
            <w:tcBorders>
              <w:top w:val="nil"/>
              <w:left w:val="nil"/>
              <w:bottom w:val="single" w:sz="4" w:space="0" w:color="auto"/>
              <w:right w:val="nil"/>
            </w:tcBorders>
            <w:shd w:val="clear" w:color="auto" w:fill="auto"/>
            <w:vAlign w:val="center"/>
            <w:hideMark/>
          </w:tcPr>
          <w:p w14:paraId="3D215457" w14:textId="77777777" w:rsidR="000F6636" w:rsidRPr="00AE77A4" w:rsidRDefault="000F6636" w:rsidP="00484DB0">
            <w:pPr>
              <w:jc w:val="center"/>
              <w:rPr>
                <w:rFonts w:cs="Times New Roman"/>
                <w:color w:val="000000"/>
                <w:sz w:val="18"/>
                <w:szCs w:val="18"/>
              </w:rPr>
            </w:pPr>
            <w:r w:rsidRPr="00AE77A4">
              <w:rPr>
                <w:color w:val="000000"/>
                <w:sz w:val="18"/>
                <w:szCs w:val="18"/>
              </w:rPr>
              <w:t>-0,7</w:t>
            </w:r>
          </w:p>
        </w:tc>
        <w:tc>
          <w:tcPr>
            <w:tcW w:w="903" w:type="dxa"/>
            <w:gridSpan w:val="2"/>
            <w:tcBorders>
              <w:top w:val="nil"/>
              <w:left w:val="nil"/>
              <w:bottom w:val="single" w:sz="4" w:space="0" w:color="auto"/>
              <w:right w:val="nil"/>
            </w:tcBorders>
            <w:shd w:val="clear" w:color="auto" w:fill="auto"/>
            <w:vAlign w:val="center"/>
            <w:hideMark/>
          </w:tcPr>
          <w:p w14:paraId="42AD68B8" w14:textId="77777777" w:rsidR="000F6636" w:rsidRPr="00AE77A4" w:rsidRDefault="000F6636" w:rsidP="00484DB0">
            <w:pPr>
              <w:jc w:val="center"/>
              <w:rPr>
                <w:rFonts w:cs="Times New Roman"/>
                <w:color w:val="000000"/>
                <w:sz w:val="18"/>
                <w:szCs w:val="18"/>
              </w:rPr>
            </w:pPr>
            <w:r w:rsidRPr="00AE77A4">
              <w:rPr>
                <w:color w:val="000000"/>
                <w:sz w:val="18"/>
                <w:szCs w:val="18"/>
              </w:rPr>
              <w:t>0,0</w:t>
            </w:r>
          </w:p>
        </w:tc>
        <w:tc>
          <w:tcPr>
            <w:tcW w:w="903" w:type="dxa"/>
            <w:gridSpan w:val="2"/>
            <w:tcBorders>
              <w:top w:val="nil"/>
              <w:left w:val="nil"/>
              <w:bottom w:val="single" w:sz="4" w:space="0" w:color="auto"/>
              <w:right w:val="nil"/>
            </w:tcBorders>
            <w:shd w:val="clear" w:color="auto" w:fill="auto"/>
            <w:vAlign w:val="center"/>
            <w:hideMark/>
          </w:tcPr>
          <w:p w14:paraId="11972FE4" w14:textId="77777777" w:rsidR="000F6636" w:rsidRPr="00AE77A4" w:rsidRDefault="000F6636" w:rsidP="00484DB0">
            <w:pPr>
              <w:jc w:val="center"/>
              <w:rPr>
                <w:rFonts w:cs="Times New Roman"/>
                <w:color w:val="000000"/>
                <w:sz w:val="18"/>
                <w:szCs w:val="18"/>
              </w:rPr>
            </w:pPr>
            <w:r w:rsidRPr="00AE77A4">
              <w:rPr>
                <w:color w:val="000000"/>
                <w:sz w:val="18"/>
                <w:szCs w:val="18"/>
              </w:rPr>
              <w:t>0,5</w:t>
            </w:r>
          </w:p>
        </w:tc>
        <w:tc>
          <w:tcPr>
            <w:tcW w:w="903" w:type="dxa"/>
            <w:gridSpan w:val="2"/>
            <w:tcBorders>
              <w:top w:val="nil"/>
              <w:left w:val="nil"/>
              <w:bottom w:val="nil"/>
              <w:right w:val="nil"/>
            </w:tcBorders>
            <w:shd w:val="clear" w:color="auto" w:fill="auto"/>
            <w:vAlign w:val="center"/>
          </w:tcPr>
          <w:p w14:paraId="7014F785" w14:textId="77777777" w:rsidR="000F6636" w:rsidRPr="00AE77A4" w:rsidRDefault="000F6636" w:rsidP="00484DB0">
            <w:pPr>
              <w:jc w:val="center"/>
              <w:rPr>
                <w:rFonts w:cs="Times New Roman"/>
                <w:color w:val="000000"/>
                <w:sz w:val="18"/>
                <w:szCs w:val="18"/>
              </w:rPr>
            </w:pPr>
            <w:r w:rsidRPr="00AE77A4">
              <w:rPr>
                <w:color w:val="000000"/>
                <w:sz w:val="18"/>
                <w:szCs w:val="18"/>
              </w:rPr>
              <w:t>-</w:t>
            </w:r>
          </w:p>
        </w:tc>
      </w:tr>
      <w:tr w:rsidR="000F6636" w:rsidRPr="0088520B" w14:paraId="191B7BA5" w14:textId="77777777" w:rsidTr="00484DB0">
        <w:trPr>
          <w:trHeight w:val="283"/>
        </w:trPr>
        <w:tc>
          <w:tcPr>
            <w:tcW w:w="4584" w:type="dxa"/>
            <w:gridSpan w:val="5"/>
            <w:tcBorders>
              <w:top w:val="single" w:sz="8" w:space="0" w:color="auto"/>
              <w:left w:val="nil"/>
              <w:bottom w:val="nil"/>
              <w:right w:val="nil"/>
            </w:tcBorders>
            <w:shd w:val="clear" w:color="auto" w:fill="auto"/>
            <w:noWrap/>
            <w:vAlign w:val="center"/>
            <w:hideMark/>
          </w:tcPr>
          <w:p w14:paraId="1C72EE1E" w14:textId="77777777" w:rsidR="000F6636" w:rsidRPr="00AE77A4" w:rsidRDefault="000F6636" w:rsidP="00484DB0">
            <w:pPr>
              <w:rPr>
                <w:rFonts w:ascii="Times New Roman" w:hAnsi="Times New Roman" w:cs="Times New Roman"/>
                <w:sz w:val="16"/>
                <w:szCs w:val="18"/>
              </w:rPr>
            </w:pPr>
            <w:r w:rsidRPr="00AE77A4">
              <w:rPr>
                <w:rFonts w:cs="Times New Roman"/>
                <w:i/>
                <w:iCs/>
                <w:color w:val="000000"/>
                <w:sz w:val="16"/>
                <w:szCs w:val="18"/>
              </w:rPr>
              <w:t xml:space="preserve">Pozn.: * Program stability SR na roky 2023 </w:t>
            </w:r>
            <w:r>
              <w:rPr>
                <w:rFonts w:cs="Times New Roman"/>
                <w:i/>
                <w:iCs/>
                <w:color w:val="000000"/>
                <w:sz w:val="16"/>
                <w:szCs w:val="18"/>
              </w:rPr>
              <w:t>–</w:t>
            </w:r>
            <w:r w:rsidRPr="00AE77A4">
              <w:rPr>
                <w:rFonts w:cs="Times New Roman"/>
                <w:i/>
                <w:iCs/>
                <w:color w:val="000000"/>
                <w:sz w:val="16"/>
                <w:szCs w:val="18"/>
              </w:rPr>
              <w:t xml:space="preserve"> 202</w:t>
            </w:r>
            <w:r>
              <w:rPr>
                <w:rFonts w:cs="Times New Roman"/>
                <w:i/>
                <w:iCs/>
                <w:color w:val="000000"/>
                <w:sz w:val="16"/>
                <w:szCs w:val="18"/>
              </w:rPr>
              <w:t>6.</w:t>
            </w:r>
          </w:p>
        </w:tc>
        <w:tc>
          <w:tcPr>
            <w:tcW w:w="904" w:type="dxa"/>
            <w:gridSpan w:val="2"/>
            <w:tcBorders>
              <w:top w:val="single" w:sz="8" w:space="0" w:color="auto"/>
              <w:left w:val="nil"/>
              <w:bottom w:val="nil"/>
              <w:right w:val="nil"/>
            </w:tcBorders>
            <w:shd w:val="clear" w:color="auto" w:fill="auto"/>
            <w:noWrap/>
            <w:vAlign w:val="center"/>
            <w:hideMark/>
          </w:tcPr>
          <w:p w14:paraId="0025C2E7" w14:textId="77777777" w:rsidR="000F6636" w:rsidRPr="00AE77A4" w:rsidRDefault="000F6636" w:rsidP="00484DB0">
            <w:pPr>
              <w:rPr>
                <w:rFonts w:ascii="Times New Roman" w:hAnsi="Times New Roman" w:cs="Times New Roman"/>
                <w:sz w:val="18"/>
                <w:szCs w:val="18"/>
              </w:rPr>
            </w:pPr>
          </w:p>
        </w:tc>
        <w:tc>
          <w:tcPr>
            <w:tcW w:w="903" w:type="dxa"/>
            <w:gridSpan w:val="2"/>
            <w:tcBorders>
              <w:top w:val="single" w:sz="8" w:space="0" w:color="auto"/>
              <w:left w:val="nil"/>
              <w:bottom w:val="nil"/>
              <w:right w:val="nil"/>
            </w:tcBorders>
            <w:shd w:val="clear" w:color="auto" w:fill="auto"/>
            <w:noWrap/>
            <w:vAlign w:val="center"/>
            <w:hideMark/>
          </w:tcPr>
          <w:p w14:paraId="43B2CEC4" w14:textId="77777777" w:rsidR="000F6636" w:rsidRPr="00AE77A4" w:rsidRDefault="000F6636" w:rsidP="00484DB0">
            <w:pPr>
              <w:rPr>
                <w:rFonts w:ascii="Times New Roman" w:hAnsi="Times New Roman" w:cs="Times New Roman"/>
                <w:sz w:val="18"/>
                <w:szCs w:val="18"/>
              </w:rPr>
            </w:pPr>
          </w:p>
        </w:tc>
        <w:tc>
          <w:tcPr>
            <w:tcW w:w="2709" w:type="dxa"/>
            <w:gridSpan w:val="6"/>
            <w:tcBorders>
              <w:top w:val="single" w:sz="8" w:space="0" w:color="auto"/>
              <w:left w:val="nil"/>
              <w:bottom w:val="nil"/>
              <w:right w:val="nil"/>
            </w:tcBorders>
            <w:shd w:val="clear" w:color="auto" w:fill="auto"/>
            <w:noWrap/>
            <w:vAlign w:val="center"/>
            <w:hideMark/>
          </w:tcPr>
          <w:p w14:paraId="3DB30D8C" w14:textId="77777777" w:rsidR="000F6636" w:rsidRPr="00AE77A4" w:rsidRDefault="000F6636" w:rsidP="00484DB0">
            <w:pPr>
              <w:jc w:val="right"/>
              <w:rPr>
                <w:rFonts w:cs="Times New Roman"/>
                <w:i/>
                <w:iCs/>
                <w:color w:val="000000"/>
                <w:sz w:val="18"/>
                <w:szCs w:val="18"/>
              </w:rPr>
            </w:pPr>
            <w:r w:rsidRPr="00AE77A4">
              <w:rPr>
                <w:rFonts w:cs="Times New Roman"/>
                <w:i/>
                <w:iCs/>
                <w:color w:val="000000"/>
                <w:sz w:val="16"/>
                <w:szCs w:val="18"/>
              </w:rPr>
              <w:t>Zdroj: MF SR</w:t>
            </w:r>
          </w:p>
        </w:tc>
      </w:tr>
      <w:tr w:rsidR="000F6636" w:rsidRPr="0088520B" w14:paraId="2138138E" w14:textId="77777777" w:rsidTr="00484DB0">
        <w:trPr>
          <w:trHeight w:val="283"/>
        </w:trPr>
        <w:tc>
          <w:tcPr>
            <w:tcW w:w="4584" w:type="dxa"/>
            <w:gridSpan w:val="5"/>
            <w:tcBorders>
              <w:top w:val="nil"/>
              <w:left w:val="nil"/>
              <w:bottom w:val="nil"/>
              <w:right w:val="nil"/>
            </w:tcBorders>
            <w:shd w:val="clear" w:color="000000" w:fill="FFFFFF"/>
            <w:hideMark/>
          </w:tcPr>
          <w:p w14:paraId="4E631CDE" w14:textId="77777777" w:rsidR="000F6636" w:rsidRPr="000F66D8" w:rsidRDefault="000F6636" w:rsidP="00484DB0">
            <w:pPr>
              <w:rPr>
                <w:rFonts w:ascii="Times New Roman" w:hAnsi="Times New Roman" w:cs="Times New Roman"/>
                <w:i/>
                <w:iCs/>
                <w:sz w:val="16"/>
                <w:szCs w:val="18"/>
              </w:rPr>
            </w:pPr>
            <w:r w:rsidRPr="000F66D8">
              <w:rPr>
                <w:rFonts w:cs="Times New Roman"/>
                <w:i/>
                <w:iCs/>
                <w:sz w:val="16"/>
                <w:szCs w:val="18"/>
              </w:rPr>
              <w:t>** Pre rok 2024 uvádzame očakávanú skutočnosť</w:t>
            </w:r>
          </w:p>
        </w:tc>
        <w:tc>
          <w:tcPr>
            <w:tcW w:w="904" w:type="dxa"/>
            <w:gridSpan w:val="2"/>
            <w:tcBorders>
              <w:top w:val="nil"/>
              <w:left w:val="nil"/>
              <w:bottom w:val="nil"/>
              <w:right w:val="nil"/>
            </w:tcBorders>
            <w:shd w:val="clear" w:color="auto" w:fill="auto"/>
            <w:noWrap/>
            <w:vAlign w:val="bottom"/>
            <w:hideMark/>
          </w:tcPr>
          <w:p w14:paraId="4B5745C4" w14:textId="77777777" w:rsidR="000F6636" w:rsidRPr="00AE77A4" w:rsidRDefault="000F6636" w:rsidP="00484DB0">
            <w:pPr>
              <w:rPr>
                <w:rFonts w:ascii="Times New Roman" w:hAnsi="Times New Roman" w:cs="Times New Roman"/>
                <w:sz w:val="18"/>
                <w:szCs w:val="18"/>
              </w:rPr>
            </w:pPr>
          </w:p>
        </w:tc>
        <w:tc>
          <w:tcPr>
            <w:tcW w:w="903" w:type="dxa"/>
            <w:gridSpan w:val="2"/>
            <w:tcBorders>
              <w:top w:val="nil"/>
              <w:left w:val="nil"/>
              <w:bottom w:val="nil"/>
              <w:right w:val="nil"/>
            </w:tcBorders>
            <w:shd w:val="clear" w:color="auto" w:fill="auto"/>
            <w:noWrap/>
            <w:vAlign w:val="bottom"/>
            <w:hideMark/>
          </w:tcPr>
          <w:p w14:paraId="6E1C573A" w14:textId="77777777" w:rsidR="000F6636" w:rsidRPr="00AE77A4" w:rsidRDefault="000F6636" w:rsidP="00484DB0">
            <w:pPr>
              <w:rPr>
                <w:rFonts w:ascii="Times New Roman" w:hAnsi="Times New Roman" w:cs="Times New Roman"/>
                <w:sz w:val="18"/>
                <w:szCs w:val="18"/>
              </w:rPr>
            </w:pPr>
          </w:p>
        </w:tc>
        <w:tc>
          <w:tcPr>
            <w:tcW w:w="903" w:type="dxa"/>
            <w:gridSpan w:val="2"/>
            <w:tcBorders>
              <w:top w:val="nil"/>
              <w:left w:val="nil"/>
              <w:bottom w:val="nil"/>
              <w:right w:val="nil"/>
            </w:tcBorders>
            <w:shd w:val="clear" w:color="auto" w:fill="auto"/>
            <w:noWrap/>
            <w:vAlign w:val="bottom"/>
            <w:hideMark/>
          </w:tcPr>
          <w:p w14:paraId="504B42E8" w14:textId="77777777" w:rsidR="000F6636" w:rsidRPr="00AE77A4" w:rsidRDefault="000F6636" w:rsidP="00484DB0">
            <w:pPr>
              <w:rPr>
                <w:rFonts w:ascii="Times New Roman" w:hAnsi="Times New Roman" w:cs="Times New Roman"/>
                <w:sz w:val="18"/>
                <w:szCs w:val="18"/>
              </w:rPr>
            </w:pPr>
          </w:p>
        </w:tc>
        <w:tc>
          <w:tcPr>
            <w:tcW w:w="903" w:type="dxa"/>
            <w:gridSpan w:val="2"/>
            <w:tcBorders>
              <w:top w:val="nil"/>
              <w:left w:val="nil"/>
              <w:bottom w:val="nil"/>
              <w:right w:val="nil"/>
            </w:tcBorders>
            <w:shd w:val="clear" w:color="auto" w:fill="auto"/>
            <w:noWrap/>
            <w:vAlign w:val="bottom"/>
            <w:hideMark/>
          </w:tcPr>
          <w:p w14:paraId="72529B6A" w14:textId="77777777" w:rsidR="000F6636" w:rsidRPr="00AE77A4" w:rsidRDefault="000F6636" w:rsidP="00484DB0">
            <w:pPr>
              <w:rPr>
                <w:rFonts w:ascii="Times New Roman" w:hAnsi="Times New Roman" w:cs="Times New Roman"/>
                <w:sz w:val="18"/>
                <w:szCs w:val="18"/>
              </w:rPr>
            </w:pPr>
          </w:p>
        </w:tc>
        <w:tc>
          <w:tcPr>
            <w:tcW w:w="903" w:type="dxa"/>
            <w:gridSpan w:val="2"/>
            <w:tcBorders>
              <w:top w:val="nil"/>
              <w:left w:val="nil"/>
              <w:bottom w:val="nil"/>
              <w:right w:val="nil"/>
            </w:tcBorders>
            <w:shd w:val="clear" w:color="auto" w:fill="auto"/>
            <w:noWrap/>
            <w:vAlign w:val="bottom"/>
            <w:hideMark/>
          </w:tcPr>
          <w:p w14:paraId="6621293E" w14:textId="77777777" w:rsidR="000F6636" w:rsidRPr="00AE77A4" w:rsidRDefault="000F6636" w:rsidP="00484DB0">
            <w:pPr>
              <w:rPr>
                <w:rFonts w:ascii="Times New Roman" w:hAnsi="Times New Roman" w:cs="Times New Roman"/>
                <w:sz w:val="18"/>
                <w:szCs w:val="18"/>
              </w:rPr>
            </w:pPr>
          </w:p>
        </w:tc>
      </w:tr>
    </w:tbl>
    <w:p w14:paraId="7F52F4DD" w14:textId="77777777" w:rsidR="000F6636" w:rsidRPr="0088520B" w:rsidRDefault="000F6636" w:rsidP="000F6636">
      <w:pPr>
        <w:rPr>
          <w:rFonts w:cs="Arial"/>
          <w:b/>
          <w:bCs/>
          <w:color w:val="5B9BD5"/>
          <w:sz w:val="18"/>
          <w:szCs w:val="18"/>
          <w:highlight w:val="yellow"/>
        </w:rPr>
      </w:pPr>
    </w:p>
    <w:tbl>
      <w:tblPr>
        <w:tblW w:w="9053" w:type="dxa"/>
        <w:tblCellMar>
          <w:left w:w="70" w:type="dxa"/>
          <w:right w:w="70" w:type="dxa"/>
        </w:tblCellMar>
        <w:tblLook w:val="04A0" w:firstRow="1" w:lastRow="0" w:firstColumn="1" w:lastColumn="0" w:noHBand="0" w:noVBand="1"/>
      </w:tblPr>
      <w:tblGrid>
        <w:gridCol w:w="5531"/>
        <w:gridCol w:w="168"/>
        <w:gridCol w:w="482"/>
        <w:gridCol w:w="470"/>
        <w:gridCol w:w="12"/>
        <w:gridCol w:w="244"/>
        <w:gridCol w:w="238"/>
        <w:gridCol w:w="231"/>
        <w:gridCol w:w="251"/>
        <w:gridCol w:w="164"/>
        <w:gridCol w:w="40"/>
        <w:gridCol w:w="344"/>
        <w:gridCol w:w="180"/>
        <w:gridCol w:w="378"/>
        <w:gridCol w:w="177"/>
        <w:gridCol w:w="49"/>
        <w:gridCol w:w="94"/>
      </w:tblGrid>
      <w:tr w:rsidR="000F6636" w:rsidRPr="0088520B" w14:paraId="518AE789" w14:textId="77777777" w:rsidTr="00484DB0">
        <w:trPr>
          <w:trHeight w:val="283"/>
        </w:trPr>
        <w:tc>
          <w:tcPr>
            <w:tcW w:w="7831" w:type="dxa"/>
            <w:gridSpan w:val="11"/>
            <w:tcBorders>
              <w:top w:val="nil"/>
              <w:left w:val="nil"/>
              <w:bottom w:val="single" w:sz="8" w:space="0" w:color="auto"/>
              <w:right w:val="nil"/>
            </w:tcBorders>
            <w:shd w:val="clear" w:color="auto" w:fill="auto"/>
            <w:noWrap/>
            <w:vAlign w:val="bottom"/>
            <w:hideMark/>
          </w:tcPr>
          <w:p w14:paraId="2C88D106" w14:textId="61F144DC" w:rsidR="000F6636" w:rsidRPr="00EF7B59" w:rsidRDefault="000F6636" w:rsidP="00484DB0">
            <w:pPr>
              <w:rPr>
                <w:rFonts w:eastAsia="Calibri"/>
                <w:b/>
                <w:color w:val="2C9ADC"/>
                <w:sz w:val="20"/>
                <w:szCs w:val="20"/>
              </w:rPr>
            </w:pPr>
            <w:bookmarkStart w:id="278" w:name="_Toc480905421"/>
            <w:bookmarkStart w:id="279" w:name="_Toc6314228"/>
            <w:bookmarkStart w:id="280" w:name="_Toc71622468"/>
            <w:r w:rsidRPr="00EF7B59">
              <w:rPr>
                <w:rFonts w:eastAsia="Calibri"/>
                <w:b/>
                <w:color w:val="2C9ADC"/>
                <w:sz w:val="20"/>
                <w:szCs w:val="20"/>
              </w:rPr>
              <w:t>Tabuľka 7 – Dlhodobá udržateľnosť verejných financií (% HDP)</w:t>
            </w:r>
            <w:bookmarkEnd w:id="278"/>
            <w:bookmarkEnd w:id="279"/>
            <w:bookmarkEnd w:id="280"/>
            <w:r w:rsidR="00E16408">
              <w:rPr>
                <w:rFonts w:eastAsia="Calibri"/>
                <w:b/>
                <w:color w:val="2C9ADC"/>
                <w:sz w:val="20"/>
                <w:szCs w:val="20"/>
              </w:rPr>
              <w:t>*</w:t>
            </w:r>
          </w:p>
        </w:tc>
        <w:tc>
          <w:tcPr>
            <w:tcW w:w="524" w:type="dxa"/>
            <w:gridSpan w:val="2"/>
            <w:tcBorders>
              <w:top w:val="nil"/>
              <w:left w:val="nil"/>
              <w:bottom w:val="single" w:sz="8" w:space="0" w:color="auto"/>
              <w:right w:val="nil"/>
            </w:tcBorders>
            <w:shd w:val="clear" w:color="auto" w:fill="auto"/>
            <w:noWrap/>
            <w:vAlign w:val="bottom"/>
            <w:hideMark/>
          </w:tcPr>
          <w:p w14:paraId="17C7AE12" w14:textId="77777777" w:rsidR="000F6636" w:rsidRPr="00EF7B59" w:rsidRDefault="000F6636" w:rsidP="00484DB0">
            <w:pPr>
              <w:rPr>
                <w:rFonts w:eastAsia="Calibri"/>
                <w:b/>
                <w:color w:val="2C9ADC"/>
                <w:sz w:val="18"/>
                <w:szCs w:val="18"/>
              </w:rPr>
            </w:pPr>
            <w:r w:rsidRPr="00EF7B59">
              <w:rPr>
                <w:rFonts w:eastAsia="Calibri"/>
                <w:b/>
                <w:color w:val="2C9ADC"/>
                <w:sz w:val="18"/>
                <w:szCs w:val="18"/>
              </w:rPr>
              <w:t> </w:t>
            </w:r>
          </w:p>
        </w:tc>
        <w:tc>
          <w:tcPr>
            <w:tcW w:w="555" w:type="dxa"/>
            <w:gridSpan w:val="2"/>
            <w:tcBorders>
              <w:top w:val="nil"/>
              <w:left w:val="nil"/>
              <w:bottom w:val="single" w:sz="8" w:space="0" w:color="auto"/>
              <w:right w:val="nil"/>
            </w:tcBorders>
          </w:tcPr>
          <w:p w14:paraId="626DA8AD" w14:textId="77777777" w:rsidR="000F6636" w:rsidRPr="00EF7B59" w:rsidRDefault="000F6636" w:rsidP="00484DB0">
            <w:pPr>
              <w:rPr>
                <w:rFonts w:eastAsia="Calibri"/>
                <w:b/>
                <w:color w:val="2C9ADC"/>
                <w:sz w:val="18"/>
                <w:szCs w:val="18"/>
              </w:rPr>
            </w:pPr>
          </w:p>
        </w:tc>
        <w:tc>
          <w:tcPr>
            <w:tcW w:w="143" w:type="dxa"/>
            <w:gridSpan w:val="2"/>
            <w:tcBorders>
              <w:top w:val="nil"/>
              <w:left w:val="nil"/>
              <w:bottom w:val="single" w:sz="8" w:space="0" w:color="auto"/>
              <w:right w:val="nil"/>
            </w:tcBorders>
          </w:tcPr>
          <w:p w14:paraId="23ECE145" w14:textId="77777777" w:rsidR="000F6636" w:rsidRPr="00EF7B59" w:rsidRDefault="000F6636" w:rsidP="00484DB0">
            <w:pPr>
              <w:rPr>
                <w:rFonts w:eastAsia="Calibri"/>
                <w:b/>
                <w:color w:val="2C9ADC"/>
                <w:sz w:val="18"/>
                <w:szCs w:val="18"/>
              </w:rPr>
            </w:pPr>
          </w:p>
        </w:tc>
      </w:tr>
      <w:tr w:rsidR="000F6636" w:rsidRPr="0088520B" w14:paraId="63335A8C" w14:textId="77777777" w:rsidTr="00484DB0">
        <w:trPr>
          <w:trHeight w:val="283"/>
        </w:trPr>
        <w:tc>
          <w:tcPr>
            <w:tcW w:w="5699" w:type="dxa"/>
            <w:gridSpan w:val="2"/>
            <w:tcBorders>
              <w:top w:val="nil"/>
              <w:left w:val="nil"/>
              <w:bottom w:val="single" w:sz="4" w:space="0" w:color="auto"/>
              <w:right w:val="nil"/>
            </w:tcBorders>
            <w:shd w:val="clear" w:color="auto" w:fill="auto"/>
            <w:vAlign w:val="center"/>
            <w:hideMark/>
          </w:tcPr>
          <w:p w14:paraId="58E159F2" w14:textId="77777777" w:rsidR="000F6636" w:rsidRPr="00EF7B59" w:rsidRDefault="000F6636" w:rsidP="00484DB0">
            <w:pPr>
              <w:rPr>
                <w:rFonts w:cs="Times New Roman"/>
                <w:sz w:val="18"/>
                <w:szCs w:val="18"/>
              </w:rPr>
            </w:pPr>
            <w:r w:rsidRPr="00EF7B59">
              <w:rPr>
                <w:rFonts w:cs="Times New Roman"/>
                <w:sz w:val="18"/>
                <w:szCs w:val="18"/>
              </w:rPr>
              <w:t> </w:t>
            </w:r>
          </w:p>
        </w:tc>
        <w:tc>
          <w:tcPr>
            <w:tcW w:w="482" w:type="dxa"/>
            <w:tcBorders>
              <w:top w:val="single" w:sz="8" w:space="0" w:color="auto"/>
              <w:left w:val="nil"/>
              <w:bottom w:val="single" w:sz="4" w:space="0" w:color="auto"/>
              <w:right w:val="nil"/>
            </w:tcBorders>
            <w:shd w:val="clear" w:color="auto" w:fill="auto"/>
            <w:vAlign w:val="center"/>
            <w:hideMark/>
          </w:tcPr>
          <w:p w14:paraId="58447753" w14:textId="77777777" w:rsidR="000F6636" w:rsidRPr="00EF7B59" w:rsidRDefault="000F6636" w:rsidP="00484DB0">
            <w:pPr>
              <w:jc w:val="center"/>
              <w:rPr>
                <w:rFonts w:cs="Times New Roman"/>
                <w:b/>
                <w:bCs/>
                <w:sz w:val="18"/>
                <w:szCs w:val="18"/>
              </w:rPr>
            </w:pPr>
            <w:r w:rsidRPr="00EF7B59">
              <w:rPr>
                <w:b/>
                <w:bCs/>
                <w:sz w:val="18"/>
                <w:szCs w:val="18"/>
              </w:rPr>
              <w:t>2024</w:t>
            </w:r>
          </w:p>
        </w:tc>
        <w:tc>
          <w:tcPr>
            <w:tcW w:w="482" w:type="dxa"/>
            <w:gridSpan w:val="2"/>
            <w:tcBorders>
              <w:top w:val="single" w:sz="8" w:space="0" w:color="auto"/>
              <w:left w:val="nil"/>
              <w:bottom w:val="single" w:sz="4" w:space="0" w:color="auto"/>
              <w:right w:val="nil"/>
            </w:tcBorders>
            <w:shd w:val="clear" w:color="auto" w:fill="auto"/>
            <w:vAlign w:val="center"/>
            <w:hideMark/>
          </w:tcPr>
          <w:p w14:paraId="55A27FE5" w14:textId="77777777" w:rsidR="000F6636" w:rsidRPr="00EF7B59" w:rsidRDefault="000F6636" w:rsidP="00484DB0">
            <w:pPr>
              <w:jc w:val="center"/>
              <w:rPr>
                <w:rFonts w:cs="Times New Roman"/>
                <w:b/>
                <w:bCs/>
                <w:sz w:val="18"/>
                <w:szCs w:val="18"/>
              </w:rPr>
            </w:pPr>
            <w:r w:rsidRPr="00EF7B59">
              <w:rPr>
                <w:b/>
                <w:bCs/>
                <w:sz w:val="18"/>
                <w:szCs w:val="18"/>
              </w:rPr>
              <w:t>2030</w:t>
            </w:r>
          </w:p>
        </w:tc>
        <w:tc>
          <w:tcPr>
            <w:tcW w:w="482" w:type="dxa"/>
            <w:gridSpan w:val="2"/>
            <w:tcBorders>
              <w:top w:val="single" w:sz="8" w:space="0" w:color="auto"/>
              <w:left w:val="nil"/>
              <w:bottom w:val="single" w:sz="4" w:space="0" w:color="auto"/>
              <w:right w:val="nil"/>
            </w:tcBorders>
            <w:shd w:val="clear" w:color="auto" w:fill="auto"/>
            <w:vAlign w:val="center"/>
            <w:hideMark/>
          </w:tcPr>
          <w:p w14:paraId="56115EBD" w14:textId="77777777" w:rsidR="000F6636" w:rsidRPr="00EF7B59" w:rsidRDefault="000F6636" w:rsidP="00484DB0">
            <w:pPr>
              <w:jc w:val="center"/>
              <w:rPr>
                <w:rFonts w:cs="Times New Roman"/>
                <w:b/>
                <w:bCs/>
                <w:sz w:val="18"/>
                <w:szCs w:val="18"/>
              </w:rPr>
            </w:pPr>
            <w:r w:rsidRPr="00EF7B59">
              <w:rPr>
                <w:b/>
                <w:bCs/>
                <w:sz w:val="18"/>
                <w:szCs w:val="18"/>
              </w:rPr>
              <w:t>2040</w:t>
            </w:r>
          </w:p>
        </w:tc>
        <w:tc>
          <w:tcPr>
            <w:tcW w:w="482" w:type="dxa"/>
            <w:gridSpan w:val="2"/>
            <w:tcBorders>
              <w:top w:val="single" w:sz="2" w:space="0" w:color="FFFFFF"/>
              <w:left w:val="nil"/>
              <w:bottom w:val="single" w:sz="4" w:space="0" w:color="auto"/>
              <w:right w:val="nil"/>
            </w:tcBorders>
            <w:shd w:val="clear" w:color="auto" w:fill="auto"/>
            <w:vAlign w:val="center"/>
            <w:hideMark/>
          </w:tcPr>
          <w:p w14:paraId="736C5DBC" w14:textId="77777777" w:rsidR="000F6636" w:rsidRPr="00EF7B59" w:rsidRDefault="000F6636" w:rsidP="00484DB0">
            <w:pPr>
              <w:jc w:val="center"/>
              <w:rPr>
                <w:rFonts w:cs="Times New Roman"/>
                <w:b/>
                <w:bCs/>
                <w:sz w:val="18"/>
                <w:szCs w:val="18"/>
              </w:rPr>
            </w:pPr>
            <w:r w:rsidRPr="00EF7B59">
              <w:rPr>
                <w:b/>
                <w:bCs/>
                <w:sz w:val="18"/>
                <w:szCs w:val="18"/>
              </w:rPr>
              <w:t>2050</w:t>
            </w:r>
          </w:p>
        </w:tc>
        <w:tc>
          <w:tcPr>
            <w:tcW w:w="548" w:type="dxa"/>
            <w:gridSpan w:val="3"/>
            <w:tcBorders>
              <w:top w:val="single" w:sz="2" w:space="0" w:color="FFFFFF"/>
              <w:left w:val="nil"/>
              <w:bottom w:val="single" w:sz="4" w:space="0" w:color="auto"/>
              <w:right w:val="nil"/>
            </w:tcBorders>
            <w:shd w:val="clear" w:color="auto" w:fill="auto"/>
            <w:vAlign w:val="center"/>
            <w:hideMark/>
          </w:tcPr>
          <w:p w14:paraId="1F54F6C6" w14:textId="77777777" w:rsidR="000F6636" w:rsidRPr="00EF7B59" w:rsidRDefault="000F6636" w:rsidP="00484DB0">
            <w:pPr>
              <w:jc w:val="center"/>
              <w:rPr>
                <w:rFonts w:cs="Times New Roman"/>
                <w:b/>
                <w:bCs/>
                <w:sz w:val="18"/>
                <w:szCs w:val="18"/>
              </w:rPr>
            </w:pPr>
            <w:r w:rsidRPr="00EF7B59">
              <w:rPr>
                <w:b/>
                <w:bCs/>
                <w:sz w:val="18"/>
                <w:szCs w:val="18"/>
              </w:rPr>
              <w:t>2060</w:t>
            </w:r>
          </w:p>
        </w:tc>
        <w:tc>
          <w:tcPr>
            <w:tcW w:w="558" w:type="dxa"/>
            <w:gridSpan w:val="2"/>
            <w:tcBorders>
              <w:top w:val="single" w:sz="2" w:space="0" w:color="FFFFFF"/>
              <w:left w:val="nil"/>
              <w:bottom w:val="single" w:sz="4" w:space="0" w:color="auto"/>
              <w:right w:val="nil"/>
            </w:tcBorders>
            <w:shd w:val="clear" w:color="auto" w:fill="auto"/>
            <w:vAlign w:val="center"/>
          </w:tcPr>
          <w:p w14:paraId="198BDEFA" w14:textId="77777777" w:rsidR="000F6636" w:rsidRPr="00EF7B59" w:rsidRDefault="000F6636" w:rsidP="00484DB0">
            <w:pPr>
              <w:jc w:val="center"/>
              <w:rPr>
                <w:rFonts w:cs="Times New Roman"/>
                <w:b/>
                <w:bCs/>
                <w:sz w:val="18"/>
                <w:szCs w:val="18"/>
              </w:rPr>
            </w:pPr>
            <w:r w:rsidRPr="00EF7B59">
              <w:rPr>
                <w:b/>
                <w:bCs/>
                <w:sz w:val="18"/>
                <w:szCs w:val="18"/>
              </w:rPr>
              <w:t>2070</w:t>
            </w:r>
          </w:p>
        </w:tc>
        <w:tc>
          <w:tcPr>
            <w:tcW w:w="320" w:type="dxa"/>
            <w:gridSpan w:val="3"/>
            <w:tcBorders>
              <w:top w:val="single" w:sz="2" w:space="0" w:color="FFFFFF"/>
              <w:left w:val="nil"/>
              <w:bottom w:val="single" w:sz="4" w:space="0" w:color="auto"/>
              <w:right w:val="nil"/>
            </w:tcBorders>
          </w:tcPr>
          <w:p w14:paraId="25F5D684" w14:textId="77777777" w:rsidR="000F6636" w:rsidRPr="00EF7B59" w:rsidRDefault="000F6636" w:rsidP="00484DB0">
            <w:pPr>
              <w:jc w:val="center"/>
              <w:rPr>
                <w:b/>
                <w:bCs/>
                <w:sz w:val="18"/>
                <w:szCs w:val="18"/>
              </w:rPr>
            </w:pPr>
          </w:p>
        </w:tc>
      </w:tr>
      <w:tr w:rsidR="000F6636" w:rsidRPr="0088520B" w14:paraId="116116B4"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44258979" w14:textId="77777777" w:rsidR="000F6636" w:rsidRPr="00EF7B59" w:rsidRDefault="000F6636" w:rsidP="00484DB0">
            <w:pPr>
              <w:rPr>
                <w:rFonts w:cs="Times New Roman"/>
                <w:b/>
                <w:bCs/>
                <w:sz w:val="18"/>
                <w:szCs w:val="18"/>
              </w:rPr>
            </w:pPr>
            <w:r w:rsidRPr="00EF7B59">
              <w:rPr>
                <w:rFonts w:cs="Times New Roman"/>
                <w:b/>
                <w:bCs/>
                <w:sz w:val="18"/>
                <w:szCs w:val="18"/>
              </w:rPr>
              <w:t>Výdavky celkom</w:t>
            </w:r>
          </w:p>
        </w:tc>
        <w:tc>
          <w:tcPr>
            <w:tcW w:w="482" w:type="dxa"/>
            <w:tcBorders>
              <w:top w:val="nil"/>
              <w:left w:val="nil"/>
              <w:bottom w:val="nil"/>
              <w:right w:val="nil"/>
            </w:tcBorders>
            <w:shd w:val="clear" w:color="auto" w:fill="auto"/>
            <w:vAlign w:val="center"/>
            <w:hideMark/>
          </w:tcPr>
          <w:p w14:paraId="6F17ADE9" w14:textId="77777777" w:rsidR="000F6636" w:rsidRPr="00EF7B59" w:rsidRDefault="000F6636" w:rsidP="00484DB0">
            <w:pPr>
              <w:jc w:val="center"/>
              <w:rPr>
                <w:rFonts w:cs="Times New Roman"/>
                <w:bCs/>
                <w:sz w:val="18"/>
                <w:szCs w:val="18"/>
              </w:rPr>
            </w:pPr>
            <w:r w:rsidRPr="00EF7B59">
              <w:rPr>
                <w:b/>
                <w:bCs/>
                <w:color w:val="000000"/>
                <w:sz w:val="18"/>
                <w:szCs w:val="18"/>
              </w:rPr>
              <w:t>46,9</w:t>
            </w:r>
          </w:p>
        </w:tc>
        <w:tc>
          <w:tcPr>
            <w:tcW w:w="482" w:type="dxa"/>
            <w:gridSpan w:val="2"/>
            <w:tcBorders>
              <w:top w:val="nil"/>
              <w:left w:val="nil"/>
              <w:bottom w:val="nil"/>
              <w:right w:val="nil"/>
            </w:tcBorders>
            <w:shd w:val="clear" w:color="auto" w:fill="auto"/>
            <w:vAlign w:val="center"/>
          </w:tcPr>
          <w:p w14:paraId="7A77C45E" w14:textId="77777777" w:rsidR="000F6636" w:rsidRPr="00EF7B59" w:rsidRDefault="000F6636" w:rsidP="00484DB0">
            <w:pPr>
              <w:jc w:val="center"/>
              <w:rPr>
                <w:rFonts w:cs="Times New Roman"/>
                <w:bCs/>
                <w:sz w:val="18"/>
                <w:szCs w:val="18"/>
              </w:rPr>
            </w:pPr>
          </w:p>
        </w:tc>
        <w:tc>
          <w:tcPr>
            <w:tcW w:w="482" w:type="dxa"/>
            <w:gridSpan w:val="2"/>
            <w:tcBorders>
              <w:top w:val="nil"/>
              <w:left w:val="nil"/>
              <w:bottom w:val="nil"/>
              <w:right w:val="nil"/>
            </w:tcBorders>
            <w:shd w:val="clear" w:color="auto" w:fill="auto"/>
            <w:vAlign w:val="center"/>
          </w:tcPr>
          <w:p w14:paraId="5FB54CBF" w14:textId="77777777" w:rsidR="000F6636" w:rsidRPr="00EF7B59" w:rsidRDefault="000F6636" w:rsidP="00484DB0">
            <w:pPr>
              <w:jc w:val="center"/>
              <w:rPr>
                <w:rFonts w:cs="Times New Roman"/>
                <w:bCs/>
                <w:sz w:val="18"/>
                <w:szCs w:val="18"/>
              </w:rPr>
            </w:pPr>
          </w:p>
        </w:tc>
        <w:tc>
          <w:tcPr>
            <w:tcW w:w="482" w:type="dxa"/>
            <w:gridSpan w:val="2"/>
            <w:tcBorders>
              <w:top w:val="nil"/>
              <w:left w:val="nil"/>
              <w:bottom w:val="nil"/>
              <w:right w:val="nil"/>
            </w:tcBorders>
            <w:shd w:val="clear" w:color="auto" w:fill="auto"/>
            <w:vAlign w:val="center"/>
          </w:tcPr>
          <w:p w14:paraId="494E2C4E" w14:textId="77777777" w:rsidR="000F6636" w:rsidRPr="00EF7B59" w:rsidRDefault="000F6636" w:rsidP="00484DB0">
            <w:pPr>
              <w:jc w:val="center"/>
              <w:rPr>
                <w:rFonts w:cs="Times New Roman"/>
                <w:bCs/>
                <w:sz w:val="18"/>
                <w:szCs w:val="18"/>
              </w:rPr>
            </w:pPr>
          </w:p>
        </w:tc>
        <w:tc>
          <w:tcPr>
            <w:tcW w:w="548" w:type="dxa"/>
            <w:gridSpan w:val="3"/>
            <w:tcBorders>
              <w:top w:val="nil"/>
              <w:left w:val="nil"/>
              <w:bottom w:val="nil"/>
              <w:right w:val="nil"/>
            </w:tcBorders>
            <w:shd w:val="clear" w:color="auto" w:fill="auto"/>
            <w:vAlign w:val="center"/>
          </w:tcPr>
          <w:p w14:paraId="57067BE9" w14:textId="77777777" w:rsidR="000F6636" w:rsidRPr="00EF7B59" w:rsidRDefault="000F6636" w:rsidP="00484DB0">
            <w:pPr>
              <w:jc w:val="center"/>
              <w:rPr>
                <w:rFonts w:cs="Times New Roman"/>
                <w:bCs/>
                <w:sz w:val="18"/>
                <w:szCs w:val="18"/>
              </w:rPr>
            </w:pPr>
          </w:p>
        </w:tc>
        <w:tc>
          <w:tcPr>
            <w:tcW w:w="558" w:type="dxa"/>
            <w:gridSpan w:val="2"/>
            <w:tcBorders>
              <w:top w:val="nil"/>
              <w:left w:val="nil"/>
              <w:bottom w:val="nil"/>
              <w:right w:val="nil"/>
            </w:tcBorders>
            <w:shd w:val="clear" w:color="auto" w:fill="auto"/>
            <w:vAlign w:val="center"/>
          </w:tcPr>
          <w:p w14:paraId="2ECC6FBD" w14:textId="77777777" w:rsidR="000F6636" w:rsidRPr="00EF7B59" w:rsidRDefault="000F6636" w:rsidP="00484DB0">
            <w:pPr>
              <w:jc w:val="center"/>
              <w:rPr>
                <w:rFonts w:cs="Times New Roman"/>
                <w:bCs/>
                <w:sz w:val="18"/>
                <w:szCs w:val="18"/>
              </w:rPr>
            </w:pPr>
          </w:p>
        </w:tc>
        <w:tc>
          <w:tcPr>
            <w:tcW w:w="320" w:type="dxa"/>
            <w:gridSpan w:val="3"/>
            <w:tcBorders>
              <w:top w:val="nil"/>
              <w:left w:val="nil"/>
              <w:bottom w:val="nil"/>
              <w:right w:val="nil"/>
            </w:tcBorders>
          </w:tcPr>
          <w:p w14:paraId="73E7742F" w14:textId="77777777" w:rsidR="000F6636" w:rsidRPr="00EF7B59" w:rsidRDefault="000F6636" w:rsidP="00484DB0">
            <w:pPr>
              <w:jc w:val="center"/>
              <w:rPr>
                <w:sz w:val="18"/>
                <w:szCs w:val="18"/>
              </w:rPr>
            </w:pPr>
          </w:p>
        </w:tc>
      </w:tr>
      <w:tr w:rsidR="000F6636" w:rsidRPr="0088520B" w14:paraId="51B07C35"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54B0B2F5" w14:textId="77777777" w:rsidR="000F6636" w:rsidRPr="00EF7B59" w:rsidRDefault="000F6636" w:rsidP="00484DB0">
            <w:pPr>
              <w:ind w:firstLineChars="200" w:firstLine="360"/>
              <w:rPr>
                <w:rFonts w:cs="Times New Roman"/>
                <w:sz w:val="18"/>
                <w:szCs w:val="18"/>
              </w:rPr>
            </w:pPr>
            <w:r w:rsidRPr="00EF7B59">
              <w:rPr>
                <w:rFonts w:cs="Times New Roman"/>
                <w:sz w:val="18"/>
                <w:szCs w:val="18"/>
              </w:rPr>
              <w:t>Z toho: Výdavky ovplyvnené starnutím populácie</w:t>
            </w:r>
          </w:p>
        </w:tc>
        <w:tc>
          <w:tcPr>
            <w:tcW w:w="482" w:type="dxa"/>
            <w:tcBorders>
              <w:top w:val="nil"/>
              <w:left w:val="nil"/>
              <w:bottom w:val="nil"/>
              <w:right w:val="nil"/>
            </w:tcBorders>
            <w:shd w:val="clear" w:color="auto" w:fill="auto"/>
            <w:vAlign w:val="center"/>
            <w:hideMark/>
          </w:tcPr>
          <w:p w14:paraId="19CE4A5B" w14:textId="77777777" w:rsidR="000F6636" w:rsidRPr="00EF7B59" w:rsidRDefault="000F6636" w:rsidP="00484DB0">
            <w:pPr>
              <w:jc w:val="center"/>
              <w:rPr>
                <w:rFonts w:cs="Times New Roman"/>
                <w:bCs/>
                <w:sz w:val="18"/>
                <w:szCs w:val="18"/>
              </w:rPr>
            </w:pPr>
            <w:r w:rsidRPr="00EF7B59">
              <w:rPr>
                <w:b/>
                <w:bCs/>
                <w:color w:val="000000"/>
                <w:sz w:val="18"/>
                <w:szCs w:val="18"/>
              </w:rPr>
              <w:t>20,3</w:t>
            </w:r>
          </w:p>
        </w:tc>
        <w:tc>
          <w:tcPr>
            <w:tcW w:w="482" w:type="dxa"/>
            <w:gridSpan w:val="2"/>
            <w:tcBorders>
              <w:top w:val="nil"/>
              <w:left w:val="nil"/>
              <w:bottom w:val="nil"/>
              <w:right w:val="nil"/>
            </w:tcBorders>
            <w:shd w:val="clear" w:color="auto" w:fill="auto"/>
            <w:vAlign w:val="center"/>
          </w:tcPr>
          <w:p w14:paraId="1A07475F" w14:textId="77777777" w:rsidR="000F6636" w:rsidRPr="00EF7B59" w:rsidRDefault="000F6636" w:rsidP="00484DB0">
            <w:pPr>
              <w:jc w:val="center"/>
              <w:rPr>
                <w:rFonts w:cs="Times New Roman"/>
                <w:bCs/>
                <w:sz w:val="18"/>
                <w:szCs w:val="18"/>
              </w:rPr>
            </w:pPr>
            <w:r w:rsidRPr="00EF7B59">
              <w:rPr>
                <w:b/>
                <w:bCs/>
                <w:color w:val="000000"/>
                <w:sz w:val="18"/>
                <w:szCs w:val="18"/>
              </w:rPr>
              <w:t>21,9</w:t>
            </w:r>
          </w:p>
        </w:tc>
        <w:tc>
          <w:tcPr>
            <w:tcW w:w="482" w:type="dxa"/>
            <w:gridSpan w:val="2"/>
            <w:tcBorders>
              <w:top w:val="nil"/>
              <w:left w:val="nil"/>
              <w:bottom w:val="nil"/>
              <w:right w:val="nil"/>
            </w:tcBorders>
            <w:shd w:val="clear" w:color="auto" w:fill="auto"/>
            <w:vAlign w:val="center"/>
          </w:tcPr>
          <w:p w14:paraId="2449D7D6" w14:textId="77777777" w:rsidR="000F6636" w:rsidRPr="00EF7B59" w:rsidRDefault="000F6636" w:rsidP="00484DB0">
            <w:pPr>
              <w:jc w:val="center"/>
              <w:rPr>
                <w:rFonts w:cs="Times New Roman"/>
                <w:bCs/>
                <w:sz w:val="18"/>
                <w:szCs w:val="18"/>
              </w:rPr>
            </w:pPr>
            <w:r w:rsidRPr="00EF7B59">
              <w:rPr>
                <w:b/>
                <w:bCs/>
                <w:color w:val="000000"/>
                <w:sz w:val="18"/>
                <w:szCs w:val="18"/>
              </w:rPr>
              <w:t>23,1</w:t>
            </w:r>
          </w:p>
        </w:tc>
        <w:tc>
          <w:tcPr>
            <w:tcW w:w="482" w:type="dxa"/>
            <w:gridSpan w:val="2"/>
            <w:tcBorders>
              <w:top w:val="nil"/>
              <w:left w:val="nil"/>
              <w:bottom w:val="nil"/>
              <w:right w:val="nil"/>
            </w:tcBorders>
            <w:shd w:val="clear" w:color="auto" w:fill="auto"/>
            <w:vAlign w:val="center"/>
          </w:tcPr>
          <w:p w14:paraId="3FE9FBCB" w14:textId="77777777" w:rsidR="000F6636" w:rsidRPr="00EF7B59" w:rsidRDefault="000F6636" w:rsidP="00484DB0">
            <w:pPr>
              <w:jc w:val="center"/>
              <w:rPr>
                <w:rFonts w:cs="Times New Roman"/>
                <w:bCs/>
                <w:sz w:val="18"/>
                <w:szCs w:val="18"/>
              </w:rPr>
            </w:pPr>
            <w:r w:rsidRPr="00EF7B59">
              <w:rPr>
                <w:b/>
                <w:bCs/>
                <w:color w:val="000000"/>
                <w:sz w:val="18"/>
                <w:szCs w:val="18"/>
              </w:rPr>
              <w:t>24,5</w:t>
            </w:r>
          </w:p>
        </w:tc>
        <w:tc>
          <w:tcPr>
            <w:tcW w:w="548" w:type="dxa"/>
            <w:gridSpan w:val="3"/>
            <w:tcBorders>
              <w:top w:val="nil"/>
              <w:left w:val="nil"/>
              <w:bottom w:val="nil"/>
              <w:right w:val="nil"/>
            </w:tcBorders>
            <w:shd w:val="clear" w:color="auto" w:fill="auto"/>
            <w:vAlign w:val="center"/>
          </w:tcPr>
          <w:p w14:paraId="0E6D666D" w14:textId="77777777" w:rsidR="000F6636" w:rsidRPr="00EF7B59" w:rsidRDefault="000F6636" w:rsidP="00484DB0">
            <w:pPr>
              <w:jc w:val="center"/>
              <w:rPr>
                <w:rFonts w:cs="Times New Roman"/>
                <w:bCs/>
                <w:sz w:val="18"/>
                <w:szCs w:val="18"/>
              </w:rPr>
            </w:pPr>
            <w:r w:rsidRPr="00EF7B59">
              <w:rPr>
                <w:b/>
                <w:bCs/>
                <w:color w:val="000000"/>
                <w:sz w:val="18"/>
                <w:szCs w:val="18"/>
              </w:rPr>
              <w:t>25,9</w:t>
            </w:r>
          </w:p>
        </w:tc>
        <w:tc>
          <w:tcPr>
            <w:tcW w:w="558" w:type="dxa"/>
            <w:gridSpan w:val="2"/>
            <w:tcBorders>
              <w:top w:val="nil"/>
              <w:left w:val="nil"/>
              <w:bottom w:val="nil"/>
              <w:right w:val="nil"/>
            </w:tcBorders>
            <w:shd w:val="clear" w:color="auto" w:fill="auto"/>
            <w:vAlign w:val="center"/>
          </w:tcPr>
          <w:p w14:paraId="15FF289C" w14:textId="77777777" w:rsidR="000F6636" w:rsidRPr="00EF7B59" w:rsidRDefault="000F6636" w:rsidP="00484DB0">
            <w:pPr>
              <w:jc w:val="center"/>
              <w:rPr>
                <w:rFonts w:cs="Times New Roman"/>
                <w:bCs/>
                <w:sz w:val="18"/>
                <w:szCs w:val="18"/>
              </w:rPr>
            </w:pPr>
            <w:r w:rsidRPr="00EF7B59">
              <w:rPr>
                <w:b/>
                <w:bCs/>
                <w:color w:val="000000"/>
                <w:sz w:val="18"/>
                <w:szCs w:val="18"/>
              </w:rPr>
              <w:t>25,0</w:t>
            </w:r>
          </w:p>
        </w:tc>
        <w:tc>
          <w:tcPr>
            <w:tcW w:w="320" w:type="dxa"/>
            <w:gridSpan w:val="3"/>
            <w:tcBorders>
              <w:top w:val="nil"/>
              <w:left w:val="nil"/>
              <w:bottom w:val="nil"/>
              <w:right w:val="nil"/>
            </w:tcBorders>
          </w:tcPr>
          <w:p w14:paraId="78C5A74F" w14:textId="77777777" w:rsidR="000F6636" w:rsidRPr="00EF7B59" w:rsidRDefault="000F6636" w:rsidP="00484DB0">
            <w:pPr>
              <w:jc w:val="center"/>
              <w:rPr>
                <w:sz w:val="18"/>
                <w:szCs w:val="18"/>
              </w:rPr>
            </w:pPr>
          </w:p>
        </w:tc>
      </w:tr>
      <w:tr w:rsidR="000F6636" w:rsidRPr="0088520B" w14:paraId="6F8E493D"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7A99D67E" w14:textId="77777777" w:rsidR="000F6636" w:rsidRPr="00EF7B59" w:rsidRDefault="000F6636" w:rsidP="00484DB0">
            <w:pPr>
              <w:ind w:firstLineChars="300" w:firstLine="540"/>
              <w:rPr>
                <w:rFonts w:cs="Times New Roman"/>
                <w:sz w:val="18"/>
                <w:szCs w:val="18"/>
              </w:rPr>
            </w:pPr>
            <w:r w:rsidRPr="00EF7B59">
              <w:rPr>
                <w:rFonts w:cs="Times New Roman"/>
                <w:sz w:val="18"/>
                <w:szCs w:val="18"/>
              </w:rPr>
              <w:t>A. Výdavky na starobné dôchodky</w:t>
            </w:r>
          </w:p>
        </w:tc>
        <w:tc>
          <w:tcPr>
            <w:tcW w:w="482" w:type="dxa"/>
            <w:tcBorders>
              <w:top w:val="nil"/>
              <w:left w:val="nil"/>
              <w:bottom w:val="nil"/>
              <w:right w:val="nil"/>
            </w:tcBorders>
            <w:shd w:val="clear" w:color="auto" w:fill="auto"/>
            <w:vAlign w:val="center"/>
            <w:hideMark/>
          </w:tcPr>
          <w:p w14:paraId="7AC6866C" w14:textId="77777777" w:rsidR="000F6636" w:rsidRPr="00EF7B59" w:rsidRDefault="000F6636" w:rsidP="00484DB0">
            <w:pPr>
              <w:jc w:val="center"/>
              <w:rPr>
                <w:rFonts w:cs="Times New Roman"/>
                <w:sz w:val="18"/>
                <w:szCs w:val="18"/>
              </w:rPr>
            </w:pPr>
            <w:r w:rsidRPr="00EF7B59">
              <w:rPr>
                <w:color w:val="000000"/>
                <w:sz w:val="18"/>
                <w:szCs w:val="18"/>
              </w:rPr>
              <w:t>9,4</w:t>
            </w:r>
          </w:p>
        </w:tc>
        <w:tc>
          <w:tcPr>
            <w:tcW w:w="482" w:type="dxa"/>
            <w:gridSpan w:val="2"/>
            <w:tcBorders>
              <w:top w:val="nil"/>
              <w:left w:val="nil"/>
              <w:bottom w:val="nil"/>
              <w:right w:val="nil"/>
            </w:tcBorders>
            <w:shd w:val="clear" w:color="auto" w:fill="auto"/>
            <w:vAlign w:val="center"/>
          </w:tcPr>
          <w:p w14:paraId="2D1FD7BE" w14:textId="77777777" w:rsidR="000F6636" w:rsidRPr="00EF7B59" w:rsidRDefault="000F6636" w:rsidP="00484DB0">
            <w:pPr>
              <w:jc w:val="center"/>
              <w:rPr>
                <w:rFonts w:cs="Times New Roman"/>
                <w:sz w:val="18"/>
                <w:szCs w:val="18"/>
              </w:rPr>
            </w:pPr>
            <w:r w:rsidRPr="00EF7B59">
              <w:rPr>
                <w:color w:val="000000"/>
                <w:sz w:val="18"/>
                <w:szCs w:val="18"/>
              </w:rPr>
              <w:t>10,2</w:t>
            </w:r>
          </w:p>
        </w:tc>
        <w:tc>
          <w:tcPr>
            <w:tcW w:w="482" w:type="dxa"/>
            <w:gridSpan w:val="2"/>
            <w:tcBorders>
              <w:top w:val="nil"/>
              <w:left w:val="nil"/>
              <w:bottom w:val="nil"/>
              <w:right w:val="nil"/>
            </w:tcBorders>
            <w:shd w:val="clear" w:color="auto" w:fill="auto"/>
            <w:vAlign w:val="center"/>
          </w:tcPr>
          <w:p w14:paraId="39A46D44" w14:textId="77777777" w:rsidR="000F6636" w:rsidRPr="00EF7B59" w:rsidRDefault="000F6636" w:rsidP="00484DB0">
            <w:pPr>
              <w:jc w:val="center"/>
              <w:rPr>
                <w:rFonts w:cs="Times New Roman"/>
                <w:sz w:val="18"/>
                <w:szCs w:val="18"/>
              </w:rPr>
            </w:pPr>
            <w:r w:rsidRPr="00EF7B59">
              <w:rPr>
                <w:color w:val="000000"/>
                <w:sz w:val="18"/>
                <w:szCs w:val="18"/>
              </w:rPr>
              <w:t>10,8</w:t>
            </w:r>
          </w:p>
        </w:tc>
        <w:tc>
          <w:tcPr>
            <w:tcW w:w="482" w:type="dxa"/>
            <w:gridSpan w:val="2"/>
            <w:tcBorders>
              <w:top w:val="nil"/>
              <w:left w:val="nil"/>
              <w:bottom w:val="nil"/>
              <w:right w:val="nil"/>
            </w:tcBorders>
            <w:shd w:val="clear" w:color="auto" w:fill="auto"/>
            <w:vAlign w:val="center"/>
          </w:tcPr>
          <w:p w14:paraId="740089FD" w14:textId="77777777" w:rsidR="000F6636" w:rsidRPr="00EF7B59" w:rsidRDefault="000F6636" w:rsidP="00484DB0">
            <w:pPr>
              <w:jc w:val="center"/>
              <w:rPr>
                <w:rFonts w:cs="Times New Roman"/>
                <w:sz w:val="18"/>
                <w:szCs w:val="18"/>
              </w:rPr>
            </w:pPr>
            <w:r w:rsidRPr="00EF7B59">
              <w:rPr>
                <w:color w:val="000000"/>
                <w:sz w:val="18"/>
                <w:szCs w:val="18"/>
              </w:rPr>
              <w:t>11,5</w:t>
            </w:r>
          </w:p>
        </w:tc>
        <w:tc>
          <w:tcPr>
            <w:tcW w:w="548" w:type="dxa"/>
            <w:gridSpan w:val="3"/>
            <w:tcBorders>
              <w:top w:val="nil"/>
              <w:left w:val="nil"/>
              <w:bottom w:val="nil"/>
              <w:right w:val="nil"/>
            </w:tcBorders>
            <w:shd w:val="clear" w:color="auto" w:fill="auto"/>
            <w:vAlign w:val="center"/>
          </w:tcPr>
          <w:p w14:paraId="53BAA944" w14:textId="77777777" w:rsidR="000F6636" w:rsidRPr="00EF7B59" w:rsidRDefault="000F6636" w:rsidP="00484DB0">
            <w:pPr>
              <w:jc w:val="center"/>
              <w:rPr>
                <w:rFonts w:cs="Times New Roman"/>
                <w:sz w:val="18"/>
                <w:szCs w:val="18"/>
              </w:rPr>
            </w:pPr>
            <w:r w:rsidRPr="00EF7B59">
              <w:rPr>
                <w:color w:val="000000"/>
                <w:sz w:val="18"/>
                <w:szCs w:val="18"/>
              </w:rPr>
              <w:t>12,1</w:t>
            </w:r>
          </w:p>
        </w:tc>
        <w:tc>
          <w:tcPr>
            <w:tcW w:w="558" w:type="dxa"/>
            <w:gridSpan w:val="2"/>
            <w:tcBorders>
              <w:top w:val="nil"/>
              <w:left w:val="nil"/>
              <w:bottom w:val="nil"/>
              <w:right w:val="nil"/>
            </w:tcBorders>
            <w:shd w:val="clear" w:color="auto" w:fill="auto"/>
            <w:vAlign w:val="center"/>
          </w:tcPr>
          <w:p w14:paraId="3AFC875F" w14:textId="77777777" w:rsidR="000F6636" w:rsidRPr="00EF7B59" w:rsidRDefault="000F6636" w:rsidP="00484DB0">
            <w:pPr>
              <w:jc w:val="center"/>
              <w:rPr>
                <w:rFonts w:cs="Times New Roman"/>
                <w:sz w:val="18"/>
                <w:szCs w:val="18"/>
              </w:rPr>
            </w:pPr>
            <w:r w:rsidRPr="00EF7B59">
              <w:rPr>
                <w:color w:val="000000"/>
                <w:sz w:val="18"/>
                <w:szCs w:val="18"/>
              </w:rPr>
              <w:t>11,3</w:t>
            </w:r>
          </w:p>
        </w:tc>
        <w:tc>
          <w:tcPr>
            <w:tcW w:w="320" w:type="dxa"/>
            <w:gridSpan w:val="3"/>
            <w:tcBorders>
              <w:top w:val="nil"/>
              <w:left w:val="nil"/>
              <w:bottom w:val="nil"/>
              <w:right w:val="nil"/>
            </w:tcBorders>
          </w:tcPr>
          <w:p w14:paraId="04E2100C" w14:textId="77777777" w:rsidR="000F6636" w:rsidRPr="00EF7B59" w:rsidRDefault="000F6636" w:rsidP="00484DB0">
            <w:pPr>
              <w:jc w:val="center"/>
              <w:rPr>
                <w:sz w:val="18"/>
                <w:szCs w:val="18"/>
              </w:rPr>
            </w:pPr>
          </w:p>
        </w:tc>
      </w:tr>
      <w:tr w:rsidR="000F6636" w:rsidRPr="0088520B" w14:paraId="455D9952"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409CA1CC" w14:textId="77777777" w:rsidR="000F6636" w:rsidRPr="00EF7B59" w:rsidRDefault="000F6636" w:rsidP="00484DB0">
            <w:pPr>
              <w:ind w:firstLineChars="500" w:firstLine="900"/>
              <w:rPr>
                <w:rFonts w:cs="Times New Roman"/>
                <w:sz w:val="18"/>
                <w:szCs w:val="18"/>
              </w:rPr>
            </w:pPr>
            <w:r w:rsidRPr="00EF7B59">
              <w:rPr>
                <w:rFonts w:cs="Times New Roman"/>
                <w:sz w:val="18"/>
                <w:szCs w:val="18"/>
              </w:rPr>
              <w:t>a) Starobné a predčasné starobné dôchodky</w:t>
            </w:r>
          </w:p>
        </w:tc>
        <w:tc>
          <w:tcPr>
            <w:tcW w:w="482" w:type="dxa"/>
            <w:tcBorders>
              <w:top w:val="nil"/>
              <w:left w:val="nil"/>
              <w:bottom w:val="nil"/>
              <w:right w:val="nil"/>
            </w:tcBorders>
            <w:shd w:val="clear" w:color="auto" w:fill="auto"/>
            <w:vAlign w:val="center"/>
            <w:hideMark/>
          </w:tcPr>
          <w:p w14:paraId="53F7D3AB" w14:textId="77777777" w:rsidR="000F6636" w:rsidRPr="00EF7B59" w:rsidRDefault="000F6636" w:rsidP="00484DB0">
            <w:pPr>
              <w:jc w:val="center"/>
              <w:rPr>
                <w:rFonts w:cs="Times New Roman"/>
                <w:sz w:val="18"/>
                <w:szCs w:val="18"/>
              </w:rPr>
            </w:pPr>
            <w:r w:rsidRPr="00EF7B59">
              <w:rPr>
                <w:color w:val="000000"/>
                <w:sz w:val="18"/>
                <w:szCs w:val="18"/>
              </w:rPr>
              <w:t>7,1</w:t>
            </w:r>
          </w:p>
        </w:tc>
        <w:tc>
          <w:tcPr>
            <w:tcW w:w="482" w:type="dxa"/>
            <w:gridSpan w:val="2"/>
            <w:tcBorders>
              <w:top w:val="nil"/>
              <w:left w:val="nil"/>
              <w:bottom w:val="nil"/>
              <w:right w:val="nil"/>
            </w:tcBorders>
            <w:shd w:val="clear" w:color="auto" w:fill="auto"/>
            <w:vAlign w:val="center"/>
          </w:tcPr>
          <w:p w14:paraId="658028AD" w14:textId="77777777" w:rsidR="000F6636" w:rsidRPr="00EF7B59" w:rsidRDefault="000F6636" w:rsidP="00484DB0">
            <w:pPr>
              <w:jc w:val="center"/>
              <w:rPr>
                <w:rFonts w:cs="Times New Roman"/>
                <w:sz w:val="18"/>
                <w:szCs w:val="18"/>
              </w:rPr>
            </w:pPr>
            <w:r w:rsidRPr="00EF7B59">
              <w:rPr>
                <w:color w:val="000000"/>
                <w:sz w:val="18"/>
                <w:szCs w:val="18"/>
              </w:rPr>
              <w:t>7,7</w:t>
            </w:r>
          </w:p>
        </w:tc>
        <w:tc>
          <w:tcPr>
            <w:tcW w:w="482" w:type="dxa"/>
            <w:gridSpan w:val="2"/>
            <w:tcBorders>
              <w:top w:val="nil"/>
              <w:left w:val="nil"/>
              <w:bottom w:val="nil"/>
              <w:right w:val="nil"/>
            </w:tcBorders>
            <w:shd w:val="clear" w:color="auto" w:fill="auto"/>
            <w:vAlign w:val="center"/>
          </w:tcPr>
          <w:p w14:paraId="00A561B9" w14:textId="77777777" w:rsidR="000F6636" w:rsidRPr="00EF7B59" w:rsidRDefault="000F6636" w:rsidP="00484DB0">
            <w:pPr>
              <w:jc w:val="center"/>
              <w:rPr>
                <w:rFonts w:cs="Times New Roman"/>
                <w:sz w:val="18"/>
                <w:szCs w:val="18"/>
              </w:rPr>
            </w:pPr>
            <w:r w:rsidRPr="00EF7B59">
              <w:rPr>
                <w:color w:val="000000"/>
                <w:sz w:val="18"/>
                <w:szCs w:val="18"/>
              </w:rPr>
              <w:t>8,1</w:t>
            </w:r>
          </w:p>
        </w:tc>
        <w:tc>
          <w:tcPr>
            <w:tcW w:w="482" w:type="dxa"/>
            <w:gridSpan w:val="2"/>
            <w:tcBorders>
              <w:top w:val="nil"/>
              <w:left w:val="nil"/>
              <w:bottom w:val="nil"/>
              <w:right w:val="nil"/>
            </w:tcBorders>
            <w:shd w:val="clear" w:color="auto" w:fill="auto"/>
            <w:vAlign w:val="center"/>
          </w:tcPr>
          <w:p w14:paraId="63A2A6C2" w14:textId="77777777" w:rsidR="000F6636" w:rsidRPr="00EF7B59" w:rsidRDefault="000F6636" w:rsidP="00484DB0">
            <w:pPr>
              <w:jc w:val="center"/>
              <w:rPr>
                <w:rFonts w:cs="Times New Roman"/>
                <w:sz w:val="18"/>
                <w:szCs w:val="18"/>
              </w:rPr>
            </w:pPr>
            <w:r w:rsidRPr="00EF7B59">
              <w:rPr>
                <w:color w:val="000000"/>
                <w:sz w:val="18"/>
                <w:szCs w:val="18"/>
              </w:rPr>
              <w:t>8,9</w:t>
            </w:r>
          </w:p>
        </w:tc>
        <w:tc>
          <w:tcPr>
            <w:tcW w:w="548" w:type="dxa"/>
            <w:gridSpan w:val="3"/>
            <w:tcBorders>
              <w:top w:val="nil"/>
              <w:left w:val="nil"/>
              <w:bottom w:val="nil"/>
              <w:right w:val="nil"/>
            </w:tcBorders>
            <w:shd w:val="clear" w:color="auto" w:fill="auto"/>
            <w:vAlign w:val="center"/>
          </w:tcPr>
          <w:p w14:paraId="71E4554A" w14:textId="77777777" w:rsidR="000F6636" w:rsidRPr="00EF7B59" w:rsidRDefault="000F6636" w:rsidP="00484DB0">
            <w:pPr>
              <w:jc w:val="center"/>
              <w:rPr>
                <w:rFonts w:cs="Times New Roman"/>
                <w:sz w:val="18"/>
                <w:szCs w:val="18"/>
              </w:rPr>
            </w:pPr>
            <w:r w:rsidRPr="00EF7B59">
              <w:rPr>
                <w:color w:val="000000"/>
                <w:sz w:val="18"/>
                <w:szCs w:val="18"/>
              </w:rPr>
              <w:t>9,5</w:t>
            </w:r>
          </w:p>
        </w:tc>
        <w:tc>
          <w:tcPr>
            <w:tcW w:w="558" w:type="dxa"/>
            <w:gridSpan w:val="2"/>
            <w:tcBorders>
              <w:top w:val="nil"/>
              <w:left w:val="nil"/>
              <w:bottom w:val="nil"/>
              <w:right w:val="nil"/>
            </w:tcBorders>
            <w:shd w:val="clear" w:color="auto" w:fill="auto"/>
            <w:vAlign w:val="center"/>
          </w:tcPr>
          <w:p w14:paraId="5FA8E401" w14:textId="77777777" w:rsidR="000F6636" w:rsidRPr="00EF7B59" w:rsidRDefault="000F6636" w:rsidP="00484DB0">
            <w:pPr>
              <w:jc w:val="center"/>
              <w:rPr>
                <w:rFonts w:cs="Times New Roman"/>
                <w:sz w:val="18"/>
                <w:szCs w:val="18"/>
              </w:rPr>
            </w:pPr>
            <w:r w:rsidRPr="00EF7B59">
              <w:rPr>
                <w:color w:val="000000"/>
                <w:sz w:val="18"/>
                <w:szCs w:val="18"/>
              </w:rPr>
              <w:t>8,8</w:t>
            </w:r>
          </w:p>
        </w:tc>
        <w:tc>
          <w:tcPr>
            <w:tcW w:w="320" w:type="dxa"/>
            <w:gridSpan w:val="3"/>
            <w:tcBorders>
              <w:top w:val="nil"/>
              <w:left w:val="nil"/>
              <w:bottom w:val="nil"/>
              <w:right w:val="nil"/>
            </w:tcBorders>
          </w:tcPr>
          <w:p w14:paraId="6D3FD865" w14:textId="77777777" w:rsidR="000F6636" w:rsidRPr="00EF7B59" w:rsidRDefault="000F6636" w:rsidP="00484DB0">
            <w:pPr>
              <w:jc w:val="center"/>
              <w:rPr>
                <w:sz w:val="18"/>
                <w:szCs w:val="18"/>
              </w:rPr>
            </w:pPr>
          </w:p>
        </w:tc>
      </w:tr>
      <w:tr w:rsidR="000F6636" w:rsidRPr="0088520B" w14:paraId="3116D3FA"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32CFB7BB" w14:textId="77777777" w:rsidR="000F6636" w:rsidRPr="00EF7B59" w:rsidRDefault="000F6636" w:rsidP="00484DB0">
            <w:pPr>
              <w:ind w:firstLineChars="500" w:firstLine="900"/>
              <w:rPr>
                <w:rFonts w:cs="Times New Roman"/>
                <w:sz w:val="18"/>
                <w:szCs w:val="18"/>
              </w:rPr>
            </w:pPr>
            <w:r w:rsidRPr="00EF7B59">
              <w:rPr>
                <w:rFonts w:cs="Times New Roman"/>
                <w:sz w:val="18"/>
                <w:szCs w:val="18"/>
              </w:rPr>
              <w:t>b) Ostatné dôchodky (invalidné, pozostalostné)</w:t>
            </w:r>
          </w:p>
        </w:tc>
        <w:tc>
          <w:tcPr>
            <w:tcW w:w="482" w:type="dxa"/>
            <w:tcBorders>
              <w:top w:val="nil"/>
              <w:left w:val="nil"/>
              <w:bottom w:val="nil"/>
              <w:right w:val="nil"/>
            </w:tcBorders>
            <w:shd w:val="clear" w:color="auto" w:fill="auto"/>
            <w:vAlign w:val="center"/>
            <w:hideMark/>
          </w:tcPr>
          <w:p w14:paraId="65C84BB6" w14:textId="77777777" w:rsidR="000F6636" w:rsidRPr="00EF7B59" w:rsidRDefault="000F6636" w:rsidP="00484DB0">
            <w:pPr>
              <w:jc w:val="center"/>
              <w:rPr>
                <w:rFonts w:cs="Times New Roman"/>
                <w:sz w:val="18"/>
                <w:szCs w:val="18"/>
              </w:rPr>
            </w:pPr>
            <w:r w:rsidRPr="00EF7B59">
              <w:rPr>
                <w:color w:val="000000"/>
                <w:sz w:val="18"/>
                <w:szCs w:val="18"/>
              </w:rPr>
              <w:t>2,2</w:t>
            </w:r>
          </w:p>
        </w:tc>
        <w:tc>
          <w:tcPr>
            <w:tcW w:w="482" w:type="dxa"/>
            <w:gridSpan w:val="2"/>
            <w:tcBorders>
              <w:top w:val="nil"/>
              <w:left w:val="nil"/>
              <w:bottom w:val="nil"/>
              <w:right w:val="nil"/>
            </w:tcBorders>
            <w:shd w:val="clear" w:color="auto" w:fill="auto"/>
            <w:vAlign w:val="center"/>
          </w:tcPr>
          <w:p w14:paraId="500D6998" w14:textId="77777777" w:rsidR="000F6636" w:rsidRPr="00EF7B59" w:rsidRDefault="000F6636" w:rsidP="00484DB0">
            <w:pPr>
              <w:jc w:val="center"/>
              <w:rPr>
                <w:rFonts w:cs="Times New Roman"/>
                <w:sz w:val="18"/>
                <w:szCs w:val="18"/>
              </w:rPr>
            </w:pPr>
            <w:r w:rsidRPr="00EF7B59">
              <w:rPr>
                <w:color w:val="000000"/>
                <w:sz w:val="18"/>
                <w:szCs w:val="18"/>
              </w:rPr>
              <w:t>2,5</w:t>
            </w:r>
          </w:p>
        </w:tc>
        <w:tc>
          <w:tcPr>
            <w:tcW w:w="482" w:type="dxa"/>
            <w:gridSpan w:val="2"/>
            <w:tcBorders>
              <w:top w:val="nil"/>
              <w:left w:val="nil"/>
              <w:bottom w:val="nil"/>
              <w:right w:val="nil"/>
            </w:tcBorders>
            <w:shd w:val="clear" w:color="auto" w:fill="auto"/>
            <w:vAlign w:val="center"/>
          </w:tcPr>
          <w:p w14:paraId="2D98DC50" w14:textId="77777777" w:rsidR="000F6636" w:rsidRPr="00EF7B59" w:rsidRDefault="000F6636" w:rsidP="00484DB0">
            <w:pPr>
              <w:jc w:val="center"/>
              <w:rPr>
                <w:rFonts w:cs="Times New Roman"/>
                <w:sz w:val="18"/>
                <w:szCs w:val="18"/>
              </w:rPr>
            </w:pPr>
            <w:r w:rsidRPr="00EF7B59">
              <w:rPr>
                <w:color w:val="000000"/>
                <w:sz w:val="18"/>
                <w:szCs w:val="18"/>
              </w:rPr>
              <w:t>2,7</w:t>
            </w:r>
          </w:p>
        </w:tc>
        <w:tc>
          <w:tcPr>
            <w:tcW w:w="482" w:type="dxa"/>
            <w:gridSpan w:val="2"/>
            <w:tcBorders>
              <w:top w:val="nil"/>
              <w:left w:val="nil"/>
              <w:bottom w:val="nil"/>
              <w:right w:val="nil"/>
            </w:tcBorders>
            <w:shd w:val="clear" w:color="auto" w:fill="auto"/>
            <w:vAlign w:val="center"/>
          </w:tcPr>
          <w:p w14:paraId="5C48B8B6" w14:textId="77777777" w:rsidR="000F6636" w:rsidRPr="00EF7B59" w:rsidRDefault="000F6636" w:rsidP="00484DB0">
            <w:pPr>
              <w:jc w:val="center"/>
              <w:rPr>
                <w:rFonts w:cs="Times New Roman"/>
                <w:sz w:val="18"/>
                <w:szCs w:val="18"/>
              </w:rPr>
            </w:pPr>
            <w:r w:rsidRPr="00EF7B59">
              <w:rPr>
                <w:color w:val="000000"/>
                <w:sz w:val="18"/>
                <w:szCs w:val="18"/>
              </w:rPr>
              <w:t>2,7</w:t>
            </w:r>
          </w:p>
        </w:tc>
        <w:tc>
          <w:tcPr>
            <w:tcW w:w="548" w:type="dxa"/>
            <w:gridSpan w:val="3"/>
            <w:tcBorders>
              <w:top w:val="nil"/>
              <w:left w:val="nil"/>
              <w:bottom w:val="nil"/>
              <w:right w:val="nil"/>
            </w:tcBorders>
            <w:shd w:val="clear" w:color="auto" w:fill="auto"/>
            <w:vAlign w:val="center"/>
          </w:tcPr>
          <w:p w14:paraId="6CE2FB2D" w14:textId="77777777" w:rsidR="000F6636" w:rsidRPr="00EF7B59" w:rsidRDefault="000F6636" w:rsidP="00484DB0">
            <w:pPr>
              <w:jc w:val="center"/>
              <w:rPr>
                <w:rFonts w:cs="Times New Roman"/>
                <w:sz w:val="18"/>
                <w:szCs w:val="18"/>
              </w:rPr>
            </w:pPr>
            <w:r w:rsidRPr="00EF7B59">
              <w:rPr>
                <w:color w:val="000000"/>
                <w:sz w:val="18"/>
                <w:szCs w:val="18"/>
              </w:rPr>
              <w:t>2,6</w:t>
            </w:r>
          </w:p>
        </w:tc>
        <w:tc>
          <w:tcPr>
            <w:tcW w:w="558" w:type="dxa"/>
            <w:gridSpan w:val="2"/>
            <w:tcBorders>
              <w:top w:val="nil"/>
              <w:left w:val="nil"/>
              <w:bottom w:val="nil"/>
              <w:right w:val="nil"/>
            </w:tcBorders>
            <w:shd w:val="clear" w:color="auto" w:fill="auto"/>
            <w:vAlign w:val="center"/>
          </w:tcPr>
          <w:p w14:paraId="5ACADE1D" w14:textId="77777777" w:rsidR="000F6636" w:rsidRPr="00EF7B59" w:rsidRDefault="000F6636" w:rsidP="00484DB0">
            <w:pPr>
              <w:jc w:val="center"/>
              <w:rPr>
                <w:rFonts w:cs="Times New Roman"/>
                <w:sz w:val="18"/>
                <w:szCs w:val="18"/>
              </w:rPr>
            </w:pPr>
            <w:r w:rsidRPr="00EF7B59">
              <w:rPr>
                <w:color w:val="000000"/>
                <w:sz w:val="18"/>
                <w:szCs w:val="18"/>
              </w:rPr>
              <w:t>2,6</w:t>
            </w:r>
          </w:p>
        </w:tc>
        <w:tc>
          <w:tcPr>
            <w:tcW w:w="320" w:type="dxa"/>
            <w:gridSpan w:val="3"/>
            <w:tcBorders>
              <w:top w:val="nil"/>
              <w:left w:val="nil"/>
              <w:bottom w:val="nil"/>
              <w:right w:val="nil"/>
            </w:tcBorders>
          </w:tcPr>
          <w:p w14:paraId="33B7E69D" w14:textId="77777777" w:rsidR="000F6636" w:rsidRPr="00EF7B59" w:rsidRDefault="000F6636" w:rsidP="00484DB0">
            <w:pPr>
              <w:jc w:val="center"/>
              <w:rPr>
                <w:sz w:val="18"/>
                <w:szCs w:val="18"/>
              </w:rPr>
            </w:pPr>
          </w:p>
        </w:tc>
      </w:tr>
      <w:tr w:rsidR="000F6636" w:rsidRPr="0088520B" w14:paraId="49D68995"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53CEE779" w14:textId="77777777" w:rsidR="000F6636" w:rsidRPr="00EF7B59" w:rsidRDefault="000F6636" w:rsidP="00484DB0">
            <w:pPr>
              <w:ind w:firstLineChars="300" w:firstLine="540"/>
              <w:rPr>
                <w:rFonts w:cs="Times New Roman"/>
                <w:sz w:val="18"/>
                <w:szCs w:val="18"/>
              </w:rPr>
            </w:pPr>
            <w:r w:rsidRPr="00EF7B59">
              <w:rPr>
                <w:rFonts w:cs="Times New Roman"/>
                <w:sz w:val="18"/>
                <w:szCs w:val="18"/>
              </w:rPr>
              <w:t>B. Zdravotná starostlivosť</w:t>
            </w:r>
          </w:p>
        </w:tc>
        <w:tc>
          <w:tcPr>
            <w:tcW w:w="482" w:type="dxa"/>
            <w:tcBorders>
              <w:top w:val="nil"/>
              <w:left w:val="nil"/>
              <w:bottom w:val="nil"/>
              <w:right w:val="nil"/>
            </w:tcBorders>
            <w:shd w:val="clear" w:color="auto" w:fill="auto"/>
            <w:vAlign w:val="center"/>
            <w:hideMark/>
          </w:tcPr>
          <w:p w14:paraId="4392FC00" w14:textId="77777777" w:rsidR="000F6636" w:rsidRPr="00EF7B59" w:rsidRDefault="000F6636" w:rsidP="00484DB0">
            <w:pPr>
              <w:jc w:val="center"/>
              <w:rPr>
                <w:rFonts w:cs="Times New Roman"/>
                <w:sz w:val="18"/>
                <w:szCs w:val="18"/>
              </w:rPr>
            </w:pPr>
            <w:r w:rsidRPr="00EF7B59">
              <w:rPr>
                <w:color w:val="000000"/>
                <w:sz w:val="18"/>
                <w:szCs w:val="18"/>
              </w:rPr>
              <w:t>6,1</w:t>
            </w:r>
          </w:p>
        </w:tc>
        <w:tc>
          <w:tcPr>
            <w:tcW w:w="482" w:type="dxa"/>
            <w:gridSpan w:val="2"/>
            <w:tcBorders>
              <w:top w:val="nil"/>
              <w:left w:val="nil"/>
              <w:bottom w:val="nil"/>
              <w:right w:val="nil"/>
            </w:tcBorders>
            <w:shd w:val="clear" w:color="auto" w:fill="auto"/>
            <w:vAlign w:val="center"/>
          </w:tcPr>
          <w:p w14:paraId="78DA6D2E" w14:textId="77777777" w:rsidR="000F6636" w:rsidRPr="00EF7B59" w:rsidRDefault="000F6636" w:rsidP="00484DB0">
            <w:pPr>
              <w:jc w:val="center"/>
              <w:rPr>
                <w:rFonts w:cs="Times New Roman"/>
                <w:sz w:val="18"/>
                <w:szCs w:val="18"/>
              </w:rPr>
            </w:pPr>
            <w:r w:rsidRPr="00EF7B59">
              <w:rPr>
                <w:color w:val="000000"/>
                <w:sz w:val="18"/>
                <w:szCs w:val="18"/>
              </w:rPr>
              <w:t>6,4</w:t>
            </w:r>
          </w:p>
        </w:tc>
        <w:tc>
          <w:tcPr>
            <w:tcW w:w="482" w:type="dxa"/>
            <w:gridSpan w:val="2"/>
            <w:tcBorders>
              <w:top w:val="nil"/>
              <w:left w:val="nil"/>
              <w:bottom w:val="nil"/>
              <w:right w:val="nil"/>
            </w:tcBorders>
            <w:shd w:val="clear" w:color="auto" w:fill="auto"/>
            <w:vAlign w:val="center"/>
          </w:tcPr>
          <w:p w14:paraId="6E9B6E1A" w14:textId="77777777" w:rsidR="000F6636" w:rsidRPr="00EF7B59" w:rsidRDefault="000F6636" w:rsidP="00484DB0">
            <w:pPr>
              <w:jc w:val="center"/>
              <w:rPr>
                <w:rFonts w:cs="Times New Roman"/>
                <w:sz w:val="18"/>
                <w:szCs w:val="18"/>
              </w:rPr>
            </w:pPr>
            <w:r w:rsidRPr="00EF7B59">
              <w:rPr>
                <w:color w:val="000000"/>
                <w:sz w:val="18"/>
                <w:szCs w:val="18"/>
              </w:rPr>
              <w:t>6,9</w:t>
            </w:r>
          </w:p>
        </w:tc>
        <w:tc>
          <w:tcPr>
            <w:tcW w:w="482" w:type="dxa"/>
            <w:gridSpan w:val="2"/>
            <w:tcBorders>
              <w:top w:val="nil"/>
              <w:left w:val="nil"/>
              <w:bottom w:val="nil"/>
              <w:right w:val="nil"/>
            </w:tcBorders>
            <w:shd w:val="clear" w:color="auto" w:fill="auto"/>
            <w:vAlign w:val="center"/>
          </w:tcPr>
          <w:p w14:paraId="5BDBC6F7" w14:textId="77777777" w:rsidR="000F6636" w:rsidRPr="00EF7B59" w:rsidRDefault="000F6636" w:rsidP="00484DB0">
            <w:pPr>
              <w:jc w:val="center"/>
              <w:rPr>
                <w:rFonts w:cs="Times New Roman"/>
                <w:sz w:val="18"/>
                <w:szCs w:val="18"/>
              </w:rPr>
            </w:pPr>
            <w:r w:rsidRPr="00EF7B59">
              <w:rPr>
                <w:color w:val="000000"/>
                <w:sz w:val="18"/>
                <w:szCs w:val="18"/>
              </w:rPr>
              <w:t>7,2</w:t>
            </w:r>
          </w:p>
        </w:tc>
        <w:tc>
          <w:tcPr>
            <w:tcW w:w="548" w:type="dxa"/>
            <w:gridSpan w:val="3"/>
            <w:tcBorders>
              <w:top w:val="nil"/>
              <w:left w:val="nil"/>
              <w:bottom w:val="nil"/>
              <w:right w:val="nil"/>
            </w:tcBorders>
            <w:shd w:val="clear" w:color="auto" w:fill="auto"/>
            <w:vAlign w:val="center"/>
          </w:tcPr>
          <w:p w14:paraId="196CE4C0" w14:textId="77777777" w:rsidR="000F6636" w:rsidRPr="00EF7B59" w:rsidRDefault="000F6636" w:rsidP="00484DB0">
            <w:pPr>
              <w:jc w:val="center"/>
              <w:rPr>
                <w:rFonts w:cs="Times New Roman"/>
                <w:sz w:val="18"/>
                <w:szCs w:val="18"/>
              </w:rPr>
            </w:pPr>
            <w:r w:rsidRPr="00EF7B59">
              <w:rPr>
                <w:color w:val="000000"/>
                <w:sz w:val="18"/>
                <w:szCs w:val="18"/>
              </w:rPr>
              <w:t>7,4</w:t>
            </w:r>
          </w:p>
        </w:tc>
        <w:tc>
          <w:tcPr>
            <w:tcW w:w="558" w:type="dxa"/>
            <w:gridSpan w:val="2"/>
            <w:tcBorders>
              <w:top w:val="nil"/>
              <w:left w:val="nil"/>
              <w:bottom w:val="nil"/>
              <w:right w:val="nil"/>
            </w:tcBorders>
            <w:shd w:val="clear" w:color="auto" w:fill="auto"/>
            <w:vAlign w:val="center"/>
          </w:tcPr>
          <w:p w14:paraId="01904643" w14:textId="77777777" w:rsidR="000F6636" w:rsidRPr="00EF7B59" w:rsidRDefault="000F6636" w:rsidP="00484DB0">
            <w:pPr>
              <w:jc w:val="center"/>
              <w:rPr>
                <w:rFonts w:cs="Times New Roman"/>
                <w:sz w:val="18"/>
                <w:szCs w:val="18"/>
              </w:rPr>
            </w:pPr>
            <w:r w:rsidRPr="00EF7B59">
              <w:rPr>
                <w:color w:val="000000"/>
                <w:sz w:val="18"/>
                <w:szCs w:val="18"/>
              </w:rPr>
              <w:t>7,3</w:t>
            </w:r>
          </w:p>
        </w:tc>
        <w:tc>
          <w:tcPr>
            <w:tcW w:w="320" w:type="dxa"/>
            <w:gridSpan w:val="3"/>
            <w:tcBorders>
              <w:top w:val="nil"/>
              <w:left w:val="nil"/>
              <w:bottom w:val="nil"/>
              <w:right w:val="nil"/>
            </w:tcBorders>
          </w:tcPr>
          <w:p w14:paraId="16E427C6" w14:textId="77777777" w:rsidR="000F6636" w:rsidRPr="00EF7B59" w:rsidRDefault="000F6636" w:rsidP="00484DB0">
            <w:pPr>
              <w:jc w:val="center"/>
              <w:rPr>
                <w:sz w:val="18"/>
                <w:szCs w:val="18"/>
              </w:rPr>
            </w:pPr>
          </w:p>
        </w:tc>
      </w:tr>
      <w:tr w:rsidR="000F6636" w:rsidRPr="0088520B" w14:paraId="7D4F80A7"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4668F661" w14:textId="77777777" w:rsidR="000F6636" w:rsidRPr="00EF7B59" w:rsidRDefault="000F6636" w:rsidP="00484DB0">
            <w:pPr>
              <w:ind w:firstLineChars="300" w:firstLine="540"/>
              <w:rPr>
                <w:rFonts w:cs="Times New Roman"/>
                <w:sz w:val="18"/>
                <w:szCs w:val="18"/>
              </w:rPr>
            </w:pPr>
            <w:r w:rsidRPr="00EF7B59">
              <w:rPr>
                <w:rFonts w:cs="Times New Roman"/>
                <w:sz w:val="18"/>
                <w:szCs w:val="18"/>
              </w:rPr>
              <w:t xml:space="preserve">C. Dlhodobá starostlivosť </w:t>
            </w:r>
          </w:p>
        </w:tc>
        <w:tc>
          <w:tcPr>
            <w:tcW w:w="482" w:type="dxa"/>
            <w:tcBorders>
              <w:top w:val="nil"/>
              <w:left w:val="nil"/>
              <w:bottom w:val="nil"/>
              <w:right w:val="nil"/>
            </w:tcBorders>
            <w:shd w:val="clear" w:color="auto" w:fill="auto"/>
            <w:vAlign w:val="center"/>
            <w:hideMark/>
          </w:tcPr>
          <w:p w14:paraId="43C0AFEB" w14:textId="77777777" w:rsidR="000F6636" w:rsidRPr="00EF7B59" w:rsidRDefault="000F6636" w:rsidP="00484DB0">
            <w:pPr>
              <w:jc w:val="center"/>
              <w:rPr>
                <w:rFonts w:cs="Times New Roman"/>
                <w:sz w:val="18"/>
                <w:szCs w:val="18"/>
              </w:rPr>
            </w:pPr>
            <w:r w:rsidRPr="00EF7B59">
              <w:rPr>
                <w:color w:val="000000"/>
                <w:sz w:val="18"/>
                <w:szCs w:val="18"/>
              </w:rPr>
              <w:t>1,1</w:t>
            </w:r>
          </w:p>
        </w:tc>
        <w:tc>
          <w:tcPr>
            <w:tcW w:w="482" w:type="dxa"/>
            <w:gridSpan w:val="2"/>
            <w:tcBorders>
              <w:top w:val="nil"/>
              <w:left w:val="nil"/>
              <w:bottom w:val="nil"/>
              <w:right w:val="nil"/>
            </w:tcBorders>
            <w:shd w:val="clear" w:color="auto" w:fill="auto"/>
            <w:vAlign w:val="center"/>
          </w:tcPr>
          <w:p w14:paraId="5229AB8D" w14:textId="77777777" w:rsidR="000F6636" w:rsidRPr="00EF7B59" w:rsidRDefault="000F6636" w:rsidP="00484DB0">
            <w:pPr>
              <w:jc w:val="center"/>
              <w:rPr>
                <w:rFonts w:cs="Times New Roman"/>
                <w:sz w:val="18"/>
                <w:szCs w:val="18"/>
              </w:rPr>
            </w:pPr>
            <w:r w:rsidRPr="00EF7B59">
              <w:rPr>
                <w:color w:val="000000"/>
                <w:sz w:val="18"/>
                <w:szCs w:val="18"/>
              </w:rPr>
              <w:t>1,3</w:t>
            </w:r>
          </w:p>
        </w:tc>
        <w:tc>
          <w:tcPr>
            <w:tcW w:w="482" w:type="dxa"/>
            <w:gridSpan w:val="2"/>
            <w:tcBorders>
              <w:top w:val="nil"/>
              <w:left w:val="nil"/>
              <w:bottom w:val="nil"/>
              <w:right w:val="nil"/>
            </w:tcBorders>
            <w:shd w:val="clear" w:color="auto" w:fill="auto"/>
            <w:vAlign w:val="center"/>
          </w:tcPr>
          <w:p w14:paraId="23A7309E" w14:textId="77777777" w:rsidR="000F6636" w:rsidRPr="00EF7B59" w:rsidRDefault="000F6636" w:rsidP="00484DB0">
            <w:pPr>
              <w:jc w:val="center"/>
              <w:rPr>
                <w:rFonts w:cs="Times New Roman"/>
                <w:sz w:val="18"/>
                <w:szCs w:val="18"/>
              </w:rPr>
            </w:pPr>
            <w:r w:rsidRPr="00EF7B59">
              <w:rPr>
                <w:color w:val="000000"/>
                <w:sz w:val="18"/>
                <w:szCs w:val="18"/>
              </w:rPr>
              <w:t>1,6</w:t>
            </w:r>
          </w:p>
        </w:tc>
        <w:tc>
          <w:tcPr>
            <w:tcW w:w="482" w:type="dxa"/>
            <w:gridSpan w:val="2"/>
            <w:tcBorders>
              <w:top w:val="nil"/>
              <w:left w:val="nil"/>
              <w:bottom w:val="nil"/>
              <w:right w:val="nil"/>
            </w:tcBorders>
            <w:shd w:val="clear" w:color="auto" w:fill="auto"/>
            <w:vAlign w:val="center"/>
          </w:tcPr>
          <w:p w14:paraId="6000E28E" w14:textId="77777777" w:rsidR="000F6636" w:rsidRPr="00EF7B59" w:rsidRDefault="000F6636" w:rsidP="00484DB0">
            <w:pPr>
              <w:jc w:val="center"/>
              <w:rPr>
                <w:rFonts w:cs="Times New Roman"/>
                <w:sz w:val="18"/>
                <w:szCs w:val="18"/>
              </w:rPr>
            </w:pPr>
            <w:r w:rsidRPr="00EF7B59">
              <w:rPr>
                <w:color w:val="000000"/>
                <w:sz w:val="18"/>
                <w:szCs w:val="18"/>
              </w:rPr>
              <w:t>1,8</w:t>
            </w:r>
          </w:p>
        </w:tc>
        <w:tc>
          <w:tcPr>
            <w:tcW w:w="548" w:type="dxa"/>
            <w:gridSpan w:val="3"/>
            <w:tcBorders>
              <w:top w:val="nil"/>
              <w:left w:val="nil"/>
              <w:bottom w:val="nil"/>
              <w:right w:val="nil"/>
            </w:tcBorders>
            <w:shd w:val="clear" w:color="auto" w:fill="auto"/>
            <w:vAlign w:val="center"/>
          </w:tcPr>
          <w:p w14:paraId="1D005487" w14:textId="77777777" w:rsidR="000F6636" w:rsidRPr="00EF7B59" w:rsidRDefault="000F6636" w:rsidP="00484DB0">
            <w:pPr>
              <w:jc w:val="center"/>
              <w:rPr>
                <w:rFonts w:cs="Times New Roman"/>
                <w:sz w:val="18"/>
                <w:szCs w:val="18"/>
              </w:rPr>
            </w:pPr>
            <w:r w:rsidRPr="00EF7B59">
              <w:rPr>
                <w:color w:val="000000"/>
                <w:sz w:val="18"/>
                <w:szCs w:val="18"/>
              </w:rPr>
              <w:t>2,2</w:t>
            </w:r>
          </w:p>
        </w:tc>
        <w:tc>
          <w:tcPr>
            <w:tcW w:w="558" w:type="dxa"/>
            <w:gridSpan w:val="2"/>
            <w:tcBorders>
              <w:top w:val="nil"/>
              <w:left w:val="nil"/>
              <w:bottom w:val="nil"/>
              <w:right w:val="nil"/>
            </w:tcBorders>
            <w:shd w:val="clear" w:color="auto" w:fill="auto"/>
            <w:vAlign w:val="center"/>
          </w:tcPr>
          <w:p w14:paraId="30B78AF2" w14:textId="77777777" w:rsidR="000F6636" w:rsidRPr="00EF7B59" w:rsidRDefault="000F6636" w:rsidP="00484DB0">
            <w:pPr>
              <w:jc w:val="center"/>
              <w:rPr>
                <w:rFonts w:cs="Times New Roman"/>
                <w:sz w:val="18"/>
                <w:szCs w:val="18"/>
              </w:rPr>
            </w:pPr>
            <w:r w:rsidRPr="00EF7B59">
              <w:rPr>
                <w:color w:val="000000"/>
                <w:sz w:val="18"/>
                <w:szCs w:val="18"/>
              </w:rPr>
              <w:t>2,4</w:t>
            </w:r>
          </w:p>
        </w:tc>
        <w:tc>
          <w:tcPr>
            <w:tcW w:w="320" w:type="dxa"/>
            <w:gridSpan w:val="3"/>
            <w:tcBorders>
              <w:top w:val="nil"/>
              <w:left w:val="nil"/>
              <w:bottom w:val="nil"/>
              <w:right w:val="nil"/>
            </w:tcBorders>
          </w:tcPr>
          <w:p w14:paraId="0C5A3FD5" w14:textId="77777777" w:rsidR="000F6636" w:rsidRPr="00EF7B59" w:rsidRDefault="000F6636" w:rsidP="00484DB0">
            <w:pPr>
              <w:jc w:val="center"/>
              <w:rPr>
                <w:sz w:val="18"/>
                <w:szCs w:val="18"/>
              </w:rPr>
            </w:pPr>
          </w:p>
        </w:tc>
      </w:tr>
      <w:tr w:rsidR="000F6636" w:rsidRPr="0088520B" w14:paraId="2F6CC5BE"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6E07824C" w14:textId="77777777" w:rsidR="000F6636" w:rsidRPr="00EF7B59" w:rsidRDefault="000F6636" w:rsidP="00484DB0">
            <w:pPr>
              <w:ind w:firstLineChars="300" w:firstLine="540"/>
              <w:rPr>
                <w:rFonts w:cs="Times New Roman"/>
                <w:sz w:val="18"/>
                <w:szCs w:val="18"/>
              </w:rPr>
            </w:pPr>
            <w:r w:rsidRPr="00EF7B59">
              <w:rPr>
                <w:rFonts w:cs="Times New Roman"/>
                <w:sz w:val="18"/>
                <w:szCs w:val="18"/>
              </w:rPr>
              <w:t>D. Školstvo</w:t>
            </w:r>
          </w:p>
        </w:tc>
        <w:tc>
          <w:tcPr>
            <w:tcW w:w="482" w:type="dxa"/>
            <w:tcBorders>
              <w:top w:val="nil"/>
              <w:left w:val="nil"/>
              <w:bottom w:val="nil"/>
              <w:right w:val="nil"/>
            </w:tcBorders>
            <w:shd w:val="clear" w:color="auto" w:fill="auto"/>
            <w:vAlign w:val="center"/>
            <w:hideMark/>
          </w:tcPr>
          <w:p w14:paraId="311E92B9" w14:textId="77777777" w:rsidR="000F6636" w:rsidRPr="00EF7B59" w:rsidRDefault="000F6636" w:rsidP="00484DB0">
            <w:pPr>
              <w:jc w:val="center"/>
              <w:rPr>
                <w:rFonts w:cs="Times New Roman"/>
                <w:sz w:val="18"/>
                <w:szCs w:val="18"/>
              </w:rPr>
            </w:pPr>
            <w:r w:rsidRPr="00EF7B59">
              <w:rPr>
                <w:color w:val="000000"/>
                <w:sz w:val="18"/>
                <w:szCs w:val="18"/>
              </w:rPr>
              <w:t>3,8</w:t>
            </w:r>
          </w:p>
        </w:tc>
        <w:tc>
          <w:tcPr>
            <w:tcW w:w="482" w:type="dxa"/>
            <w:gridSpan w:val="2"/>
            <w:tcBorders>
              <w:top w:val="nil"/>
              <w:left w:val="nil"/>
              <w:bottom w:val="nil"/>
              <w:right w:val="nil"/>
            </w:tcBorders>
            <w:shd w:val="clear" w:color="auto" w:fill="auto"/>
            <w:vAlign w:val="center"/>
          </w:tcPr>
          <w:p w14:paraId="7CEF9972" w14:textId="77777777" w:rsidR="000F6636" w:rsidRPr="00EF7B59" w:rsidRDefault="000F6636" w:rsidP="00484DB0">
            <w:pPr>
              <w:jc w:val="center"/>
              <w:rPr>
                <w:rFonts w:cs="Times New Roman"/>
                <w:sz w:val="18"/>
                <w:szCs w:val="18"/>
              </w:rPr>
            </w:pPr>
            <w:r w:rsidRPr="00EF7B59">
              <w:rPr>
                <w:color w:val="000000"/>
                <w:sz w:val="18"/>
                <w:szCs w:val="18"/>
              </w:rPr>
              <w:t>4,0</w:t>
            </w:r>
          </w:p>
        </w:tc>
        <w:tc>
          <w:tcPr>
            <w:tcW w:w="482" w:type="dxa"/>
            <w:gridSpan w:val="2"/>
            <w:tcBorders>
              <w:top w:val="nil"/>
              <w:left w:val="nil"/>
              <w:bottom w:val="nil"/>
              <w:right w:val="nil"/>
            </w:tcBorders>
            <w:shd w:val="clear" w:color="auto" w:fill="auto"/>
            <w:vAlign w:val="center"/>
          </w:tcPr>
          <w:p w14:paraId="0EDEAD3E" w14:textId="77777777" w:rsidR="000F6636" w:rsidRPr="00EF7B59" w:rsidRDefault="000F6636" w:rsidP="00484DB0">
            <w:pPr>
              <w:jc w:val="center"/>
              <w:rPr>
                <w:rFonts w:cs="Times New Roman"/>
                <w:sz w:val="18"/>
                <w:szCs w:val="18"/>
              </w:rPr>
            </w:pPr>
            <w:r w:rsidRPr="00EF7B59">
              <w:rPr>
                <w:color w:val="000000"/>
                <w:sz w:val="18"/>
                <w:szCs w:val="18"/>
              </w:rPr>
              <w:t>3,9</w:t>
            </w:r>
          </w:p>
        </w:tc>
        <w:tc>
          <w:tcPr>
            <w:tcW w:w="482" w:type="dxa"/>
            <w:gridSpan w:val="2"/>
            <w:tcBorders>
              <w:top w:val="nil"/>
              <w:left w:val="nil"/>
              <w:bottom w:val="nil"/>
              <w:right w:val="nil"/>
            </w:tcBorders>
            <w:shd w:val="clear" w:color="auto" w:fill="auto"/>
            <w:vAlign w:val="center"/>
          </w:tcPr>
          <w:p w14:paraId="0FA8DCB2" w14:textId="77777777" w:rsidR="000F6636" w:rsidRPr="00EF7B59" w:rsidRDefault="000F6636" w:rsidP="00484DB0">
            <w:pPr>
              <w:jc w:val="center"/>
              <w:rPr>
                <w:rFonts w:cs="Times New Roman"/>
                <w:sz w:val="18"/>
                <w:szCs w:val="18"/>
              </w:rPr>
            </w:pPr>
            <w:r w:rsidRPr="00EF7B59">
              <w:rPr>
                <w:color w:val="000000"/>
                <w:sz w:val="18"/>
                <w:szCs w:val="18"/>
              </w:rPr>
              <w:t>3,9</w:t>
            </w:r>
          </w:p>
        </w:tc>
        <w:tc>
          <w:tcPr>
            <w:tcW w:w="548" w:type="dxa"/>
            <w:gridSpan w:val="3"/>
            <w:tcBorders>
              <w:top w:val="nil"/>
              <w:left w:val="nil"/>
              <w:bottom w:val="nil"/>
              <w:right w:val="nil"/>
            </w:tcBorders>
            <w:shd w:val="clear" w:color="auto" w:fill="auto"/>
            <w:vAlign w:val="center"/>
          </w:tcPr>
          <w:p w14:paraId="5C2762D7" w14:textId="77777777" w:rsidR="000F6636" w:rsidRPr="00EF7B59" w:rsidRDefault="000F6636" w:rsidP="00484DB0">
            <w:pPr>
              <w:jc w:val="center"/>
              <w:rPr>
                <w:rFonts w:cs="Times New Roman"/>
                <w:sz w:val="18"/>
                <w:szCs w:val="18"/>
              </w:rPr>
            </w:pPr>
            <w:r w:rsidRPr="00EF7B59">
              <w:rPr>
                <w:color w:val="000000"/>
                <w:sz w:val="18"/>
                <w:szCs w:val="18"/>
              </w:rPr>
              <w:t>4,2</w:t>
            </w:r>
          </w:p>
        </w:tc>
        <w:tc>
          <w:tcPr>
            <w:tcW w:w="558" w:type="dxa"/>
            <w:gridSpan w:val="2"/>
            <w:tcBorders>
              <w:top w:val="nil"/>
              <w:left w:val="nil"/>
              <w:bottom w:val="nil"/>
              <w:right w:val="nil"/>
            </w:tcBorders>
            <w:shd w:val="clear" w:color="auto" w:fill="auto"/>
            <w:vAlign w:val="center"/>
          </w:tcPr>
          <w:p w14:paraId="6E07CB90" w14:textId="77777777" w:rsidR="000F6636" w:rsidRPr="00EF7B59" w:rsidRDefault="000F6636" w:rsidP="00484DB0">
            <w:pPr>
              <w:jc w:val="center"/>
              <w:rPr>
                <w:rFonts w:cs="Times New Roman"/>
                <w:sz w:val="18"/>
                <w:szCs w:val="18"/>
              </w:rPr>
            </w:pPr>
            <w:r w:rsidRPr="00EF7B59">
              <w:rPr>
                <w:color w:val="000000"/>
                <w:sz w:val="18"/>
                <w:szCs w:val="18"/>
              </w:rPr>
              <w:t>4,0</w:t>
            </w:r>
          </w:p>
        </w:tc>
        <w:tc>
          <w:tcPr>
            <w:tcW w:w="320" w:type="dxa"/>
            <w:gridSpan w:val="3"/>
            <w:tcBorders>
              <w:top w:val="nil"/>
              <w:left w:val="nil"/>
              <w:bottom w:val="nil"/>
              <w:right w:val="nil"/>
            </w:tcBorders>
          </w:tcPr>
          <w:p w14:paraId="3C193E03" w14:textId="77777777" w:rsidR="000F6636" w:rsidRPr="00EF7B59" w:rsidRDefault="000F6636" w:rsidP="00484DB0">
            <w:pPr>
              <w:jc w:val="center"/>
              <w:rPr>
                <w:sz w:val="18"/>
                <w:szCs w:val="18"/>
              </w:rPr>
            </w:pPr>
          </w:p>
        </w:tc>
      </w:tr>
      <w:tr w:rsidR="000F6636" w:rsidRPr="0088520B" w14:paraId="0830CF5F"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7AEADCE4" w14:textId="77777777" w:rsidR="000F6636" w:rsidRPr="00EF7B59" w:rsidRDefault="000F6636" w:rsidP="00484DB0">
            <w:pPr>
              <w:ind w:firstLineChars="300" w:firstLine="540"/>
              <w:rPr>
                <w:rFonts w:cs="Times New Roman"/>
                <w:sz w:val="18"/>
                <w:szCs w:val="18"/>
              </w:rPr>
            </w:pPr>
            <w:r w:rsidRPr="00EF7B59">
              <w:rPr>
                <w:rFonts w:cs="Times New Roman"/>
                <w:sz w:val="18"/>
                <w:szCs w:val="18"/>
              </w:rPr>
              <w:t>E. Ostatné výdavky ovplyvnené starnutím populácie</w:t>
            </w:r>
          </w:p>
        </w:tc>
        <w:tc>
          <w:tcPr>
            <w:tcW w:w="482" w:type="dxa"/>
            <w:tcBorders>
              <w:top w:val="nil"/>
              <w:left w:val="nil"/>
              <w:bottom w:val="nil"/>
              <w:right w:val="nil"/>
            </w:tcBorders>
            <w:shd w:val="clear" w:color="auto" w:fill="auto"/>
            <w:vAlign w:val="center"/>
            <w:hideMark/>
          </w:tcPr>
          <w:p w14:paraId="1F2912FD" w14:textId="77777777" w:rsidR="000F6636" w:rsidRPr="00EF7B59" w:rsidRDefault="000F6636" w:rsidP="00484DB0">
            <w:pPr>
              <w:jc w:val="center"/>
              <w:rPr>
                <w:rFonts w:cs="Times New Roman"/>
                <w:sz w:val="18"/>
                <w:szCs w:val="18"/>
              </w:rPr>
            </w:pPr>
          </w:p>
        </w:tc>
        <w:tc>
          <w:tcPr>
            <w:tcW w:w="482" w:type="dxa"/>
            <w:gridSpan w:val="2"/>
            <w:tcBorders>
              <w:top w:val="nil"/>
              <w:left w:val="nil"/>
              <w:bottom w:val="nil"/>
              <w:right w:val="nil"/>
            </w:tcBorders>
            <w:shd w:val="clear" w:color="auto" w:fill="auto"/>
            <w:vAlign w:val="center"/>
          </w:tcPr>
          <w:p w14:paraId="05CA26A4" w14:textId="77777777" w:rsidR="000F6636" w:rsidRPr="00EF7B59" w:rsidRDefault="000F6636" w:rsidP="00484DB0">
            <w:pPr>
              <w:jc w:val="center"/>
              <w:rPr>
                <w:rFonts w:cs="Times New Roman"/>
                <w:sz w:val="18"/>
                <w:szCs w:val="18"/>
              </w:rPr>
            </w:pPr>
          </w:p>
        </w:tc>
        <w:tc>
          <w:tcPr>
            <w:tcW w:w="482" w:type="dxa"/>
            <w:gridSpan w:val="2"/>
            <w:tcBorders>
              <w:top w:val="nil"/>
              <w:left w:val="nil"/>
              <w:bottom w:val="nil"/>
              <w:right w:val="nil"/>
            </w:tcBorders>
            <w:shd w:val="clear" w:color="auto" w:fill="auto"/>
            <w:vAlign w:val="center"/>
          </w:tcPr>
          <w:p w14:paraId="373913EE" w14:textId="77777777" w:rsidR="000F6636" w:rsidRPr="00EF7B59" w:rsidRDefault="000F6636" w:rsidP="00484DB0">
            <w:pPr>
              <w:jc w:val="center"/>
              <w:rPr>
                <w:rFonts w:cs="Times New Roman"/>
                <w:sz w:val="18"/>
                <w:szCs w:val="18"/>
              </w:rPr>
            </w:pPr>
          </w:p>
        </w:tc>
        <w:tc>
          <w:tcPr>
            <w:tcW w:w="482" w:type="dxa"/>
            <w:gridSpan w:val="2"/>
            <w:tcBorders>
              <w:top w:val="nil"/>
              <w:left w:val="nil"/>
              <w:bottom w:val="nil"/>
              <w:right w:val="nil"/>
            </w:tcBorders>
            <w:shd w:val="clear" w:color="auto" w:fill="auto"/>
            <w:vAlign w:val="center"/>
          </w:tcPr>
          <w:p w14:paraId="23BE6DB3" w14:textId="77777777" w:rsidR="000F6636" w:rsidRPr="00EF7B59" w:rsidRDefault="000F6636" w:rsidP="00484DB0">
            <w:pPr>
              <w:jc w:val="center"/>
              <w:rPr>
                <w:rFonts w:cs="Times New Roman"/>
                <w:sz w:val="18"/>
                <w:szCs w:val="18"/>
              </w:rPr>
            </w:pPr>
          </w:p>
        </w:tc>
        <w:tc>
          <w:tcPr>
            <w:tcW w:w="548" w:type="dxa"/>
            <w:gridSpan w:val="3"/>
            <w:tcBorders>
              <w:top w:val="nil"/>
              <w:left w:val="nil"/>
              <w:bottom w:val="nil"/>
              <w:right w:val="nil"/>
            </w:tcBorders>
            <w:shd w:val="clear" w:color="auto" w:fill="auto"/>
            <w:vAlign w:val="center"/>
          </w:tcPr>
          <w:p w14:paraId="5B833681" w14:textId="77777777" w:rsidR="000F6636" w:rsidRPr="00EF7B59" w:rsidRDefault="000F6636" w:rsidP="00484DB0">
            <w:pPr>
              <w:jc w:val="center"/>
              <w:rPr>
                <w:rFonts w:cs="Times New Roman"/>
                <w:sz w:val="18"/>
                <w:szCs w:val="18"/>
              </w:rPr>
            </w:pPr>
          </w:p>
        </w:tc>
        <w:tc>
          <w:tcPr>
            <w:tcW w:w="558" w:type="dxa"/>
            <w:gridSpan w:val="2"/>
            <w:tcBorders>
              <w:top w:val="nil"/>
              <w:left w:val="nil"/>
              <w:bottom w:val="nil"/>
              <w:right w:val="nil"/>
            </w:tcBorders>
            <w:shd w:val="clear" w:color="auto" w:fill="auto"/>
            <w:vAlign w:val="center"/>
          </w:tcPr>
          <w:p w14:paraId="53CEE1D5" w14:textId="77777777" w:rsidR="000F6636" w:rsidRPr="00EF7B59" w:rsidRDefault="000F6636" w:rsidP="00484DB0">
            <w:pPr>
              <w:jc w:val="center"/>
              <w:rPr>
                <w:rFonts w:cs="Times New Roman"/>
                <w:sz w:val="18"/>
                <w:szCs w:val="18"/>
              </w:rPr>
            </w:pPr>
          </w:p>
        </w:tc>
        <w:tc>
          <w:tcPr>
            <w:tcW w:w="320" w:type="dxa"/>
            <w:gridSpan w:val="3"/>
            <w:tcBorders>
              <w:top w:val="nil"/>
              <w:left w:val="nil"/>
              <w:bottom w:val="nil"/>
              <w:right w:val="nil"/>
            </w:tcBorders>
          </w:tcPr>
          <w:p w14:paraId="42BA8298" w14:textId="77777777" w:rsidR="000F6636" w:rsidRPr="00EF7B59" w:rsidRDefault="000F6636" w:rsidP="00484DB0">
            <w:pPr>
              <w:jc w:val="center"/>
              <w:rPr>
                <w:sz w:val="18"/>
                <w:szCs w:val="18"/>
              </w:rPr>
            </w:pPr>
          </w:p>
        </w:tc>
      </w:tr>
      <w:tr w:rsidR="000F6636" w:rsidRPr="0088520B" w14:paraId="61FE98D6"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5390344C" w14:textId="77777777" w:rsidR="000F6636" w:rsidRPr="00EF7B59" w:rsidRDefault="000F6636" w:rsidP="00484DB0">
            <w:pPr>
              <w:ind w:firstLineChars="200" w:firstLine="360"/>
              <w:rPr>
                <w:rFonts w:cs="Times New Roman"/>
                <w:sz w:val="18"/>
                <w:szCs w:val="18"/>
              </w:rPr>
            </w:pPr>
            <w:r w:rsidRPr="00EF7B59">
              <w:rPr>
                <w:rFonts w:cs="Times New Roman"/>
                <w:sz w:val="18"/>
                <w:szCs w:val="18"/>
              </w:rPr>
              <w:t>Z toho: Úroky</w:t>
            </w:r>
          </w:p>
        </w:tc>
        <w:tc>
          <w:tcPr>
            <w:tcW w:w="482" w:type="dxa"/>
            <w:tcBorders>
              <w:top w:val="nil"/>
              <w:left w:val="nil"/>
              <w:bottom w:val="single" w:sz="4" w:space="0" w:color="auto"/>
              <w:right w:val="nil"/>
            </w:tcBorders>
            <w:shd w:val="clear" w:color="auto" w:fill="auto"/>
            <w:vAlign w:val="center"/>
            <w:hideMark/>
          </w:tcPr>
          <w:p w14:paraId="5E3317B5" w14:textId="77777777" w:rsidR="000F6636" w:rsidRPr="00EF7B59" w:rsidRDefault="000F6636" w:rsidP="00484DB0">
            <w:pPr>
              <w:jc w:val="center"/>
              <w:rPr>
                <w:rFonts w:cs="Times New Roman"/>
                <w:sz w:val="18"/>
                <w:szCs w:val="18"/>
              </w:rPr>
            </w:pPr>
            <w:r w:rsidRPr="00EF7B59">
              <w:rPr>
                <w:color w:val="000000"/>
                <w:sz w:val="18"/>
                <w:szCs w:val="18"/>
              </w:rPr>
              <w:t>3,5</w:t>
            </w:r>
          </w:p>
        </w:tc>
        <w:tc>
          <w:tcPr>
            <w:tcW w:w="482" w:type="dxa"/>
            <w:gridSpan w:val="2"/>
            <w:tcBorders>
              <w:top w:val="nil"/>
              <w:left w:val="nil"/>
              <w:bottom w:val="single" w:sz="4" w:space="0" w:color="auto"/>
              <w:right w:val="nil"/>
            </w:tcBorders>
            <w:shd w:val="clear" w:color="auto" w:fill="auto"/>
            <w:vAlign w:val="center"/>
          </w:tcPr>
          <w:p w14:paraId="69215B42" w14:textId="77777777" w:rsidR="000F6636" w:rsidRPr="00EF7B59" w:rsidRDefault="000F6636" w:rsidP="00484DB0">
            <w:pPr>
              <w:jc w:val="center"/>
              <w:rPr>
                <w:rFonts w:cs="Times New Roman"/>
                <w:sz w:val="18"/>
                <w:szCs w:val="18"/>
              </w:rPr>
            </w:pPr>
            <w:r w:rsidRPr="00EF7B59">
              <w:rPr>
                <w:color w:val="000000"/>
                <w:sz w:val="18"/>
                <w:szCs w:val="18"/>
              </w:rPr>
              <w:t>3,9</w:t>
            </w:r>
          </w:p>
        </w:tc>
        <w:tc>
          <w:tcPr>
            <w:tcW w:w="482" w:type="dxa"/>
            <w:gridSpan w:val="2"/>
            <w:tcBorders>
              <w:top w:val="nil"/>
              <w:left w:val="nil"/>
              <w:bottom w:val="single" w:sz="4" w:space="0" w:color="auto"/>
              <w:right w:val="nil"/>
            </w:tcBorders>
            <w:shd w:val="clear" w:color="auto" w:fill="auto"/>
            <w:vAlign w:val="center"/>
          </w:tcPr>
          <w:p w14:paraId="3FB6F162" w14:textId="77777777" w:rsidR="000F6636" w:rsidRPr="00EF7B59" w:rsidRDefault="000F6636" w:rsidP="00484DB0">
            <w:pPr>
              <w:jc w:val="center"/>
              <w:rPr>
                <w:rFonts w:cs="Times New Roman"/>
                <w:sz w:val="18"/>
                <w:szCs w:val="18"/>
              </w:rPr>
            </w:pPr>
            <w:r w:rsidRPr="00EF7B59">
              <w:rPr>
                <w:color w:val="000000"/>
                <w:sz w:val="18"/>
                <w:szCs w:val="18"/>
              </w:rPr>
              <w:t>4,0</w:t>
            </w:r>
          </w:p>
        </w:tc>
        <w:tc>
          <w:tcPr>
            <w:tcW w:w="482" w:type="dxa"/>
            <w:gridSpan w:val="2"/>
            <w:tcBorders>
              <w:top w:val="nil"/>
              <w:left w:val="nil"/>
              <w:bottom w:val="single" w:sz="4" w:space="0" w:color="auto"/>
              <w:right w:val="nil"/>
            </w:tcBorders>
            <w:shd w:val="clear" w:color="auto" w:fill="auto"/>
            <w:vAlign w:val="center"/>
          </w:tcPr>
          <w:p w14:paraId="6857007C" w14:textId="77777777" w:rsidR="000F6636" w:rsidRPr="00EF7B59" w:rsidRDefault="000F6636" w:rsidP="00484DB0">
            <w:pPr>
              <w:jc w:val="center"/>
              <w:rPr>
                <w:rFonts w:cs="Times New Roman"/>
                <w:sz w:val="18"/>
                <w:szCs w:val="18"/>
              </w:rPr>
            </w:pPr>
            <w:r w:rsidRPr="00EF7B59">
              <w:rPr>
                <w:color w:val="000000"/>
                <w:sz w:val="18"/>
                <w:szCs w:val="18"/>
              </w:rPr>
              <w:t>4,0</w:t>
            </w:r>
          </w:p>
        </w:tc>
        <w:tc>
          <w:tcPr>
            <w:tcW w:w="548" w:type="dxa"/>
            <w:gridSpan w:val="3"/>
            <w:tcBorders>
              <w:top w:val="nil"/>
              <w:left w:val="nil"/>
              <w:bottom w:val="single" w:sz="4" w:space="0" w:color="auto"/>
              <w:right w:val="nil"/>
            </w:tcBorders>
            <w:shd w:val="clear" w:color="auto" w:fill="auto"/>
            <w:vAlign w:val="center"/>
          </w:tcPr>
          <w:p w14:paraId="6CBA849D" w14:textId="77777777" w:rsidR="000F6636" w:rsidRPr="00EF7B59" w:rsidRDefault="000F6636" w:rsidP="00484DB0">
            <w:pPr>
              <w:jc w:val="center"/>
              <w:rPr>
                <w:rFonts w:cs="Times New Roman"/>
                <w:sz w:val="18"/>
                <w:szCs w:val="18"/>
              </w:rPr>
            </w:pPr>
            <w:r w:rsidRPr="00EF7B59">
              <w:rPr>
                <w:color w:val="000000"/>
                <w:sz w:val="18"/>
                <w:szCs w:val="18"/>
              </w:rPr>
              <w:t>4,0</w:t>
            </w:r>
          </w:p>
        </w:tc>
        <w:tc>
          <w:tcPr>
            <w:tcW w:w="558" w:type="dxa"/>
            <w:gridSpan w:val="2"/>
            <w:tcBorders>
              <w:top w:val="nil"/>
              <w:left w:val="nil"/>
              <w:bottom w:val="single" w:sz="4" w:space="0" w:color="auto"/>
              <w:right w:val="nil"/>
            </w:tcBorders>
            <w:shd w:val="clear" w:color="auto" w:fill="auto"/>
            <w:vAlign w:val="center"/>
          </w:tcPr>
          <w:p w14:paraId="4A7E66A2" w14:textId="77777777" w:rsidR="000F6636" w:rsidRPr="00EF7B59" w:rsidRDefault="000F6636" w:rsidP="00484DB0">
            <w:pPr>
              <w:jc w:val="center"/>
              <w:rPr>
                <w:rFonts w:cs="Times New Roman"/>
                <w:sz w:val="18"/>
                <w:szCs w:val="18"/>
              </w:rPr>
            </w:pPr>
            <w:r w:rsidRPr="00EF7B59">
              <w:rPr>
                <w:color w:val="000000"/>
                <w:sz w:val="18"/>
                <w:szCs w:val="18"/>
              </w:rPr>
              <w:t>4,0</w:t>
            </w:r>
          </w:p>
        </w:tc>
        <w:tc>
          <w:tcPr>
            <w:tcW w:w="320" w:type="dxa"/>
            <w:gridSpan w:val="3"/>
            <w:tcBorders>
              <w:top w:val="nil"/>
              <w:left w:val="nil"/>
              <w:bottom w:val="single" w:sz="4" w:space="0" w:color="auto"/>
              <w:right w:val="nil"/>
            </w:tcBorders>
          </w:tcPr>
          <w:p w14:paraId="6E342865" w14:textId="77777777" w:rsidR="000F6636" w:rsidRPr="00EF7B59" w:rsidRDefault="000F6636" w:rsidP="00484DB0">
            <w:pPr>
              <w:jc w:val="center"/>
              <w:rPr>
                <w:sz w:val="18"/>
                <w:szCs w:val="18"/>
              </w:rPr>
            </w:pPr>
          </w:p>
        </w:tc>
      </w:tr>
      <w:tr w:rsidR="000F6636" w:rsidRPr="0088520B" w14:paraId="6AE4CECD" w14:textId="77777777" w:rsidTr="00484DB0">
        <w:trPr>
          <w:trHeight w:val="283"/>
        </w:trPr>
        <w:tc>
          <w:tcPr>
            <w:tcW w:w="5699" w:type="dxa"/>
            <w:gridSpan w:val="2"/>
            <w:tcBorders>
              <w:top w:val="single" w:sz="4" w:space="0" w:color="auto"/>
              <w:left w:val="nil"/>
              <w:bottom w:val="nil"/>
              <w:right w:val="nil"/>
            </w:tcBorders>
            <w:shd w:val="clear" w:color="000000" w:fill="FFFFFF"/>
            <w:noWrap/>
            <w:vAlign w:val="center"/>
            <w:hideMark/>
          </w:tcPr>
          <w:p w14:paraId="7F3A242D" w14:textId="77777777" w:rsidR="000F6636" w:rsidRPr="00EF7B59" w:rsidRDefault="000F6636" w:rsidP="00484DB0">
            <w:pPr>
              <w:rPr>
                <w:rFonts w:cs="Times New Roman"/>
                <w:b/>
                <w:bCs/>
                <w:sz w:val="18"/>
                <w:szCs w:val="18"/>
              </w:rPr>
            </w:pPr>
            <w:r w:rsidRPr="00EF7B59">
              <w:rPr>
                <w:rFonts w:cs="Times New Roman"/>
                <w:b/>
                <w:bCs/>
                <w:sz w:val="18"/>
                <w:szCs w:val="18"/>
              </w:rPr>
              <w:t>Príjmy celkom</w:t>
            </w:r>
          </w:p>
        </w:tc>
        <w:tc>
          <w:tcPr>
            <w:tcW w:w="482" w:type="dxa"/>
            <w:tcBorders>
              <w:top w:val="nil"/>
              <w:left w:val="nil"/>
              <w:bottom w:val="nil"/>
              <w:right w:val="nil"/>
            </w:tcBorders>
            <w:shd w:val="clear" w:color="auto" w:fill="auto"/>
            <w:vAlign w:val="center"/>
          </w:tcPr>
          <w:p w14:paraId="748ADBC3" w14:textId="77777777" w:rsidR="000F6636" w:rsidRPr="00EF7B59" w:rsidRDefault="000F6636" w:rsidP="00484DB0">
            <w:pPr>
              <w:jc w:val="center"/>
              <w:rPr>
                <w:rFonts w:cs="Times New Roman"/>
                <w:b/>
                <w:bCs/>
                <w:sz w:val="18"/>
                <w:szCs w:val="18"/>
              </w:rPr>
            </w:pPr>
            <w:r w:rsidRPr="00EF7B59">
              <w:rPr>
                <w:b/>
                <w:bCs/>
                <w:color w:val="000000"/>
                <w:sz w:val="18"/>
                <w:szCs w:val="18"/>
              </w:rPr>
              <w:t>41,0</w:t>
            </w:r>
          </w:p>
        </w:tc>
        <w:tc>
          <w:tcPr>
            <w:tcW w:w="482" w:type="dxa"/>
            <w:gridSpan w:val="2"/>
            <w:tcBorders>
              <w:top w:val="nil"/>
              <w:left w:val="nil"/>
              <w:bottom w:val="nil"/>
              <w:right w:val="nil"/>
            </w:tcBorders>
            <w:shd w:val="clear" w:color="auto" w:fill="auto"/>
            <w:vAlign w:val="center"/>
          </w:tcPr>
          <w:p w14:paraId="0E1DCD24" w14:textId="77777777" w:rsidR="000F6636" w:rsidRPr="00EF7B59" w:rsidRDefault="000F6636" w:rsidP="00484DB0">
            <w:pPr>
              <w:jc w:val="center"/>
              <w:rPr>
                <w:rFonts w:cs="Times New Roman"/>
                <w:b/>
                <w:bCs/>
                <w:sz w:val="18"/>
                <w:szCs w:val="18"/>
              </w:rPr>
            </w:pPr>
          </w:p>
        </w:tc>
        <w:tc>
          <w:tcPr>
            <w:tcW w:w="482" w:type="dxa"/>
            <w:gridSpan w:val="2"/>
            <w:tcBorders>
              <w:top w:val="nil"/>
              <w:left w:val="nil"/>
              <w:bottom w:val="nil"/>
              <w:right w:val="nil"/>
            </w:tcBorders>
            <w:shd w:val="clear" w:color="auto" w:fill="auto"/>
            <w:vAlign w:val="center"/>
          </w:tcPr>
          <w:p w14:paraId="285396F3" w14:textId="77777777" w:rsidR="000F6636" w:rsidRPr="00EF7B59" w:rsidRDefault="000F6636" w:rsidP="00484DB0">
            <w:pPr>
              <w:jc w:val="center"/>
              <w:rPr>
                <w:rFonts w:cs="Times New Roman"/>
                <w:b/>
                <w:bCs/>
                <w:sz w:val="18"/>
                <w:szCs w:val="18"/>
              </w:rPr>
            </w:pPr>
          </w:p>
        </w:tc>
        <w:tc>
          <w:tcPr>
            <w:tcW w:w="482" w:type="dxa"/>
            <w:gridSpan w:val="2"/>
            <w:tcBorders>
              <w:top w:val="nil"/>
              <w:left w:val="nil"/>
              <w:bottom w:val="nil"/>
              <w:right w:val="nil"/>
            </w:tcBorders>
            <w:shd w:val="clear" w:color="auto" w:fill="auto"/>
            <w:vAlign w:val="center"/>
          </w:tcPr>
          <w:p w14:paraId="29D2BCF3" w14:textId="77777777" w:rsidR="000F6636" w:rsidRPr="00EF7B59" w:rsidRDefault="000F6636" w:rsidP="00484DB0">
            <w:pPr>
              <w:jc w:val="center"/>
              <w:rPr>
                <w:rFonts w:cs="Times New Roman"/>
                <w:b/>
                <w:bCs/>
                <w:sz w:val="18"/>
                <w:szCs w:val="18"/>
              </w:rPr>
            </w:pPr>
          </w:p>
        </w:tc>
        <w:tc>
          <w:tcPr>
            <w:tcW w:w="548" w:type="dxa"/>
            <w:gridSpan w:val="3"/>
            <w:tcBorders>
              <w:top w:val="nil"/>
              <w:left w:val="nil"/>
              <w:bottom w:val="nil"/>
              <w:right w:val="nil"/>
            </w:tcBorders>
            <w:shd w:val="clear" w:color="auto" w:fill="auto"/>
            <w:vAlign w:val="center"/>
          </w:tcPr>
          <w:p w14:paraId="14A7737F" w14:textId="77777777" w:rsidR="000F6636" w:rsidRPr="00EF7B59" w:rsidRDefault="000F6636" w:rsidP="00484DB0">
            <w:pPr>
              <w:jc w:val="center"/>
              <w:rPr>
                <w:rFonts w:cs="Times New Roman"/>
                <w:b/>
                <w:bCs/>
                <w:sz w:val="18"/>
                <w:szCs w:val="18"/>
              </w:rPr>
            </w:pPr>
          </w:p>
        </w:tc>
        <w:tc>
          <w:tcPr>
            <w:tcW w:w="558" w:type="dxa"/>
            <w:gridSpan w:val="2"/>
            <w:tcBorders>
              <w:top w:val="nil"/>
              <w:left w:val="nil"/>
              <w:bottom w:val="nil"/>
              <w:right w:val="nil"/>
            </w:tcBorders>
            <w:shd w:val="clear" w:color="auto" w:fill="auto"/>
            <w:vAlign w:val="center"/>
          </w:tcPr>
          <w:p w14:paraId="770691F8" w14:textId="77777777" w:rsidR="000F6636" w:rsidRPr="00EF7B59" w:rsidRDefault="000F6636" w:rsidP="00484DB0">
            <w:pPr>
              <w:jc w:val="center"/>
              <w:rPr>
                <w:rFonts w:cs="Times New Roman"/>
                <w:b/>
                <w:bCs/>
                <w:sz w:val="18"/>
                <w:szCs w:val="18"/>
              </w:rPr>
            </w:pPr>
          </w:p>
        </w:tc>
        <w:tc>
          <w:tcPr>
            <w:tcW w:w="320" w:type="dxa"/>
            <w:gridSpan w:val="3"/>
            <w:tcBorders>
              <w:top w:val="nil"/>
              <w:left w:val="nil"/>
              <w:bottom w:val="nil"/>
              <w:right w:val="nil"/>
            </w:tcBorders>
          </w:tcPr>
          <w:p w14:paraId="521AD832" w14:textId="77777777" w:rsidR="000F6636" w:rsidRPr="00EF7B59" w:rsidRDefault="000F6636" w:rsidP="00484DB0">
            <w:pPr>
              <w:jc w:val="center"/>
              <w:rPr>
                <w:b/>
                <w:sz w:val="18"/>
                <w:szCs w:val="18"/>
              </w:rPr>
            </w:pPr>
          </w:p>
        </w:tc>
      </w:tr>
      <w:tr w:rsidR="000F6636" w:rsidRPr="0088520B" w14:paraId="21FB0FC9"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66DE8A1A" w14:textId="77777777" w:rsidR="000F6636" w:rsidRPr="00EF7B59" w:rsidRDefault="000F6636" w:rsidP="00484DB0">
            <w:pPr>
              <w:ind w:firstLineChars="200" w:firstLine="360"/>
              <w:rPr>
                <w:rFonts w:cs="Times New Roman"/>
                <w:sz w:val="18"/>
                <w:szCs w:val="18"/>
              </w:rPr>
            </w:pPr>
            <w:r w:rsidRPr="00EF7B59">
              <w:rPr>
                <w:rFonts w:cs="Times New Roman"/>
                <w:sz w:val="18"/>
                <w:szCs w:val="18"/>
              </w:rPr>
              <w:t>Z toho: Príjmy z majetku (D.4)</w:t>
            </w:r>
          </w:p>
        </w:tc>
        <w:tc>
          <w:tcPr>
            <w:tcW w:w="482" w:type="dxa"/>
            <w:tcBorders>
              <w:top w:val="nil"/>
              <w:left w:val="nil"/>
              <w:bottom w:val="nil"/>
              <w:right w:val="nil"/>
            </w:tcBorders>
            <w:shd w:val="clear" w:color="auto" w:fill="auto"/>
            <w:vAlign w:val="center"/>
            <w:hideMark/>
          </w:tcPr>
          <w:p w14:paraId="0264FC90" w14:textId="77777777" w:rsidR="000F6636" w:rsidRPr="00EF7B59" w:rsidRDefault="000F6636" w:rsidP="00484DB0">
            <w:pPr>
              <w:jc w:val="center"/>
              <w:rPr>
                <w:rFonts w:cs="Times New Roman"/>
                <w:sz w:val="18"/>
                <w:szCs w:val="18"/>
              </w:rPr>
            </w:pPr>
            <w:r w:rsidRPr="00EF7B59">
              <w:rPr>
                <w:color w:val="000000"/>
                <w:sz w:val="18"/>
                <w:szCs w:val="18"/>
              </w:rPr>
              <w:t>0,7</w:t>
            </w:r>
          </w:p>
        </w:tc>
        <w:tc>
          <w:tcPr>
            <w:tcW w:w="482" w:type="dxa"/>
            <w:gridSpan w:val="2"/>
            <w:tcBorders>
              <w:top w:val="nil"/>
              <w:left w:val="nil"/>
              <w:bottom w:val="nil"/>
              <w:right w:val="nil"/>
            </w:tcBorders>
            <w:shd w:val="clear" w:color="auto" w:fill="auto"/>
            <w:vAlign w:val="center"/>
          </w:tcPr>
          <w:p w14:paraId="7739D01D" w14:textId="77777777" w:rsidR="000F6636" w:rsidRPr="00EF7B59" w:rsidRDefault="000F6636" w:rsidP="00484DB0">
            <w:pPr>
              <w:jc w:val="center"/>
              <w:rPr>
                <w:rFonts w:cs="Times New Roman"/>
                <w:sz w:val="18"/>
                <w:szCs w:val="18"/>
              </w:rPr>
            </w:pPr>
            <w:r w:rsidRPr="00EF7B59">
              <w:rPr>
                <w:color w:val="000000"/>
                <w:sz w:val="18"/>
                <w:szCs w:val="18"/>
              </w:rPr>
              <w:t>0,6</w:t>
            </w:r>
          </w:p>
        </w:tc>
        <w:tc>
          <w:tcPr>
            <w:tcW w:w="482" w:type="dxa"/>
            <w:gridSpan w:val="2"/>
            <w:tcBorders>
              <w:top w:val="nil"/>
              <w:left w:val="nil"/>
              <w:bottom w:val="nil"/>
              <w:right w:val="nil"/>
            </w:tcBorders>
            <w:shd w:val="clear" w:color="auto" w:fill="auto"/>
            <w:vAlign w:val="center"/>
          </w:tcPr>
          <w:p w14:paraId="7FF1E464" w14:textId="77777777" w:rsidR="000F6636" w:rsidRPr="00EF7B59" w:rsidRDefault="000F6636" w:rsidP="00484DB0">
            <w:pPr>
              <w:jc w:val="center"/>
              <w:rPr>
                <w:rFonts w:cs="Times New Roman"/>
                <w:sz w:val="18"/>
                <w:szCs w:val="18"/>
              </w:rPr>
            </w:pPr>
            <w:r w:rsidRPr="00EF7B59">
              <w:rPr>
                <w:color w:val="000000"/>
                <w:sz w:val="18"/>
                <w:szCs w:val="18"/>
              </w:rPr>
              <w:t>0,6</w:t>
            </w:r>
          </w:p>
        </w:tc>
        <w:tc>
          <w:tcPr>
            <w:tcW w:w="482" w:type="dxa"/>
            <w:gridSpan w:val="2"/>
            <w:tcBorders>
              <w:top w:val="nil"/>
              <w:left w:val="nil"/>
              <w:bottom w:val="nil"/>
              <w:right w:val="nil"/>
            </w:tcBorders>
            <w:shd w:val="clear" w:color="auto" w:fill="auto"/>
            <w:vAlign w:val="center"/>
          </w:tcPr>
          <w:p w14:paraId="7DD3CAD5" w14:textId="77777777" w:rsidR="000F6636" w:rsidRPr="00EF7B59" w:rsidRDefault="000F6636" w:rsidP="00484DB0">
            <w:pPr>
              <w:jc w:val="center"/>
              <w:rPr>
                <w:rFonts w:cs="Times New Roman"/>
                <w:sz w:val="18"/>
                <w:szCs w:val="18"/>
              </w:rPr>
            </w:pPr>
            <w:r w:rsidRPr="00EF7B59">
              <w:rPr>
                <w:color w:val="000000"/>
                <w:sz w:val="18"/>
                <w:szCs w:val="18"/>
              </w:rPr>
              <w:t>0,6</w:t>
            </w:r>
          </w:p>
        </w:tc>
        <w:tc>
          <w:tcPr>
            <w:tcW w:w="548" w:type="dxa"/>
            <w:gridSpan w:val="3"/>
            <w:tcBorders>
              <w:top w:val="nil"/>
              <w:left w:val="nil"/>
              <w:bottom w:val="nil"/>
              <w:right w:val="nil"/>
            </w:tcBorders>
            <w:shd w:val="clear" w:color="auto" w:fill="auto"/>
            <w:vAlign w:val="center"/>
          </w:tcPr>
          <w:p w14:paraId="41194CFB" w14:textId="77777777" w:rsidR="000F6636" w:rsidRPr="00EF7B59" w:rsidRDefault="000F6636" w:rsidP="00484DB0">
            <w:pPr>
              <w:jc w:val="center"/>
              <w:rPr>
                <w:rFonts w:cs="Times New Roman"/>
                <w:sz w:val="18"/>
                <w:szCs w:val="18"/>
              </w:rPr>
            </w:pPr>
            <w:r w:rsidRPr="00EF7B59">
              <w:rPr>
                <w:color w:val="000000"/>
                <w:sz w:val="18"/>
                <w:szCs w:val="18"/>
              </w:rPr>
              <w:t>0,6</w:t>
            </w:r>
          </w:p>
        </w:tc>
        <w:tc>
          <w:tcPr>
            <w:tcW w:w="558" w:type="dxa"/>
            <w:gridSpan w:val="2"/>
            <w:tcBorders>
              <w:top w:val="nil"/>
              <w:left w:val="nil"/>
              <w:bottom w:val="nil"/>
              <w:right w:val="nil"/>
            </w:tcBorders>
            <w:shd w:val="clear" w:color="auto" w:fill="auto"/>
            <w:vAlign w:val="center"/>
          </w:tcPr>
          <w:p w14:paraId="02AB1FEA" w14:textId="77777777" w:rsidR="000F6636" w:rsidRPr="00EF7B59" w:rsidRDefault="000F6636" w:rsidP="00484DB0">
            <w:pPr>
              <w:jc w:val="center"/>
              <w:rPr>
                <w:rFonts w:cs="Times New Roman"/>
                <w:sz w:val="18"/>
                <w:szCs w:val="18"/>
              </w:rPr>
            </w:pPr>
            <w:r w:rsidRPr="00EF7B59">
              <w:rPr>
                <w:color w:val="000000"/>
                <w:sz w:val="18"/>
                <w:szCs w:val="18"/>
              </w:rPr>
              <w:t>0,5</w:t>
            </w:r>
          </w:p>
        </w:tc>
        <w:tc>
          <w:tcPr>
            <w:tcW w:w="320" w:type="dxa"/>
            <w:gridSpan w:val="3"/>
            <w:tcBorders>
              <w:top w:val="nil"/>
              <w:left w:val="nil"/>
              <w:bottom w:val="nil"/>
              <w:right w:val="nil"/>
            </w:tcBorders>
          </w:tcPr>
          <w:p w14:paraId="79F4089B" w14:textId="77777777" w:rsidR="000F6636" w:rsidRPr="00EF7B59" w:rsidRDefault="000F6636" w:rsidP="00484DB0">
            <w:pPr>
              <w:jc w:val="center"/>
              <w:rPr>
                <w:sz w:val="18"/>
                <w:szCs w:val="18"/>
              </w:rPr>
            </w:pPr>
          </w:p>
        </w:tc>
      </w:tr>
      <w:tr w:rsidR="000F6636" w:rsidRPr="0088520B" w14:paraId="1DE1BB98"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37994499" w14:textId="77777777" w:rsidR="000F6636" w:rsidRPr="00EF7B59" w:rsidRDefault="000F6636" w:rsidP="00484DB0">
            <w:pPr>
              <w:ind w:firstLineChars="200" w:firstLine="360"/>
              <w:rPr>
                <w:rFonts w:cs="Times New Roman"/>
                <w:sz w:val="18"/>
                <w:szCs w:val="18"/>
              </w:rPr>
            </w:pPr>
            <w:r w:rsidRPr="00EF7B59">
              <w:rPr>
                <w:rFonts w:cs="Times New Roman"/>
                <w:sz w:val="18"/>
                <w:szCs w:val="18"/>
              </w:rPr>
              <w:t>Z toho: Zo sociálnych odvodov</w:t>
            </w:r>
          </w:p>
        </w:tc>
        <w:tc>
          <w:tcPr>
            <w:tcW w:w="482" w:type="dxa"/>
            <w:tcBorders>
              <w:top w:val="nil"/>
              <w:left w:val="nil"/>
              <w:bottom w:val="nil"/>
              <w:right w:val="nil"/>
            </w:tcBorders>
            <w:shd w:val="clear" w:color="auto" w:fill="auto"/>
            <w:vAlign w:val="center"/>
            <w:hideMark/>
          </w:tcPr>
          <w:p w14:paraId="0DE96C5D" w14:textId="77777777" w:rsidR="000F6636" w:rsidRPr="00EF7B59" w:rsidRDefault="000F6636" w:rsidP="00484DB0">
            <w:pPr>
              <w:jc w:val="center"/>
              <w:rPr>
                <w:rFonts w:cs="Times New Roman"/>
                <w:sz w:val="18"/>
                <w:szCs w:val="18"/>
              </w:rPr>
            </w:pPr>
            <w:r w:rsidRPr="00EF7B59">
              <w:rPr>
                <w:color w:val="000000"/>
                <w:sz w:val="18"/>
                <w:szCs w:val="18"/>
              </w:rPr>
              <w:t>7,2</w:t>
            </w:r>
          </w:p>
        </w:tc>
        <w:tc>
          <w:tcPr>
            <w:tcW w:w="482" w:type="dxa"/>
            <w:gridSpan w:val="2"/>
            <w:tcBorders>
              <w:top w:val="nil"/>
              <w:left w:val="nil"/>
              <w:bottom w:val="nil"/>
              <w:right w:val="nil"/>
            </w:tcBorders>
            <w:shd w:val="clear" w:color="auto" w:fill="auto"/>
            <w:vAlign w:val="center"/>
          </w:tcPr>
          <w:p w14:paraId="4EEEE9E6" w14:textId="77777777" w:rsidR="000F6636" w:rsidRPr="00EF7B59" w:rsidRDefault="000F6636" w:rsidP="00484DB0">
            <w:pPr>
              <w:jc w:val="center"/>
              <w:rPr>
                <w:rFonts w:cs="Times New Roman"/>
                <w:sz w:val="18"/>
                <w:szCs w:val="18"/>
              </w:rPr>
            </w:pPr>
            <w:r w:rsidRPr="00EF7B59">
              <w:rPr>
                <w:color w:val="000000"/>
                <w:sz w:val="18"/>
                <w:szCs w:val="18"/>
              </w:rPr>
              <w:t>7,0</w:t>
            </w:r>
          </w:p>
        </w:tc>
        <w:tc>
          <w:tcPr>
            <w:tcW w:w="482" w:type="dxa"/>
            <w:gridSpan w:val="2"/>
            <w:tcBorders>
              <w:top w:val="nil"/>
              <w:left w:val="nil"/>
              <w:bottom w:val="nil"/>
              <w:right w:val="nil"/>
            </w:tcBorders>
            <w:shd w:val="clear" w:color="auto" w:fill="auto"/>
            <w:vAlign w:val="center"/>
          </w:tcPr>
          <w:p w14:paraId="3E900CA6" w14:textId="77777777" w:rsidR="000F6636" w:rsidRPr="00EF7B59" w:rsidRDefault="000F6636" w:rsidP="00484DB0">
            <w:pPr>
              <w:jc w:val="center"/>
              <w:rPr>
                <w:rFonts w:cs="Times New Roman"/>
                <w:sz w:val="18"/>
                <w:szCs w:val="18"/>
              </w:rPr>
            </w:pPr>
            <w:r w:rsidRPr="00EF7B59">
              <w:rPr>
                <w:color w:val="000000"/>
                <w:sz w:val="18"/>
                <w:szCs w:val="18"/>
              </w:rPr>
              <w:t>6,9</w:t>
            </w:r>
          </w:p>
        </w:tc>
        <w:tc>
          <w:tcPr>
            <w:tcW w:w="482" w:type="dxa"/>
            <w:gridSpan w:val="2"/>
            <w:tcBorders>
              <w:top w:val="nil"/>
              <w:left w:val="nil"/>
              <w:bottom w:val="nil"/>
              <w:right w:val="nil"/>
            </w:tcBorders>
            <w:shd w:val="clear" w:color="auto" w:fill="auto"/>
            <w:vAlign w:val="center"/>
          </w:tcPr>
          <w:p w14:paraId="37420BF4" w14:textId="77777777" w:rsidR="000F6636" w:rsidRPr="00EF7B59" w:rsidRDefault="000F6636" w:rsidP="00484DB0">
            <w:pPr>
              <w:jc w:val="center"/>
              <w:rPr>
                <w:rFonts w:cs="Times New Roman"/>
                <w:sz w:val="18"/>
                <w:szCs w:val="18"/>
              </w:rPr>
            </w:pPr>
            <w:r w:rsidRPr="00EF7B59">
              <w:rPr>
                <w:color w:val="000000"/>
                <w:sz w:val="18"/>
                <w:szCs w:val="18"/>
              </w:rPr>
              <w:t>6,7</w:t>
            </w:r>
          </w:p>
        </w:tc>
        <w:tc>
          <w:tcPr>
            <w:tcW w:w="548" w:type="dxa"/>
            <w:gridSpan w:val="3"/>
            <w:tcBorders>
              <w:top w:val="nil"/>
              <w:left w:val="nil"/>
              <w:bottom w:val="nil"/>
              <w:right w:val="nil"/>
            </w:tcBorders>
            <w:shd w:val="clear" w:color="auto" w:fill="auto"/>
            <w:vAlign w:val="center"/>
          </w:tcPr>
          <w:p w14:paraId="7BD16CB3" w14:textId="77777777" w:rsidR="000F6636" w:rsidRPr="00EF7B59" w:rsidRDefault="000F6636" w:rsidP="00484DB0">
            <w:pPr>
              <w:jc w:val="center"/>
              <w:rPr>
                <w:rFonts w:cs="Times New Roman"/>
                <w:sz w:val="18"/>
                <w:szCs w:val="18"/>
              </w:rPr>
            </w:pPr>
            <w:r w:rsidRPr="00EF7B59">
              <w:rPr>
                <w:color w:val="000000"/>
                <w:sz w:val="18"/>
                <w:szCs w:val="18"/>
              </w:rPr>
              <w:t>6,5</w:t>
            </w:r>
          </w:p>
        </w:tc>
        <w:tc>
          <w:tcPr>
            <w:tcW w:w="558" w:type="dxa"/>
            <w:gridSpan w:val="2"/>
            <w:tcBorders>
              <w:top w:val="nil"/>
              <w:left w:val="nil"/>
              <w:bottom w:val="nil"/>
              <w:right w:val="nil"/>
            </w:tcBorders>
            <w:shd w:val="clear" w:color="auto" w:fill="auto"/>
            <w:vAlign w:val="center"/>
          </w:tcPr>
          <w:p w14:paraId="2C43FFCC" w14:textId="77777777" w:rsidR="000F6636" w:rsidRPr="00EF7B59" w:rsidRDefault="000F6636" w:rsidP="00484DB0">
            <w:pPr>
              <w:jc w:val="center"/>
              <w:rPr>
                <w:rFonts w:cs="Times New Roman"/>
                <w:sz w:val="18"/>
                <w:szCs w:val="18"/>
              </w:rPr>
            </w:pPr>
            <w:r w:rsidRPr="00EF7B59">
              <w:rPr>
                <w:color w:val="000000"/>
                <w:sz w:val="18"/>
                <w:szCs w:val="18"/>
              </w:rPr>
              <w:t>6,4</w:t>
            </w:r>
          </w:p>
        </w:tc>
        <w:tc>
          <w:tcPr>
            <w:tcW w:w="320" w:type="dxa"/>
            <w:gridSpan w:val="3"/>
            <w:tcBorders>
              <w:top w:val="nil"/>
              <w:left w:val="nil"/>
              <w:bottom w:val="nil"/>
              <w:right w:val="nil"/>
            </w:tcBorders>
          </w:tcPr>
          <w:p w14:paraId="47B8F6D2" w14:textId="77777777" w:rsidR="000F6636" w:rsidRPr="00EF7B59" w:rsidRDefault="000F6636" w:rsidP="00484DB0">
            <w:pPr>
              <w:jc w:val="center"/>
              <w:rPr>
                <w:sz w:val="18"/>
                <w:szCs w:val="18"/>
              </w:rPr>
            </w:pPr>
          </w:p>
        </w:tc>
      </w:tr>
      <w:tr w:rsidR="000F6636" w:rsidRPr="0088520B" w14:paraId="2C6B0AAB" w14:textId="77777777" w:rsidTr="00484DB0">
        <w:trPr>
          <w:trHeight w:val="283"/>
        </w:trPr>
        <w:tc>
          <w:tcPr>
            <w:tcW w:w="5699" w:type="dxa"/>
            <w:gridSpan w:val="2"/>
            <w:tcBorders>
              <w:top w:val="nil"/>
              <w:left w:val="nil"/>
              <w:bottom w:val="nil"/>
              <w:right w:val="nil"/>
            </w:tcBorders>
            <w:shd w:val="clear" w:color="000000" w:fill="FFFFFF"/>
            <w:noWrap/>
            <w:vAlign w:val="center"/>
            <w:hideMark/>
          </w:tcPr>
          <w:p w14:paraId="77E67FDF" w14:textId="77777777" w:rsidR="000F6636" w:rsidRPr="00EF7B59" w:rsidRDefault="000F6636" w:rsidP="00484DB0">
            <w:pPr>
              <w:rPr>
                <w:rFonts w:cs="Times New Roman"/>
                <w:sz w:val="18"/>
                <w:szCs w:val="18"/>
              </w:rPr>
            </w:pPr>
            <w:r w:rsidRPr="00EF7B59">
              <w:rPr>
                <w:rFonts w:cs="Times New Roman"/>
                <w:sz w:val="18"/>
                <w:szCs w:val="18"/>
              </w:rPr>
              <w:t>Rezervy dôchodkových fondov</w:t>
            </w:r>
          </w:p>
        </w:tc>
        <w:tc>
          <w:tcPr>
            <w:tcW w:w="482" w:type="dxa"/>
            <w:tcBorders>
              <w:top w:val="nil"/>
              <w:left w:val="nil"/>
              <w:bottom w:val="nil"/>
              <w:right w:val="nil"/>
            </w:tcBorders>
            <w:shd w:val="clear" w:color="auto" w:fill="auto"/>
            <w:vAlign w:val="center"/>
          </w:tcPr>
          <w:p w14:paraId="60C47D0E" w14:textId="77777777" w:rsidR="000F6636" w:rsidRPr="00EF7B59" w:rsidRDefault="000F6636" w:rsidP="00484DB0">
            <w:pPr>
              <w:jc w:val="center"/>
              <w:rPr>
                <w:rFonts w:cs="Times New Roman"/>
                <w:sz w:val="18"/>
                <w:szCs w:val="18"/>
              </w:rPr>
            </w:pPr>
          </w:p>
        </w:tc>
        <w:tc>
          <w:tcPr>
            <w:tcW w:w="482" w:type="dxa"/>
            <w:gridSpan w:val="2"/>
            <w:tcBorders>
              <w:top w:val="nil"/>
              <w:left w:val="nil"/>
              <w:bottom w:val="nil"/>
              <w:right w:val="nil"/>
            </w:tcBorders>
            <w:shd w:val="clear" w:color="auto" w:fill="auto"/>
            <w:vAlign w:val="center"/>
          </w:tcPr>
          <w:p w14:paraId="6CFE636A" w14:textId="77777777" w:rsidR="000F6636" w:rsidRPr="00EF7B59" w:rsidRDefault="000F6636" w:rsidP="00484DB0">
            <w:pPr>
              <w:jc w:val="center"/>
              <w:rPr>
                <w:rFonts w:cs="Times New Roman"/>
                <w:sz w:val="18"/>
                <w:szCs w:val="18"/>
              </w:rPr>
            </w:pPr>
          </w:p>
        </w:tc>
        <w:tc>
          <w:tcPr>
            <w:tcW w:w="482" w:type="dxa"/>
            <w:gridSpan w:val="2"/>
            <w:tcBorders>
              <w:top w:val="nil"/>
              <w:left w:val="nil"/>
              <w:bottom w:val="nil"/>
              <w:right w:val="nil"/>
            </w:tcBorders>
            <w:shd w:val="clear" w:color="auto" w:fill="auto"/>
            <w:vAlign w:val="center"/>
          </w:tcPr>
          <w:p w14:paraId="7638D7D5" w14:textId="77777777" w:rsidR="000F6636" w:rsidRPr="00EF7B59" w:rsidRDefault="000F6636" w:rsidP="00484DB0">
            <w:pPr>
              <w:jc w:val="center"/>
              <w:rPr>
                <w:rFonts w:cs="Times New Roman"/>
                <w:sz w:val="18"/>
                <w:szCs w:val="18"/>
              </w:rPr>
            </w:pPr>
          </w:p>
        </w:tc>
        <w:tc>
          <w:tcPr>
            <w:tcW w:w="482" w:type="dxa"/>
            <w:gridSpan w:val="2"/>
            <w:tcBorders>
              <w:top w:val="nil"/>
              <w:left w:val="nil"/>
              <w:bottom w:val="nil"/>
              <w:right w:val="nil"/>
            </w:tcBorders>
            <w:shd w:val="clear" w:color="auto" w:fill="auto"/>
            <w:vAlign w:val="center"/>
          </w:tcPr>
          <w:p w14:paraId="7DBD102B" w14:textId="77777777" w:rsidR="000F6636" w:rsidRPr="00EF7B59" w:rsidRDefault="000F6636" w:rsidP="00484DB0">
            <w:pPr>
              <w:jc w:val="center"/>
              <w:rPr>
                <w:rFonts w:cs="Times New Roman"/>
                <w:sz w:val="18"/>
                <w:szCs w:val="18"/>
              </w:rPr>
            </w:pPr>
          </w:p>
        </w:tc>
        <w:tc>
          <w:tcPr>
            <w:tcW w:w="548" w:type="dxa"/>
            <w:gridSpan w:val="3"/>
            <w:tcBorders>
              <w:top w:val="nil"/>
              <w:left w:val="nil"/>
              <w:bottom w:val="nil"/>
              <w:right w:val="nil"/>
            </w:tcBorders>
            <w:shd w:val="clear" w:color="auto" w:fill="auto"/>
            <w:vAlign w:val="center"/>
          </w:tcPr>
          <w:p w14:paraId="59224352" w14:textId="77777777" w:rsidR="000F6636" w:rsidRPr="00EF7B59" w:rsidRDefault="000F6636" w:rsidP="00484DB0">
            <w:pPr>
              <w:jc w:val="center"/>
              <w:rPr>
                <w:rFonts w:cs="Times New Roman"/>
                <w:sz w:val="18"/>
                <w:szCs w:val="18"/>
              </w:rPr>
            </w:pPr>
          </w:p>
        </w:tc>
        <w:tc>
          <w:tcPr>
            <w:tcW w:w="558" w:type="dxa"/>
            <w:gridSpan w:val="2"/>
            <w:tcBorders>
              <w:top w:val="nil"/>
              <w:left w:val="nil"/>
              <w:bottom w:val="nil"/>
              <w:right w:val="nil"/>
            </w:tcBorders>
            <w:shd w:val="clear" w:color="auto" w:fill="auto"/>
            <w:vAlign w:val="center"/>
          </w:tcPr>
          <w:p w14:paraId="127D8AD1" w14:textId="77777777" w:rsidR="000F6636" w:rsidRPr="00EF7B59" w:rsidRDefault="000F6636" w:rsidP="00484DB0">
            <w:pPr>
              <w:jc w:val="center"/>
              <w:rPr>
                <w:rFonts w:cs="Times New Roman"/>
                <w:sz w:val="18"/>
                <w:szCs w:val="18"/>
              </w:rPr>
            </w:pPr>
          </w:p>
        </w:tc>
        <w:tc>
          <w:tcPr>
            <w:tcW w:w="320" w:type="dxa"/>
            <w:gridSpan w:val="3"/>
            <w:tcBorders>
              <w:top w:val="nil"/>
              <w:left w:val="nil"/>
              <w:bottom w:val="nil"/>
              <w:right w:val="nil"/>
            </w:tcBorders>
          </w:tcPr>
          <w:p w14:paraId="75432839" w14:textId="77777777" w:rsidR="000F6636" w:rsidRPr="00EF7B59" w:rsidRDefault="000F6636" w:rsidP="00484DB0">
            <w:pPr>
              <w:jc w:val="center"/>
              <w:rPr>
                <w:sz w:val="18"/>
                <w:szCs w:val="18"/>
              </w:rPr>
            </w:pPr>
          </w:p>
        </w:tc>
      </w:tr>
      <w:tr w:rsidR="000F6636" w:rsidRPr="0088520B" w14:paraId="014EF1F4" w14:textId="77777777" w:rsidTr="008D2AA5">
        <w:trPr>
          <w:trHeight w:val="283"/>
        </w:trPr>
        <w:tc>
          <w:tcPr>
            <w:tcW w:w="5699" w:type="dxa"/>
            <w:gridSpan w:val="2"/>
            <w:tcBorders>
              <w:top w:val="nil"/>
              <w:left w:val="nil"/>
              <w:bottom w:val="single" w:sz="4" w:space="0" w:color="auto"/>
              <w:right w:val="nil"/>
            </w:tcBorders>
            <w:shd w:val="clear" w:color="000000" w:fill="FFFFFF"/>
            <w:noWrap/>
            <w:vAlign w:val="center"/>
            <w:hideMark/>
          </w:tcPr>
          <w:p w14:paraId="2185149F" w14:textId="77777777" w:rsidR="000F6636" w:rsidRPr="00EF7B59" w:rsidRDefault="000F6636" w:rsidP="00484DB0">
            <w:pPr>
              <w:ind w:firstLineChars="200" w:firstLine="360"/>
              <w:rPr>
                <w:rFonts w:cs="Times New Roman"/>
                <w:sz w:val="18"/>
                <w:szCs w:val="18"/>
              </w:rPr>
            </w:pPr>
            <w:r w:rsidRPr="00EF7B59">
              <w:rPr>
                <w:rFonts w:cs="Times New Roman"/>
                <w:sz w:val="18"/>
                <w:szCs w:val="18"/>
              </w:rPr>
              <w:t>Z toho: konsolidované rezervy dôch. fondov VS</w:t>
            </w:r>
          </w:p>
        </w:tc>
        <w:tc>
          <w:tcPr>
            <w:tcW w:w="482" w:type="dxa"/>
            <w:tcBorders>
              <w:top w:val="nil"/>
              <w:left w:val="nil"/>
              <w:bottom w:val="single" w:sz="4" w:space="0" w:color="auto"/>
              <w:right w:val="nil"/>
            </w:tcBorders>
            <w:shd w:val="clear" w:color="auto" w:fill="auto"/>
            <w:vAlign w:val="center"/>
          </w:tcPr>
          <w:p w14:paraId="0974CAB7" w14:textId="77777777" w:rsidR="000F6636" w:rsidRPr="00EF7B59" w:rsidRDefault="000F6636" w:rsidP="00484DB0">
            <w:pPr>
              <w:jc w:val="center"/>
              <w:rPr>
                <w:rFonts w:cs="Times New Roman"/>
                <w:sz w:val="18"/>
                <w:szCs w:val="18"/>
              </w:rPr>
            </w:pPr>
          </w:p>
        </w:tc>
        <w:tc>
          <w:tcPr>
            <w:tcW w:w="482" w:type="dxa"/>
            <w:gridSpan w:val="2"/>
            <w:tcBorders>
              <w:top w:val="nil"/>
              <w:left w:val="nil"/>
              <w:bottom w:val="single" w:sz="4" w:space="0" w:color="auto"/>
              <w:right w:val="nil"/>
            </w:tcBorders>
            <w:shd w:val="clear" w:color="auto" w:fill="auto"/>
            <w:vAlign w:val="center"/>
          </w:tcPr>
          <w:p w14:paraId="609195BC" w14:textId="77777777" w:rsidR="000F6636" w:rsidRPr="00EF7B59" w:rsidRDefault="000F6636" w:rsidP="00484DB0">
            <w:pPr>
              <w:jc w:val="center"/>
              <w:rPr>
                <w:rFonts w:cs="Times New Roman"/>
                <w:sz w:val="18"/>
                <w:szCs w:val="18"/>
              </w:rPr>
            </w:pPr>
          </w:p>
        </w:tc>
        <w:tc>
          <w:tcPr>
            <w:tcW w:w="482" w:type="dxa"/>
            <w:gridSpan w:val="2"/>
            <w:tcBorders>
              <w:top w:val="nil"/>
              <w:left w:val="nil"/>
              <w:bottom w:val="single" w:sz="4" w:space="0" w:color="auto"/>
              <w:right w:val="nil"/>
            </w:tcBorders>
            <w:shd w:val="clear" w:color="auto" w:fill="auto"/>
            <w:vAlign w:val="center"/>
          </w:tcPr>
          <w:p w14:paraId="4C2A4389" w14:textId="77777777" w:rsidR="000F6636" w:rsidRPr="00EF7B59" w:rsidRDefault="000F6636" w:rsidP="00484DB0">
            <w:pPr>
              <w:jc w:val="center"/>
              <w:rPr>
                <w:rFonts w:cs="Times New Roman"/>
                <w:sz w:val="18"/>
                <w:szCs w:val="18"/>
              </w:rPr>
            </w:pPr>
          </w:p>
        </w:tc>
        <w:tc>
          <w:tcPr>
            <w:tcW w:w="482" w:type="dxa"/>
            <w:gridSpan w:val="2"/>
            <w:tcBorders>
              <w:top w:val="nil"/>
              <w:left w:val="nil"/>
              <w:bottom w:val="single" w:sz="4" w:space="0" w:color="auto"/>
              <w:right w:val="nil"/>
            </w:tcBorders>
            <w:shd w:val="clear" w:color="auto" w:fill="auto"/>
            <w:vAlign w:val="center"/>
          </w:tcPr>
          <w:p w14:paraId="0C6DAA60" w14:textId="77777777" w:rsidR="000F6636" w:rsidRPr="00EF7B59" w:rsidRDefault="000F6636" w:rsidP="00484DB0">
            <w:pPr>
              <w:jc w:val="center"/>
              <w:rPr>
                <w:rFonts w:cs="Times New Roman"/>
                <w:sz w:val="18"/>
                <w:szCs w:val="18"/>
              </w:rPr>
            </w:pPr>
          </w:p>
        </w:tc>
        <w:tc>
          <w:tcPr>
            <w:tcW w:w="548" w:type="dxa"/>
            <w:gridSpan w:val="3"/>
            <w:tcBorders>
              <w:top w:val="nil"/>
              <w:left w:val="nil"/>
              <w:bottom w:val="single" w:sz="4" w:space="0" w:color="auto"/>
              <w:right w:val="nil"/>
            </w:tcBorders>
            <w:shd w:val="clear" w:color="auto" w:fill="auto"/>
            <w:vAlign w:val="center"/>
          </w:tcPr>
          <w:p w14:paraId="662DE2EA" w14:textId="77777777" w:rsidR="000F6636" w:rsidRPr="00EF7B59" w:rsidRDefault="000F6636" w:rsidP="00484DB0">
            <w:pPr>
              <w:jc w:val="center"/>
              <w:rPr>
                <w:rFonts w:cs="Times New Roman"/>
                <w:sz w:val="18"/>
                <w:szCs w:val="18"/>
              </w:rPr>
            </w:pPr>
          </w:p>
        </w:tc>
        <w:tc>
          <w:tcPr>
            <w:tcW w:w="558" w:type="dxa"/>
            <w:gridSpan w:val="2"/>
            <w:tcBorders>
              <w:top w:val="nil"/>
              <w:left w:val="nil"/>
              <w:bottom w:val="single" w:sz="4" w:space="0" w:color="auto"/>
              <w:right w:val="nil"/>
            </w:tcBorders>
            <w:shd w:val="clear" w:color="auto" w:fill="auto"/>
            <w:vAlign w:val="center"/>
          </w:tcPr>
          <w:p w14:paraId="09671423" w14:textId="77777777" w:rsidR="000F6636" w:rsidRPr="00EF7B59" w:rsidRDefault="000F6636" w:rsidP="00484DB0">
            <w:pPr>
              <w:jc w:val="center"/>
              <w:rPr>
                <w:rFonts w:cs="Times New Roman"/>
                <w:sz w:val="18"/>
                <w:szCs w:val="18"/>
              </w:rPr>
            </w:pPr>
          </w:p>
        </w:tc>
        <w:tc>
          <w:tcPr>
            <w:tcW w:w="320" w:type="dxa"/>
            <w:gridSpan w:val="3"/>
            <w:tcBorders>
              <w:top w:val="nil"/>
              <w:left w:val="nil"/>
              <w:bottom w:val="single" w:sz="4" w:space="0" w:color="auto"/>
              <w:right w:val="nil"/>
            </w:tcBorders>
          </w:tcPr>
          <w:p w14:paraId="527C301F" w14:textId="77777777" w:rsidR="000F6636" w:rsidRPr="00EF7B59" w:rsidRDefault="000F6636" w:rsidP="00484DB0">
            <w:pPr>
              <w:jc w:val="center"/>
              <w:rPr>
                <w:sz w:val="18"/>
                <w:szCs w:val="18"/>
              </w:rPr>
            </w:pPr>
          </w:p>
        </w:tc>
      </w:tr>
      <w:tr w:rsidR="000F6636" w:rsidRPr="0088520B" w14:paraId="51D0BD29" w14:textId="77777777" w:rsidTr="008D2AA5">
        <w:trPr>
          <w:trHeight w:val="283"/>
        </w:trPr>
        <w:tc>
          <w:tcPr>
            <w:tcW w:w="6907" w:type="dxa"/>
            <w:gridSpan w:val="6"/>
            <w:tcBorders>
              <w:top w:val="single" w:sz="4" w:space="0" w:color="auto"/>
              <w:left w:val="nil"/>
              <w:right w:val="nil"/>
            </w:tcBorders>
            <w:shd w:val="clear" w:color="auto" w:fill="auto"/>
            <w:noWrap/>
            <w:vAlign w:val="center"/>
            <w:hideMark/>
          </w:tcPr>
          <w:p w14:paraId="4CA4C534" w14:textId="77777777" w:rsidR="000F6636" w:rsidRPr="00EF7B59" w:rsidRDefault="000F6636" w:rsidP="008D2AA5">
            <w:pPr>
              <w:rPr>
                <w:rFonts w:cs="Times New Roman"/>
                <w:b/>
                <w:bCs/>
                <w:sz w:val="18"/>
                <w:szCs w:val="18"/>
              </w:rPr>
            </w:pPr>
            <w:r w:rsidRPr="00EF7B59">
              <w:rPr>
                <w:rFonts w:cs="Times New Roman"/>
                <w:b/>
                <w:bCs/>
                <w:sz w:val="18"/>
                <w:szCs w:val="18"/>
              </w:rPr>
              <w:t>Systémové dôchodkové reformy</w:t>
            </w:r>
          </w:p>
        </w:tc>
        <w:tc>
          <w:tcPr>
            <w:tcW w:w="1826" w:type="dxa"/>
            <w:gridSpan w:val="8"/>
            <w:tcBorders>
              <w:top w:val="single" w:sz="4" w:space="0" w:color="auto"/>
              <w:left w:val="nil"/>
              <w:right w:val="nil"/>
            </w:tcBorders>
            <w:vAlign w:val="center"/>
          </w:tcPr>
          <w:p w14:paraId="682E3222" w14:textId="77777777" w:rsidR="000F6636" w:rsidRPr="00EF7B59" w:rsidRDefault="000F6636" w:rsidP="00484DB0">
            <w:pPr>
              <w:jc w:val="center"/>
              <w:rPr>
                <w:rFonts w:cs="Times New Roman"/>
                <w:b/>
                <w:bCs/>
                <w:sz w:val="18"/>
                <w:szCs w:val="18"/>
              </w:rPr>
            </w:pPr>
          </w:p>
        </w:tc>
        <w:tc>
          <w:tcPr>
            <w:tcW w:w="320" w:type="dxa"/>
            <w:gridSpan w:val="3"/>
            <w:tcBorders>
              <w:top w:val="single" w:sz="4" w:space="0" w:color="auto"/>
              <w:left w:val="nil"/>
              <w:right w:val="nil"/>
            </w:tcBorders>
          </w:tcPr>
          <w:p w14:paraId="4F462A47" w14:textId="77777777" w:rsidR="000F6636" w:rsidRPr="00EF7B59" w:rsidRDefault="000F6636" w:rsidP="00484DB0">
            <w:pPr>
              <w:jc w:val="center"/>
              <w:rPr>
                <w:rFonts w:cs="Times New Roman"/>
                <w:b/>
                <w:bCs/>
                <w:sz w:val="18"/>
                <w:szCs w:val="18"/>
              </w:rPr>
            </w:pPr>
          </w:p>
        </w:tc>
      </w:tr>
      <w:tr w:rsidR="000F6636" w:rsidRPr="0088520B" w14:paraId="7AF4BB16" w14:textId="77777777" w:rsidTr="008D2AA5">
        <w:trPr>
          <w:trHeight w:val="283"/>
        </w:trPr>
        <w:tc>
          <w:tcPr>
            <w:tcW w:w="5699" w:type="dxa"/>
            <w:gridSpan w:val="2"/>
            <w:tcBorders>
              <w:left w:val="nil"/>
              <w:bottom w:val="nil"/>
              <w:right w:val="nil"/>
            </w:tcBorders>
            <w:shd w:val="clear" w:color="000000" w:fill="FFFFFF"/>
            <w:noWrap/>
            <w:vAlign w:val="center"/>
            <w:hideMark/>
          </w:tcPr>
          <w:p w14:paraId="4FF59FCA" w14:textId="77777777" w:rsidR="000F6636" w:rsidRPr="00EF7B59" w:rsidRDefault="000F6636" w:rsidP="00484DB0">
            <w:pPr>
              <w:rPr>
                <w:rFonts w:cs="Times New Roman"/>
                <w:sz w:val="18"/>
                <w:szCs w:val="18"/>
              </w:rPr>
            </w:pPr>
            <w:r w:rsidRPr="00EF7B59">
              <w:rPr>
                <w:rFonts w:cs="Times New Roman"/>
                <w:sz w:val="18"/>
                <w:szCs w:val="18"/>
              </w:rPr>
              <w:t>Príspevky sociálneho zabezpečenia odvedené do dobrovoľnej súkromnej schémy</w:t>
            </w:r>
          </w:p>
        </w:tc>
        <w:tc>
          <w:tcPr>
            <w:tcW w:w="482" w:type="dxa"/>
            <w:tcBorders>
              <w:left w:val="nil"/>
              <w:bottom w:val="nil"/>
              <w:right w:val="nil"/>
            </w:tcBorders>
            <w:shd w:val="clear" w:color="auto" w:fill="auto"/>
            <w:vAlign w:val="center"/>
            <w:hideMark/>
          </w:tcPr>
          <w:p w14:paraId="1CFFF6AE" w14:textId="77777777" w:rsidR="000F6636" w:rsidRPr="00EF7B59" w:rsidRDefault="000F6636" w:rsidP="00484DB0">
            <w:pPr>
              <w:jc w:val="center"/>
              <w:rPr>
                <w:rFonts w:cs="Times New Roman"/>
                <w:sz w:val="18"/>
                <w:szCs w:val="18"/>
              </w:rPr>
            </w:pPr>
            <w:r w:rsidRPr="00EF7B59">
              <w:rPr>
                <w:color w:val="000000"/>
                <w:sz w:val="18"/>
                <w:szCs w:val="18"/>
              </w:rPr>
              <w:t>1,0</w:t>
            </w:r>
          </w:p>
        </w:tc>
        <w:tc>
          <w:tcPr>
            <w:tcW w:w="482" w:type="dxa"/>
            <w:gridSpan w:val="2"/>
            <w:tcBorders>
              <w:left w:val="nil"/>
              <w:bottom w:val="nil"/>
              <w:right w:val="nil"/>
            </w:tcBorders>
            <w:shd w:val="clear" w:color="auto" w:fill="auto"/>
            <w:vAlign w:val="center"/>
          </w:tcPr>
          <w:p w14:paraId="22A73313" w14:textId="77777777" w:rsidR="000F6636" w:rsidRPr="00EF7B59" w:rsidRDefault="000F6636" w:rsidP="00484DB0">
            <w:pPr>
              <w:jc w:val="center"/>
              <w:rPr>
                <w:rFonts w:cs="Times New Roman"/>
                <w:sz w:val="18"/>
                <w:szCs w:val="18"/>
              </w:rPr>
            </w:pPr>
            <w:r w:rsidRPr="00EF7B59">
              <w:rPr>
                <w:color w:val="000000"/>
                <w:sz w:val="18"/>
                <w:szCs w:val="18"/>
              </w:rPr>
              <w:t>1,2</w:t>
            </w:r>
          </w:p>
        </w:tc>
        <w:tc>
          <w:tcPr>
            <w:tcW w:w="482" w:type="dxa"/>
            <w:gridSpan w:val="2"/>
            <w:tcBorders>
              <w:left w:val="nil"/>
              <w:bottom w:val="nil"/>
              <w:right w:val="nil"/>
            </w:tcBorders>
            <w:shd w:val="clear" w:color="auto" w:fill="auto"/>
            <w:vAlign w:val="center"/>
          </w:tcPr>
          <w:p w14:paraId="035F2CC8" w14:textId="77777777" w:rsidR="000F6636" w:rsidRPr="00EF7B59" w:rsidRDefault="000F6636" w:rsidP="00484DB0">
            <w:pPr>
              <w:jc w:val="center"/>
              <w:rPr>
                <w:rFonts w:cs="Times New Roman"/>
                <w:sz w:val="18"/>
                <w:szCs w:val="18"/>
              </w:rPr>
            </w:pPr>
            <w:r w:rsidRPr="00EF7B59">
              <w:rPr>
                <w:color w:val="000000"/>
                <w:sz w:val="18"/>
                <w:szCs w:val="18"/>
              </w:rPr>
              <w:t>1,4</w:t>
            </w:r>
          </w:p>
        </w:tc>
        <w:tc>
          <w:tcPr>
            <w:tcW w:w="482" w:type="dxa"/>
            <w:gridSpan w:val="2"/>
            <w:tcBorders>
              <w:left w:val="nil"/>
              <w:bottom w:val="nil"/>
              <w:right w:val="nil"/>
            </w:tcBorders>
            <w:shd w:val="clear" w:color="auto" w:fill="auto"/>
            <w:vAlign w:val="center"/>
          </w:tcPr>
          <w:p w14:paraId="7545B611" w14:textId="77777777" w:rsidR="000F6636" w:rsidRPr="00EF7B59" w:rsidRDefault="000F6636" w:rsidP="00484DB0">
            <w:pPr>
              <w:jc w:val="center"/>
              <w:rPr>
                <w:rFonts w:cs="Times New Roman"/>
                <w:sz w:val="18"/>
                <w:szCs w:val="18"/>
              </w:rPr>
            </w:pPr>
            <w:r w:rsidRPr="00EF7B59">
              <w:rPr>
                <w:color w:val="000000"/>
                <w:sz w:val="18"/>
                <w:szCs w:val="18"/>
              </w:rPr>
              <w:t>1,6</w:t>
            </w:r>
          </w:p>
        </w:tc>
        <w:tc>
          <w:tcPr>
            <w:tcW w:w="548" w:type="dxa"/>
            <w:gridSpan w:val="3"/>
            <w:tcBorders>
              <w:left w:val="nil"/>
              <w:bottom w:val="nil"/>
              <w:right w:val="nil"/>
            </w:tcBorders>
            <w:shd w:val="clear" w:color="auto" w:fill="auto"/>
            <w:vAlign w:val="center"/>
          </w:tcPr>
          <w:p w14:paraId="0E6699F9" w14:textId="77777777" w:rsidR="000F6636" w:rsidRPr="00EF7B59" w:rsidRDefault="000F6636" w:rsidP="00484DB0">
            <w:pPr>
              <w:jc w:val="center"/>
              <w:rPr>
                <w:rFonts w:cs="Times New Roman"/>
                <w:sz w:val="18"/>
                <w:szCs w:val="18"/>
              </w:rPr>
            </w:pPr>
            <w:r w:rsidRPr="00EF7B59">
              <w:rPr>
                <w:color w:val="000000"/>
                <w:sz w:val="18"/>
                <w:szCs w:val="18"/>
              </w:rPr>
              <w:t>1,8</w:t>
            </w:r>
          </w:p>
        </w:tc>
        <w:tc>
          <w:tcPr>
            <w:tcW w:w="558" w:type="dxa"/>
            <w:gridSpan w:val="2"/>
            <w:tcBorders>
              <w:left w:val="nil"/>
              <w:bottom w:val="nil"/>
              <w:right w:val="nil"/>
            </w:tcBorders>
            <w:shd w:val="clear" w:color="auto" w:fill="auto"/>
            <w:vAlign w:val="center"/>
          </w:tcPr>
          <w:p w14:paraId="112D993C" w14:textId="77777777" w:rsidR="000F6636" w:rsidRPr="00EF7B59" w:rsidRDefault="000F6636" w:rsidP="00484DB0">
            <w:pPr>
              <w:jc w:val="center"/>
              <w:rPr>
                <w:rFonts w:cs="Times New Roman"/>
                <w:sz w:val="18"/>
                <w:szCs w:val="18"/>
              </w:rPr>
            </w:pPr>
            <w:r w:rsidRPr="00EF7B59">
              <w:rPr>
                <w:color w:val="000000"/>
                <w:sz w:val="18"/>
                <w:szCs w:val="18"/>
              </w:rPr>
              <w:t>1,9</w:t>
            </w:r>
          </w:p>
        </w:tc>
        <w:tc>
          <w:tcPr>
            <w:tcW w:w="320" w:type="dxa"/>
            <w:gridSpan w:val="3"/>
            <w:tcBorders>
              <w:left w:val="nil"/>
              <w:bottom w:val="nil"/>
              <w:right w:val="nil"/>
            </w:tcBorders>
          </w:tcPr>
          <w:p w14:paraId="1D5C59FB" w14:textId="77777777" w:rsidR="000F6636" w:rsidRPr="00EF7B59" w:rsidRDefault="000F6636" w:rsidP="00484DB0">
            <w:pPr>
              <w:jc w:val="center"/>
              <w:rPr>
                <w:sz w:val="18"/>
                <w:szCs w:val="18"/>
              </w:rPr>
            </w:pPr>
          </w:p>
        </w:tc>
      </w:tr>
      <w:tr w:rsidR="000F6636" w:rsidRPr="0088520B" w14:paraId="0781002B" w14:textId="77777777" w:rsidTr="008D2AA5">
        <w:trPr>
          <w:trHeight w:val="283"/>
        </w:trPr>
        <w:tc>
          <w:tcPr>
            <w:tcW w:w="5699" w:type="dxa"/>
            <w:gridSpan w:val="2"/>
            <w:tcBorders>
              <w:top w:val="nil"/>
              <w:left w:val="nil"/>
              <w:bottom w:val="single" w:sz="4" w:space="0" w:color="auto"/>
              <w:right w:val="nil"/>
            </w:tcBorders>
            <w:shd w:val="clear" w:color="000000" w:fill="FFFFFF"/>
            <w:noWrap/>
            <w:vAlign w:val="center"/>
            <w:hideMark/>
          </w:tcPr>
          <w:p w14:paraId="19BA3115" w14:textId="77777777" w:rsidR="000F6636" w:rsidRPr="00EF7B59" w:rsidRDefault="000F6636" w:rsidP="00484DB0">
            <w:pPr>
              <w:rPr>
                <w:rFonts w:cs="Times New Roman"/>
                <w:sz w:val="18"/>
                <w:szCs w:val="18"/>
              </w:rPr>
            </w:pPr>
            <w:r w:rsidRPr="00EF7B59">
              <w:rPr>
                <w:rFonts w:cs="Times New Roman"/>
                <w:sz w:val="18"/>
                <w:szCs w:val="18"/>
              </w:rPr>
              <w:t>Výdavky na dôchodky vyplatené prostredníctvom dobrovoľnej súkromnej schémy</w:t>
            </w:r>
          </w:p>
        </w:tc>
        <w:tc>
          <w:tcPr>
            <w:tcW w:w="482" w:type="dxa"/>
            <w:tcBorders>
              <w:top w:val="nil"/>
              <w:left w:val="nil"/>
              <w:bottom w:val="single" w:sz="4" w:space="0" w:color="auto"/>
              <w:right w:val="nil"/>
            </w:tcBorders>
            <w:shd w:val="clear" w:color="auto" w:fill="auto"/>
            <w:vAlign w:val="center"/>
            <w:hideMark/>
          </w:tcPr>
          <w:p w14:paraId="16F9B04C" w14:textId="77777777" w:rsidR="000F6636" w:rsidRPr="00EF7B59" w:rsidRDefault="000F6636" w:rsidP="00484DB0">
            <w:pPr>
              <w:jc w:val="center"/>
              <w:rPr>
                <w:rFonts w:cs="Times New Roman"/>
                <w:sz w:val="18"/>
                <w:szCs w:val="18"/>
              </w:rPr>
            </w:pPr>
            <w:r w:rsidRPr="00EF7B59">
              <w:rPr>
                <w:color w:val="000000"/>
                <w:sz w:val="18"/>
                <w:szCs w:val="18"/>
              </w:rPr>
              <w:t>-</w:t>
            </w:r>
          </w:p>
        </w:tc>
        <w:tc>
          <w:tcPr>
            <w:tcW w:w="482" w:type="dxa"/>
            <w:gridSpan w:val="2"/>
            <w:tcBorders>
              <w:top w:val="nil"/>
              <w:left w:val="nil"/>
              <w:bottom w:val="single" w:sz="4" w:space="0" w:color="auto"/>
              <w:right w:val="nil"/>
            </w:tcBorders>
            <w:shd w:val="clear" w:color="auto" w:fill="auto"/>
            <w:vAlign w:val="center"/>
          </w:tcPr>
          <w:p w14:paraId="03ED19E5" w14:textId="77777777" w:rsidR="000F6636" w:rsidRPr="00EF7B59" w:rsidRDefault="000F6636" w:rsidP="00484DB0">
            <w:pPr>
              <w:jc w:val="center"/>
              <w:rPr>
                <w:rFonts w:cs="Times New Roman"/>
                <w:sz w:val="18"/>
                <w:szCs w:val="18"/>
              </w:rPr>
            </w:pPr>
            <w:r w:rsidRPr="00EF7B59">
              <w:rPr>
                <w:color w:val="000000"/>
                <w:sz w:val="18"/>
                <w:szCs w:val="18"/>
              </w:rPr>
              <w:t>-</w:t>
            </w:r>
          </w:p>
        </w:tc>
        <w:tc>
          <w:tcPr>
            <w:tcW w:w="482" w:type="dxa"/>
            <w:gridSpan w:val="2"/>
            <w:tcBorders>
              <w:top w:val="nil"/>
              <w:left w:val="nil"/>
              <w:bottom w:val="single" w:sz="4" w:space="0" w:color="auto"/>
              <w:right w:val="nil"/>
            </w:tcBorders>
            <w:shd w:val="clear" w:color="auto" w:fill="auto"/>
            <w:vAlign w:val="center"/>
          </w:tcPr>
          <w:p w14:paraId="3A072834" w14:textId="77777777" w:rsidR="000F6636" w:rsidRPr="00EF7B59" w:rsidRDefault="000F6636" w:rsidP="00484DB0">
            <w:pPr>
              <w:jc w:val="center"/>
              <w:rPr>
                <w:rFonts w:cs="Times New Roman"/>
                <w:sz w:val="18"/>
                <w:szCs w:val="18"/>
              </w:rPr>
            </w:pPr>
            <w:r w:rsidRPr="00EF7B59">
              <w:rPr>
                <w:color w:val="000000"/>
                <w:sz w:val="18"/>
                <w:szCs w:val="18"/>
              </w:rPr>
              <w:t>-</w:t>
            </w:r>
          </w:p>
        </w:tc>
        <w:tc>
          <w:tcPr>
            <w:tcW w:w="482" w:type="dxa"/>
            <w:gridSpan w:val="2"/>
            <w:tcBorders>
              <w:top w:val="nil"/>
              <w:left w:val="nil"/>
              <w:bottom w:val="single" w:sz="4" w:space="0" w:color="auto"/>
              <w:right w:val="nil"/>
            </w:tcBorders>
            <w:shd w:val="clear" w:color="auto" w:fill="auto"/>
            <w:vAlign w:val="center"/>
          </w:tcPr>
          <w:p w14:paraId="3F9E2DB4" w14:textId="77777777" w:rsidR="000F6636" w:rsidRPr="00EF7B59" w:rsidRDefault="000F6636" w:rsidP="00484DB0">
            <w:pPr>
              <w:jc w:val="center"/>
              <w:rPr>
                <w:rFonts w:cs="Times New Roman"/>
                <w:sz w:val="18"/>
                <w:szCs w:val="18"/>
              </w:rPr>
            </w:pPr>
            <w:r w:rsidRPr="00EF7B59">
              <w:rPr>
                <w:color w:val="000000"/>
                <w:sz w:val="18"/>
                <w:szCs w:val="18"/>
              </w:rPr>
              <w:t>-</w:t>
            </w:r>
          </w:p>
        </w:tc>
        <w:tc>
          <w:tcPr>
            <w:tcW w:w="548" w:type="dxa"/>
            <w:gridSpan w:val="3"/>
            <w:tcBorders>
              <w:top w:val="nil"/>
              <w:left w:val="nil"/>
              <w:bottom w:val="single" w:sz="4" w:space="0" w:color="auto"/>
              <w:right w:val="nil"/>
            </w:tcBorders>
            <w:shd w:val="clear" w:color="auto" w:fill="auto"/>
            <w:vAlign w:val="center"/>
          </w:tcPr>
          <w:p w14:paraId="324C31ED" w14:textId="77777777" w:rsidR="000F6636" w:rsidRPr="00EF7B59" w:rsidRDefault="000F6636" w:rsidP="00484DB0">
            <w:pPr>
              <w:jc w:val="center"/>
              <w:rPr>
                <w:rFonts w:cs="Times New Roman"/>
                <w:sz w:val="18"/>
                <w:szCs w:val="18"/>
              </w:rPr>
            </w:pPr>
            <w:r w:rsidRPr="00EF7B59">
              <w:rPr>
                <w:color w:val="000000"/>
                <w:sz w:val="18"/>
                <w:szCs w:val="18"/>
              </w:rPr>
              <w:t>-</w:t>
            </w:r>
          </w:p>
        </w:tc>
        <w:tc>
          <w:tcPr>
            <w:tcW w:w="558" w:type="dxa"/>
            <w:gridSpan w:val="2"/>
            <w:tcBorders>
              <w:top w:val="nil"/>
              <w:left w:val="nil"/>
              <w:bottom w:val="single" w:sz="4" w:space="0" w:color="auto"/>
              <w:right w:val="nil"/>
            </w:tcBorders>
            <w:shd w:val="clear" w:color="auto" w:fill="auto"/>
            <w:vAlign w:val="center"/>
          </w:tcPr>
          <w:p w14:paraId="30241B47" w14:textId="77777777" w:rsidR="000F6636" w:rsidRPr="00EF7B59" w:rsidRDefault="000F6636" w:rsidP="00484DB0">
            <w:pPr>
              <w:jc w:val="center"/>
              <w:rPr>
                <w:rFonts w:cs="Times New Roman"/>
                <w:sz w:val="18"/>
                <w:szCs w:val="18"/>
              </w:rPr>
            </w:pPr>
            <w:r w:rsidRPr="00EF7B59">
              <w:rPr>
                <w:color w:val="000000"/>
                <w:sz w:val="18"/>
                <w:szCs w:val="18"/>
              </w:rPr>
              <w:t>-</w:t>
            </w:r>
          </w:p>
        </w:tc>
        <w:tc>
          <w:tcPr>
            <w:tcW w:w="320" w:type="dxa"/>
            <w:gridSpan w:val="3"/>
            <w:tcBorders>
              <w:top w:val="nil"/>
              <w:left w:val="nil"/>
              <w:bottom w:val="single" w:sz="4" w:space="0" w:color="auto"/>
              <w:right w:val="nil"/>
            </w:tcBorders>
          </w:tcPr>
          <w:p w14:paraId="743745E3" w14:textId="77777777" w:rsidR="000F6636" w:rsidRPr="00EF7B59" w:rsidRDefault="000F6636" w:rsidP="00484DB0">
            <w:pPr>
              <w:jc w:val="center"/>
              <w:rPr>
                <w:rFonts w:cs="Times New Roman"/>
                <w:sz w:val="18"/>
                <w:szCs w:val="18"/>
              </w:rPr>
            </w:pPr>
          </w:p>
        </w:tc>
      </w:tr>
      <w:tr w:rsidR="000F6636" w:rsidRPr="0088520B" w14:paraId="55031924" w14:textId="77777777" w:rsidTr="008D2AA5">
        <w:trPr>
          <w:trHeight w:val="283"/>
        </w:trPr>
        <w:tc>
          <w:tcPr>
            <w:tcW w:w="6907" w:type="dxa"/>
            <w:gridSpan w:val="6"/>
            <w:tcBorders>
              <w:top w:val="single" w:sz="4" w:space="0" w:color="auto"/>
              <w:left w:val="nil"/>
              <w:right w:val="nil"/>
            </w:tcBorders>
            <w:shd w:val="clear" w:color="auto" w:fill="auto"/>
            <w:vAlign w:val="center"/>
            <w:hideMark/>
          </w:tcPr>
          <w:p w14:paraId="7AF017E8" w14:textId="77777777" w:rsidR="000F6636" w:rsidRPr="00EF7B59" w:rsidRDefault="000F6636" w:rsidP="008D2AA5">
            <w:pPr>
              <w:rPr>
                <w:rFonts w:cs="Times New Roman"/>
                <w:b/>
                <w:bCs/>
                <w:sz w:val="18"/>
                <w:szCs w:val="18"/>
              </w:rPr>
            </w:pPr>
            <w:r w:rsidRPr="00EF7B59">
              <w:rPr>
                <w:rFonts w:cs="Times New Roman"/>
                <w:b/>
                <w:bCs/>
                <w:sz w:val="18"/>
                <w:szCs w:val="18"/>
              </w:rPr>
              <w:t>Predpoklady</w:t>
            </w:r>
          </w:p>
        </w:tc>
        <w:tc>
          <w:tcPr>
            <w:tcW w:w="1826" w:type="dxa"/>
            <w:gridSpan w:val="8"/>
            <w:tcBorders>
              <w:top w:val="single" w:sz="4" w:space="0" w:color="auto"/>
              <w:left w:val="nil"/>
              <w:right w:val="nil"/>
            </w:tcBorders>
            <w:vAlign w:val="center"/>
          </w:tcPr>
          <w:p w14:paraId="67D21883" w14:textId="77777777" w:rsidR="000F6636" w:rsidRPr="00EF7B59" w:rsidRDefault="000F6636" w:rsidP="00484DB0">
            <w:pPr>
              <w:jc w:val="center"/>
              <w:rPr>
                <w:rFonts w:cs="Times New Roman"/>
                <w:b/>
                <w:bCs/>
                <w:sz w:val="18"/>
                <w:szCs w:val="18"/>
              </w:rPr>
            </w:pPr>
          </w:p>
        </w:tc>
        <w:tc>
          <w:tcPr>
            <w:tcW w:w="320" w:type="dxa"/>
            <w:gridSpan w:val="3"/>
            <w:tcBorders>
              <w:top w:val="single" w:sz="4" w:space="0" w:color="auto"/>
              <w:left w:val="nil"/>
              <w:right w:val="nil"/>
            </w:tcBorders>
          </w:tcPr>
          <w:p w14:paraId="020355E6" w14:textId="77777777" w:rsidR="000F6636" w:rsidRPr="00EF7B59" w:rsidRDefault="000F6636" w:rsidP="00484DB0">
            <w:pPr>
              <w:jc w:val="center"/>
              <w:rPr>
                <w:rFonts w:cs="Times New Roman"/>
                <w:b/>
                <w:bCs/>
                <w:sz w:val="18"/>
                <w:szCs w:val="18"/>
              </w:rPr>
            </w:pPr>
          </w:p>
        </w:tc>
      </w:tr>
      <w:tr w:rsidR="000F6636" w:rsidRPr="0088520B" w14:paraId="617B8A10" w14:textId="77777777" w:rsidTr="008D2AA5">
        <w:trPr>
          <w:trHeight w:val="283"/>
        </w:trPr>
        <w:tc>
          <w:tcPr>
            <w:tcW w:w="5699" w:type="dxa"/>
            <w:gridSpan w:val="2"/>
            <w:tcBorders>
              <w:left w:val="nil"/>
              <w:bottom w:val="nil"/>
              <w:right w:val="nil"/>
            </w:tcBorders>
            <w:shd w:val="clear" w:color="000000" w:fill="FFFFFF"/>
            <w:vAlign w:val="center"/>
            <w:hideMark/>
          </w:tcPr>
          <w:p w14:paraId="72E869F2" w14:textId="77777777" w:rsidR="000F6636" w:rsidRPr="00EF7B59" w:rsidRDefault="000F6636" w:rsidP="00484DB0">
            <w:pPr>
              <w:rPr>
                <w:rFonts w:cs="Times New Roman"/>
                <w:sz w:val="18"/>
                <w:szCs w:val="18"/>
              </w:rPr>
            </w:pPr>
            <w:r w:rsidRPr="00EF7B59">
              <w:rPr>
                <w:rFonts w:cs="Times New Roman"/>
                <w:sz w:val="18"/>
                <w:szCs w:val="18"/>
              </w:rPr>
              <w:t>Rast produktivity práce</w:t>
            </w:r>
          </w:p>
        </w:tc>
        <w:tc>
          <w:tcPr>
            <w:tcW w:w="482" w:type="dxa"/>
            <w:tcBorders>
              <w:left w:val="nil"/>
              <w:bottom w:val="nil"/>
              <w:right w:val="nil"/>
            </w:tcBorders>
            <w:shd w:val="clear" w:color="auto" w:fill="auto"/>
            <w:vAlign w:val="center"/>
            <w:hideMark/>
          </w:tcPr>
          <w:p w14:paraId="59356106" w14:textId="77777777" w:rsidR="000F6636" w:rsidRPr="00EF7B59" w:rsidRDefault="000F6636" w:rsidP="00484DB0">
            <w:pPr>
              <w:jc w:val="center"/>
              <w:rPr>
                <w:rFonts w:cs="Times New Roman"/>
                <w:sz w:val="18"/>
                <w:szCs w:val="18"/>
              </w:rPr>
            </w:pPr>
            <w:r w:rsidRPr="00EF7B59">
              <w:rPr>
                <w:color w:val="000000"/>
                <w:sz w:val="18"/>
                <w:szCs w:val="18"/>
              </w:rPr>
              <w:t>2,1</w:t>
            </w:r>
          </w:p>
        </w:tc>
        <w:tc>
          <w:tcPr>
            <w:tcW w:w="482" w:type="dxa"/>
            <w:gridSpan w:val="2"/>
            <w:tcBorders>
              <w:left w:val="nil"/>
              <w:bottom w:val="nil"/>
              <w:right w:val="nil"/>
            </w:tcBorders>
            <w:shd w:val="clear" w:color="auto" w:fill="auto"/>
            <w:vAlign w:val="center"/>
          </w:tcPr>
          <w:p w14:paraId="6FD8039C" w14:textId="77777777" w:rsidR="000F6636" w:rsidRPr="00EF7B59" w:rsidRDefault="000F6636" w:rsidP="00484DB0">
            <w:pPr>
              <w:jc w:val="center"/>
              <w:rPr>
                <w:rFonts w:cs="Times New Roman"/>
                <w:sz w:val="18"/>
                <w:szCs w:val="18"/>
              </w:rPr>
            </w:pPr>
            <w:r w:rsidRPr="00EF7B59">
              <w:rPr>
                <w:color w:val="000000"/>
                <w:sz w:val="18"/>
                <w:szCs w:val="18"/>
              </w:rPr>
              <w:t>2,5</w:t>
            </w:r>
          </w:p>
        </w:tc>
        <w:tc>
          <w:tcPr>
            <w:tcW w:w="482" w:type="dxa"/>
            <w:gridSpan w:val="2"/>
            <w:tcBorders>
              <w:left w:val="nil"/>
              <w:bottom w:val="nil"/>
              <w:right w:val="nil"/>
            </w:tcBorders>
            <w:shd w:val="clear" w:color="auto" w:fill="auto"/>
            <w:vAlign w:val="center"/>
          </w:tcPr>
          <w:p w14:paraId="4D0F6F1B" w14:textId="77777777" w:rsidR="000F6636" w:rsidRPr="00EF7B59" w:rsidRDefault="000F6636" w:rsidP="00484DB0">
            <w:pPr>
              <w:jc w:val="center"/>
              <w:rPr>
                <w:rFonts w:cs="Times New Roman"/>
                <w:sz w:val="18"/>
                <w:szCs w:val="18"/>
              </w:rPr>
            </w:pPr>
            <w:r w:rsidRPr="00EF7B59">
              <w:rPr>
                <w:color w:val="000000"/>
                <w:sz w:val="18"/>
                <w:szCs w:val="18"/>
              </w:rPr>
              <w:t>2,2</w:t>
            </w:r>
          </w:p>
        </w:tc>
        <w:tc>
          <w:tcPr>
            <w:tcW w:w="482" w:type="dxa"/>
            <w:gridSpan w:val="2"/>
            <w:tcBorders>
              <w:left w:val="nil"/>
              <w:bottom w:val="nil"/>
              <w:right w:val="nil"/>
            </w:tcBorders>
            <w:shd w:val="clear" w:color="auto" w:fill="auto"/>
            <w:vAlign w:val="center"/>
          </w:tcPr>
          <w:p w14:paraId="64264D53" w14:textId="77777777" w:rsidR="000F6636" w:rsidRPr="00EF7B59" w:rsidRDefault="000F6636" w:rsidP="00484DB0">
            <w:pPr>
              <w:jc w:val="center"/>
              <w:rPr>
                <w:rFonts w:cs="Times New Roman"/>
                <w:sz w:val="18"/>
                <w:szCs w:val="18"/>
              </w:rPr>
            </w:pPr>
            <w:r w:rsidRPr="00EF7B59">
              <w:rPr>
                <w:color w:val="000000"/>
                <w:sz w:val="18"/>
                <w:szCs w:val="18"/>
              </w:rPr>
              <w:t>2,0</w:t>
            </w:r>
          </w:p>
        </w:tc>
        <w:tc>
          <w:tcPr>
            <w:tcW w:w="548" w:type="dxa"/>
            <w:gridSpan w:val="3"/>
            <w:tcBorders>
              <w:left w:val="nil"/>
              <w:bottom w:val="nil"/>
              <w:right w:val="nil"/>
            </w:tcBorders>
            <w:shd w:val="clear" w:color="auto" w:fill="auto"/>
            <w:vAlign w:val="center"/>
          </w:tcPr>
          <w:p w14:paraId="2C716649" w14:textId="77777777" w:rsidR="000F6636" w:rsidRPr="00EF7B59" w:rsidRDefault="000F6636" w:rsidP="00484DB0">
            <w:pPr>
              <w:jc w:val="center"/>
              <w:rPr>
                <w:rFonts w:cs="Times New Roman"/>
                <w:sz w:val="18"/>
                <w:szCs w:val="18"/>
              </w:rPr>
            </w:pPr>
            <w:r w:rsidRPr="00EF7B59">
              <w:rPr>
                <w:color w:val="000000"/>
                <w:sz w:val="18"/>
                <w:szCs w:val="18"/>
              </w:rPr>
              <w:t>1,6</w:t>
            </w:r>
          </w:p>
        </w:tc>
        <w:tc>
          <w:tcPr>
            <w:tcW w:w="558" w:type="dxa"/>
            <w:gridSpan w:val="2"/>
            <w:tcBorders>
              <w:left w:val="nil"/>
              <w:bottom w:val="nil"/>
              <w:right w:val="nil"/>
            </w:tcBorders>
            <w:shd w:val="clear" w:color="auto" w:fill="auto"/>
            <w:vAlign w:val="center"/>
          </w:tcPr>
          <w:p w14:paraId="156DBF09" w14:textId="77777777" w:rsidR="000F6636" w:rsidRPr="00EF7B59" w:rsidRDefault="000F6636" w:rsidP="00484DB0">
            <w:pPr>
              <w:jc w:val="center"/>
              <w:rPr>
                <w:rFonts w:cs="Times New Roman"/>
                <w:sz w:val="18"/>
                <w:szCs w:val="18"/>
              </w:rPr>
            </w:pPr>
            <w:r w:rsidRPr="00EF7B59">
              <w:rPr>
                <w:color w:val="000000"/>
                <w:sz w:val="18"/>
                <w:szCs w:val="18"/>
              </w:rPr>
              <w:t>1,2</w:t>
            </w:r>
          </w:p>
        </w:tc>
        <w:tc>
          <w:tcPr>
            <w:tcW w:w="320" w:type="dxa"/>
            <w:gridSpan w:val="3"/>
            <w:tcBorders>
              <w:left w:val="nil"/>
              <w:bottom w:val="nil"/>
              <w:right w:val="nil"/>
            </w:tcBorders>
          </w:tcPr>
          <w:p w14:paraId="2E467ECF" w14:textId="77777777" w:rsidR="000F6636" w:rsidRPr="00EF7B59" w:rsidRDefault="000F6636" w:rsidP="00484DB0">
            <w:pPr>
              <w:jc w:val="center"/>
              <w:rPr>
                <w:sz w:val="18"/>
                <w:szCs w:val="18"/>
              </w:rPr>
            </w:pPr>
          </w:p>
        </w:tc>
      </w:tr>
      <w:tr w:rsidR="000F6636" w:rsidRPr="0088520B" w14:paraId="5D524F69" w14:textId="77777777" w:rsidTr="00484DB0">
        <w:trPr>
          <w:trHeight w:val="283"/>
        </w:trPr>
        <w:tc>
          <w:tcPr>
            <w:tcW w:w="5699" w:type="dxa"/>
            <w:gridSpan w:val="2"/>
            <w:tcBorders>
              <w:top w:val="nil"/>
              <w:left w:val="nil"/>
              <w:bottom w:val="nil"/>
              <w:right w:val="nil"/>
            </w:tcBorders>
            <w:shd w:val="clear" w:color="000000" w:fill="FFFFFF"/>
            <w:vAlign w:val="center"/>
            <w:hideMark/>
          </w:tcPr>
          <w:p w14:paraId="5B6C70DC" w14:textId="77777777" w:rsidR="000F6636" w:rsidRPr="00EF7B59" w:rsidRDefault="000F6636" w:rsidP="00484DB0">
            <w:pPr>
              <w:rPr>
                <w:rFonts w:cs="Times New Roman"/>
                <w:sz w:val="18"/>
                <w:szCs w:val="18"/>
              </w:rPr>
            </w:pPr>
            <w:r w:rsidRPr="00EF7B59">
              <w:rPr>
                <w:rFonts w:cs="Times New Roman"/>
                <w:sz w:val="18"/>
                <w:szCs w:val="18"/>
              </w:rPr>
              <w:t>Reálny rast HDP</w:t>
            </w:r>
          </w:p>
        </w:tc>
        <w:tc>
          <w:tcPr>
            <w:tcW w:w="482" w:type="dxa"/>
            <w:tcBorders>
              <w:top w:val="nil"/>
              <w:left w:val="nil"/>
              <w:bottom w:val="nil"/>
              <w:right w:val="nil"/>
            </w:tcBorders>
            <w:shd w:val="clear" w:color="auto" w:fill="auto"/>
            <w:vAlign w:val="center"/>
            <w:hideMark/>
          </w:tcPr>
          <w:p w14:paraId="6A329B16" w14:textId="77777777" w:rsidR="000F6636" w:rsidRPr="00EF7B59" w:rsidRDefault="000F6636" w:rsidP="00484DB0">
            <w:pPr>
              <w:jc w:val="center"/>
              <w:rPr>
                <w:rFonts w:cs="Times New Roman"/>
                <w:sz w:val="18"/>
                <w:szCs w:val="18"/>
              </w:rPr>
            </w:pPr>
            <w:r w:rsidRPr="00EF7B59">
              <w:rPr>
                <w:color w:val="000000"/>
                <w:sz w:val="18"/>
                <w:szCs w:val="18"/>
              </w:rPr>
              <w:t>2,1</w:t>
            </w:r>
          </w:p>
        </w:tc>
        <w:tc>
          <w:tcPr>
            <w:tcW w:w="482" w:type="dxa"/>
            <w:gridSpan w:val="2"/>
            <w:tcBorders>
              <w:top w:val="nil"/>
              <w:left w:val="nil"/>
              <w:bottom w:val="nil"/>
              <w:right w:val="nil"/>
            </w:tcBorders>
            <w:shd w:val="clear" w:color="auto" w:fill="auto"/>
            <w:vAlign w:val="center"/>
          </w:tcPr>
          <w:p w14:paraId="32747BCD" w14:textId="77777777" w:rsidR="000F6636" w:rsidRPr="00EF7B59" w:rsidRDefault="000F6636" w:rsidP="00484DB0">
            <w:pPr>
              <w:jc w:val="center"/>
              <w:rPr>
                <w:rFonts w:cs="Times New Roman"/>
                <w:sz w:val="18"/>
                <w:szCs w:val="18"/>
              </w:rPr>
            </w:pPr>
            <w:r w:rsidRPr="00EF7B59">
              <w:rPr>
                <w:color w:val="000000"/>
                <w:sz w:val="18"/>
                <w:szCs w:val="18"/>
              </w:rPr>
              <w:t>1,6</w:t>
            </w:r>
          </w:p>
        </w:tc>
        <w:tc>
          <w:tcPr>
            <w:tcW w:w="482" w:type="dxa"/>
            <w:gridSpan w:val="2"/>
            <w:tcBorders>
              <w:top w:val="nil"/>
              <w:left w:val="nil"/>
              <w:bottom w:val="nil"/>
              <w:right w:val="nil"/>
            </w:tcBorders>
            <w:shd w:val="clear" w:color="auto" w:fill="auto"/>
            <w:vAlign w:val="center"/>
          </w:tcPr>
          <w:p w14:paraId="39BE3506" w14:textId="77777777" w:rsidR="000F6636" w:rsidRPr="00EF7B59" w:rsidRDefault="000F6636" w:rsidP="00484DB0">
            <w:pPr>
              <w:jc w:val="center"/>
              <w:rPr>
                <w:rFonts w:cs="Times New Roman"/>
                <w:sz w:val="18"/>
                <w:szCs w:val="18"/>
              </w:rPr>
            </w:pPr>
            <w:r w:rsidRPr="00EF7B59">
              <w:rPr>
                <w:color w:val="000000"/>
                <w:sz w:val="18"/>
                <w:szCs w:val="18"/>
              </w:rPr>
              <w:t>1,5</w:t>
            </w:r>
          </w:p>
        </w:tc>
        <w:tc>
          <w:tcPr>
            <w:tcW w:w="482" w:type="dxa"/>
            <w:gridSpan w:val="2"/>
            <w:tcBorders>
              <w:top w:val="nil"/>
              <w:left w:val="nil"/>
              <w:bottom w:val="nil"/>
              <w:right w:val="nil"/>
            </w:tcBorders>
            <w:shd w:val="clear" w:color="auto" w:fill="auto"/>
            <w:vAlign w:val="center"/>
          </w:tcPr>
          <w:p w14:paraId="510500F1" w14:textId="77777777" w:rsidR="000F6636" w:rsidRPr="00EF7B59" w:rsidRDefault="000F6636" w:rsidP="00484DB0">
            <w:pPr>
              <w:jc w:val="center"/>
              <w:rPr>
                <w:rFonts w:cs="Times New Roman"/>
                <w:sz w:val="18"/>
                <w:szCs w:val="18"/>
              </w:rPr>
            </w:pPr>
            <w:r w:rsidRPr="00EF7B59">
              <w:rPr>
                <w:color w:val="000000"/>
                <w:sz w:val="18"/>
                <w:szCs w:val="18"/>
              </w:rPr>
              <w:t>1,3</w:t>
            </w:r>
          </w:p>
        </w:tc>
        <w:tc>
          <w:tcPr>
            <w:tcW w:w="548" w:type="dxa"/>
            <w:gridSpan w:val="3"/>
            <w:tcBorders>
              <w:top w:val="nil"/>
              <w:left w:val="nil"/>
              <w:bottom w:val="nil"/>
              <w:right w:val="nil"/>
            </w:tcBorders>
            <w:shd w:val="clear" w:color="auto" w:fill="auto"/>
            <w:vAlign w:val="center"/>
          </w:tcPr>
          <w:p w14:paraId="48020E9E" w14:textId="77777777" w:rsidR="000F6636" w:rsidRPr="00EF7B59" w:rsidRDefault="000F6636" w:rsidP="00484DB0">
            <w:pPr>
              <w:jc w:val="center"/>
              <w:rPr>
                <w:rFonts w:cs="Times New Roman"/>
                <w:sz w:val="18"/>
                <w:szCs w:val="18"/>
              </w:rPr>
            </w:pPr>
            <w:r w:rsidRPr="00EF7B59">
              <w:rPr>
                <w:color w:val="000000"/>
                <w:sz w:val="18"/>
                <w:szCs w:val="18"/>
              </w:rPr>
              <w:t>1,2</w:t>
            </w:r>
          </w:p>
        </w:tc>
        <w:tc>
          <w:tcPr>
            <w:tcW w:w="558" w:type="dxa"/>
            <w:gridSpan w:val="2"/>
            <w:tcBorders>
              <w:top w:val="nil"/>
              <w:left w:val="nil"/>
              <w:bottom w:val="nil"/>
              <w:right w:val="nil"/>
            </w:tcBorders>
            <w:shd w:val="clear" w:color="auto" w:fill="auto"/>
            <w:vAlign w:val="center"/>
          </w:tcPr>
          <w:p w14:paraId="11F7A0E9" w14:textId="77777777" w:rsidR="000F6636" w:rsidRPr="00EF7B59" w:rsidRDefault="000F6636" w:rsidP="00484DB0">
            <w:pPr>
              <w:jc w:val="center"/>
              <w:rPr>
                <w:rFonts w:cs="Times New Roman"/>
                <w:sz w:val="18"/>
                <w:szCs w:val="18"/>
              </w:rPr>
            </w:pPr>
            <w:r w:rsidRPr="00EF7B59">
              <w:rPr>
                <w:color w:val="000000"/>
                <w:sz w:val="18"/>
                <w:szCs w:val="18"/>
              </w:rPr>
              <w:t>1,3</w:t>
            </w:r>
          </w:p>
        </w:tc>
        <w:tc>
          <w:tcPr>
            <w:tcW w:w="320" w:type="dxa"/>
            <w:gridSpan w:val="3"/>
            <w:tcBorders>
              <w:top w:val="nil"/>
              <w:left w:val="nil"/>
              <w:bottom w:val="nil"/>
              <w:right w:val="nil"/>
            </w:tcBorders>
          </w:tcPr>
          <w:p w14:paraId="63E4D87E" w14:textId="77777777" w:rsidR="000F6636" w:rsidRPr="00EF7B59" w:rsidRDefault="000F6636" w:rsidP="00484DB0">
            <w:pPr>
              <w:jc w:val="center"/>
              <w:rPr>
                <w:sz w:val="18"/>
                <w:szCs w:val="18"/>
              </w:rPr>
            </w:pPr>
          </w:p>
        </w:tc>
      </w:tr>
      <w:tr w:rsidR="000F6636" w:rsidRPr="0088520B" w14:paraId="5981CECE" w14:textId="77777777" w:rsidTr="00484DB0">
        <w:trPr>
          <w:trHeight w:val="283"/>
        </w:trPr>
        <w:tc>
          <w:tcPr>
            <w:tcW w:w="5699" w:type="dxa"/>
            <w:gridSpan w:val="2"/>
            <w:tcBorders>
              <w:top w:val="nil"/>
              <w:left w:val="nil"/>
              <w:bottom w:val="nil"/>
              <w:right w:val="nil"/>
            </w:tcBorders>
            <w:shd w:val="clear" w:color="000000" w:fill="FFFFFF"/>
            <w:vAlign w:val="center"/>
            <w:hideMark/>
          </w:tcPr>
          <w:p w14:paraId="39BD4FBA" w14:textId="5FC871A9" w:rsidR="000F6636" w:rsidRPr="00EF7B59" w:rsidRDefault="000F6636" w:rsidP="00484DB0">
            <w:pPr>
              <w:rPr>
                <w:rFonts w:cs="Times New Roman"/>
                <w:sz w:val="18"/>
                <w:szCs w:val="18"/>
              </w:rPr>
            </w:pPr>
            <w:r w:rsidRPr="00EF7B59">
              <w:rPr>
                <w:rFonts w:cs="Times New Roman"/>
                <w:sz w:val="18"/>
                <w:szCs w:val="18"/>
              </w:rPr>
              <w:t xml:space="preserve">Miera participácie mužov (vek </w:t>
            </w:r>
            <w:r w:rsidR="008D2AA5">
              <w:rPr>
                <w:rFonts w:cs="Times New Roman"/>
                <w:sz w:val="18"/>
                <w:szCs w:val="18"/>
              </w:rPr>
              <w:t>20</w:t>
            </w:r>
            <w:r w:rsidRPr="00EF7B59">
              <w:rPr>
                <w:rFonts w:cs="Times New Roman"/>
                <w:sz w:val="18"/>
                <w:szCs w:val="18"/>
              </w:rPr>
              <w:t>-64)</w:t>
            </w:r>
          </w:p>
        </w:tc>
        <w:tc>
          <w:tcPr>
            <w:tcW w:w="482" w:type="dxa"/>
            <w:tcBorders>
              <w:top w:val="nil"/>
              <w:left w:val="nil"/>
              <w:bottom w:val="nil"/>
              <w:right w:val="nil"/>
            </w:tcBorders>
            <w:shd w:val="clear" w:color="auto" w:fill="auto"/>
            <w:vAlign w:val="center"/>
            <w:hideMark/>
          </w:tcPr>
          <w:p w14:paraId="2EA87195" w14:textId="77777777" w:rsidR="000F6636" w:rsidRPr="00EF7B59" w:rsidRDefault="000F6636" w:rsidP="00484DB0">
            <w:pPr>
              <w:jc w:val="center"/>
              <w:rPr>
                <w:rFonts w:cs="Times New Roman"/>
                <w:sz w:val="18"/>
                <w:szCs w:val="18"/>
              </w:rPr>
            </w:pPr>
            <w:r w:rsidRPr="00EF7B59">
              <w:rPr>
                <w:color w:val="000000"/>
                <w:sz w:val="18"/>
                <w:szCs w:val="18"/>
              </w:rPr>
              <w:t>85,7</w:t>
            </w:r>
          </w:p>
        </w:tc>
        <w:tc>
          <w:tcPr>
            <w:tcW w:w="482" w:type="dxa"/>
            <w:gridSpan w:val="2"/>
            <w:tcBorders>
              <w:top w:val="nil"/>
              <w:left w:val="nil"/>
              <w:bottom w:val="nil"/>
              <w:right w:val="nil"/>
            </w:tcBorders>
            <w:shd w:val="clear" w:color="auto" w:fill="auto"/>
            <w:vAlign w:val="center"/>
          </w:tcPr>
          <w:p w14:paraId="0F1A20E5" w14:textId="77777777" w:rsidR="000F6636" w:rsidRPr="00EF7B59" w:rsidRDefault="000F6636" w:rsidP="00484DB0">
            <w:pPr>
              <w:jc w:val="center"/>
              <w:rPr>
                <w:rFonts w:cs="Times New Roman"/>
                <w:sz w:val="18"/>
                <w:szCs w:val="18"/>
              </w:rPr>
            </w:pPr>
            <w:r w:rsidRPr="00EF7B59">
              <w:rPr>
                <w:color w:val="000000"/>
                <w:sz w:val="18"/>
                <w:szCs w:val="18"/>
              </w:rPr>
              <w:t>84,7</w:t>
            </w:r>
          </w:p>
        </w:tc>
        <w:tc>
          <w:tcPr>
            <w:tcW w:w="482" w:type="dxa"/>
            <w:gridSpan w:val="2"/>
            <w:tcBorders>
              <w:top w:val="nil"/>
              <w:left w:val="nil"/>
              <w:bottom w:val="nil"/>
              <w:right w:val="nil"/>
            </w:tcBorders>
            <w:shd w:val="clear" w:color="auto" w:fill="auto"/>
            <w:vAlign w:val="center"/>
          </w:tcPr>
          <w:p w14:paraId="786CBAC5" w14:textId="77777777" w:rsidR="000F6636" w:rsidRPr="00EF7B59" w:rsidRDefault="000F6636" w:rsidP="00484DB0">
            <w:pPr>
              <w:jc w:val="center"/>
              <w:rPr>
                <w:rFonts w:cs="Times New Roman"/>
                <w:sz w:val="18"/>
                <w:szCs w:val="18"/>
              </w:rPr>
            </w:pPr>
            <w:r w:rsidRPr="00EF7B59">
              <w:rPr>
                <w:color w:val="000000"/>
                <w:sz w:val="18"/>
                <w:szCs w:val="18"/>
              </w:rPr>
              <w:t>83,2</w:t>
            </w:r>
          </w:p>
        </w:tc>
        <w:tc>
          <w:tcPr>
            <w:tcW w:w="482" w:type="dxa"/>
            <w:gridSpan w:val="2"/>
            <w:tcBorders>
              <w:top w:val="nil"/>
              <w:left w:val="nil"/>
              <w:bottom w:val="nil"/>
              <w:right w:val="nil"/>
            </w:tcBorders>
            <w:shd w:val="clear" w:color="auto" w:fill="auto"/>
            <w:vAlign w:val="center"/>
          </w:tcPr>
          <w:p w14:paraId="7E45FFA3" w14:textId="77777777" w:rsidR="000F6636" w:rsidRPr="00EF7B59" w:rsidRDefault="000F6636" w:rsidP="00484DB0">
            <w:pPr>
              <w:jc w:val="center"/>
              <w:rPr>
                <w:rFonts w:cs="Times New Roman"/>
                <w:sz w:val="18"/>
                <w:szCs w:val="18"/>
              </w:rPr>
            </w:pPr>
            <w:r w:rsidRPr="00EF7B59">
              <w:rPr>
                <w:color w:val="000000"/>
                <w:sz w:val="18"/>
                <w:szCs w:val="18"/>
              </w:rPr>
              <w:t>84,1</w:t>
            </w:r>
          </w:p>
        </w:tc>
        <w:tc>
          <w:tcPr>
            <w:tcW w:w="548" w:type="dxa"/>
            <w:gridSpan w:val="3"/>
            <w:tcBorders>
              <w:top w:val="nil"/>
              <w:left w:val="nil"/>
              <w:bottom w:val="nil"/>
              <w:right w:val="nil"/>
            </w:tcBorders>
            <w:shd w:val="clear" w:color="auto" w:fill="auto"/>
            <w:vAlign w:val="center"/>
          </w:tcPr>
          <w:p w14:paraId="5E6D1BF4" w14:textId="77777777" w:rsidR="000F6636" w:rsidRPr="00EF7B59" w:rsidRDefault="000F6636" w:rsidP="00484DB0">
            <w:pPr>
              <w:jc w:val="center"/>
              <w:rPr>
                <w:rFonts w:cs="Times New Roman"/>
                <w:sz w:val="18"/>
                <w:szCs w:val="18"/>
              </w:rPr>
            </w:pPr>
            <w:r w:rsidRPr="00EF7B59">
              <w:rPr>
                <w:color w:val="000000"/>
                <w:sz w:val="18"/>
                <w:szCs w:val="18"/>
              </w:rPr>
              <w:t>85,5</w:t>
            </w:r>
          </w:p>
        </w:tc>
        <w:tc>
          <w:tcPr>
            <w:tcW w:w="558" w:type="dxa"/>
            <w:gridSpan w:val="2"/>
            <w:tcBorders>
              <w:top w:val="nil"/>
              <w:left w:val="nil"/>
              <w:bottom w:val="nil"/>
              <w:right w:val="nil"/>
            </w:tcBorders>
            <w:shd w:val="clear" w:color="auto" w:fill="auto"/>
            <w:vAlign w:val="center"/>
          </w:tcPr>
          <w:p w14:paraId="1AD656B4" w14:textId="77777777" w:rsidR="000F6636" w:rsidRPr="00EF7B59" w:rsidRDefault="000F6636" w:rsidP="00484DB0">
            <w:pPr>
              <w:jc w:val="center"/>
              <w:rPr>
                <w:rFonts w:cs="Times New Roman"/>
                <w:sz w:val="18"/>
                <w:szCs w:val="18"/>
              </w:rPr>
            </w:pPr>
            <w:r w:rsidRPr="00EF7B59">
              <w:rPr>
                <w:color w:val="000000"/>
                <w:sz w:val="18"/>
                <w:szCs w:val="18"/>
              </w:rPr>
              <w:t>86,0</w:t>
            </w:r>
          </w:p>
        </w:tc>
        <w:tc>
          <w:tcPr>
            <w:tcW w:w="320" w:type="dxa"/>
            <w:gridSpan w:val="3"/>
            <w:tcBorders>
              <w:top w:val="nil"/>
              <w:left w:val="nil"/>
              <w:bottom w:val="nil"/>
              <w:right w:val="nil"/>
            </w:tcBorders>
          </w:tcPr>
          <w:p w14:paraId="2BC902EB" w14:textId="77777777" w:rsidR="000F6636" w:rsidRPr="00EF7B59" w:rsidRDefault="000F6636" w:rsidP="00484DB0">
            <w:pPr>
              <w:jc w:val="center"/>
              <w:rPr>
                <w:sz w:val="18"/>
                <w:szCs w:val="18"/>
              </w:rPr>
            </w:pPr>
          </w:p>
        </w:tc>
      </w:tr>
      <w:tr w:rsidR="000F6636" w:rsidRPr="0088520B" w14:paraId="44755EC1" w14:textId="77777777" w:rsidTr="00484DB0">
        <w:trPr>
          <w:trHeight w:val="283"/>
        </w:trPr>
        <w:tc>
          <w:tcPr>
            <w:tcW w:w="5699" w:type="dxa"/>
            <w:gridSpan w:val="2"/>
            <w:tcBorders>
              <w:top w:val="nil"/>
              <w:left w:val="nil"/>
              <w:bottom w:val="nil"/>
              <w:right w:val="nil"/>
            </w:tcBorders>
            <w:shd w:val="clear" w:color="000000" w:fill="FFFFFF"/>
            <w:vAlign w:val="center"/>
            <w:hideMark/>
          </w:tcPr>
          <w:p w14:paraId="63E7A214" w14:textId="08E0F850" w:rsidR="000F6636" w:rsidRPr="00EF7B59" w:rsidRDefault="000F6636" w:rsidP="00484DB0">
            <w:pPr>
              <w:rPr>
                <w:rFonts w:cs="Times New Roman"/>
                <w:sz w:val="18"/>
                <w:szCs w:val="18"/>
              </w:rPr>
            </w:pPr>
            <w:r w:rsidRPr="00EF7B59">
              <w:rPr>
                <w:rFonts w:cs="Times New Roman"/>
                <w:sz w:val="18"/>
                <w:szCs w:val="18"/>
              </w:rPr>
              <w:t xml:space="preserve">Miera participácie žien (vek </w:t>
            </w:r>
            <w:r w:rsidR="008D2AA5">
              <w:rPr>
                <w:rFonts w:cs="Times New Roman"/>
                <w:sz w:val="18"/>
                <w:szCs w:val="18"/>
              </w:rPr>
              <w:t>20</w:t>
            </w:r>
            <w:r w:rsidRPr="00EF7B59">
              <w:rPr>
                <w:rFonts w:cs="Times New Roman"/>
                <w:sz w:val="18"/>
                <w:szCs w:val="18"/>
              </w:rPr>
              <w:t>-64)</w:t>
            </w:r>
          </w:p>
        </w:tc>
        <w:tc>
          <w:tcPr>
            <w:tcW w:w="482" w:type="dxa"/>
            <w:tcBorders>
              <w:top w:val="nil"/>
              <w:left w:val="nil"/>
              <w:bottom w:val="nil"/>
              <w:right w:val="nil"/>
            </w:tcBorders>
            <w:shd w:val="clear" w:color="auto" w:fill="auto"/>
            <w:vAlign w:val="center"/>
            <w:hideMark/>
          </w:tcPr>
          <w:p w14:paraId="4841D306" w14:textId="77777777" w:rsidR="000F6636" w:rsidRPr="00EF7B59" w:rsidRDefault="000F6636" w:rsidP="00484DB0">
            <w:pPr>
              <w:jc w:val="center"/>
              <w:rPr>
                <w:rFonts w:cs="Times New Roman"/>
                <w:sz w:val="18"/>
                <w:szCs w:val="18"/>
              </w:rPr>
            </w:pPr>
            <w:r w:rsidRPr="00EF7B59">
              <w:rPr>
                <w:color w:val="000000"/>
                <w:sz w:val="18"/>
                <w:szCs w:val="18"/>
              </w:rPr>
              <w:t>78,2</w:t>
            </w:r>
          </w:p>
        </w:tc>
        <w:tc>
          <w:tcPr>
            <w:tcW w:w="482" w:type="dxa"/>
            <w:gridSpan w:val="2"/>
            <w:tcBorders>
              <w:top w:val="nil"/>
              <w:left w:val="nil"/>
              <w:bottom w:val="nil"/>
              <w:right w:val="nil"/>
            </w:tcBorders>
            <w:shd w:val="clear" w:color="auto" w:fill="auto"/>
            <w:vAlign w:val="center"/>
          </w:tcPr>
          <w:p w14:paraId="20496D64" w14:textId="77777777" w:rsidR="000F6636" w:rsidRPr="00EF7B59" w:rsidRDefault="000F6636" w:rsidP="00484DB0">
            <w:pPr>
              <w:jc w:val="center"/>
              <w:rPr>
                <w:rFonts w:cs="Times New Roman"/>
                <w:sz w:val="18"/>
                <w:szCs w:val="18"/>
              </w:rPr>
            </w:pPr>
            <w:r w:rsidRPr="00EF7B59">
              <w:rPr>
                <w:color w:val="000000"/>
                <w:sz w:val="18"/>
                <w:szCs w:val="18"/>
              </w:rPr>
              <w:t>79,0</w:t>
            </w:r>
          </w:p>
        </w:tc>
        <w:tc>
          <w:tcPr>
            <w:tcW w:w="482" w:type="dxa"/>
            <w:gridSpan w:val="2"/>
            <w:tcBorders>
              <w:top w:val="nil"/>
              <w:left w:val="nil"/>
              <w:bottom w:val="nil"/>
              <w:right w:val="nil"/>
            </w:tcBorders>
            <w:shd w:val="clear" w:color="auto" w:fill="auto"/>
            <w:vAlign w:val="center"/>
          </w:tcPr>
          <w:p w14:paraId="3BF6517F" w14:textId="77777777" w:rsidR="000F6636" w:rsidRPr="00EF7B59" w:rsidRDefault="000F6636" w:rsidP="00484DB0">
            <w:pPr>
              <w:jc w:val="center"/>
              <w:rPr>
                <w:rFonts w:cs="Times New Roman"/>
                <w:sz w:val="18"/>
                <w:szCs w:val="18"/>
              </w:rPr>
            </w:pPr>
            <w:r w:rsidRPr="00EF7B59">
              <w:rPr>
                <w:color w:val="000000"/>
                <w:sz w:val="18"/>
                <w:szCs w:val="18"/>
              </w:rPr>
              <w:t>78,4</w:t>
            </w:r>
          </w:p>
        </w:tc>
        <w:tc>
          <w:tcPr>
            <w:tcW w:w="482" w:type="dxa"/>
            <w:gridSpan w:val="2"/>
            <w:tcBorders>
              <w:top w:val="nil"/>
              <w:left w:val="nil"/>
              <w:bottom w:val="nil"/>
              <w:right w:val="nil"/>
            </w:tcBorders>
            <w:shd w:val="clear" w:color="auto" w:fill="auto"/>
            <w:vAlign w:val="center"/>
          </w:tcPr>
          <w:p w14:paraId="73A14981" w14:textId="77777777" w:rsidR="000F6636" w:rsidRPr="00EF7B59" w:rsidRDefault="000F6636" w:rsidP="00484DB0">
            <w:pPr>
              <w:jc w:val="center"/>
              <w:rPr>
                <w:rFonts w:cs="Times New Roman"/>
                <w:sz w:val="18"/>
                <w:szCs w:val="18"/>
              </w:rPr>
            </w:pPr>
            <w:r w:rsidRPr="00EF7B59">
              <w:rPr>
                <w:color w:val="000000"/>
                <w:sz w:val="18"/>
                <w:szCs w:val="18"/>
              </w:rPr>
              <w:t>80,9</w:t>
            </w:r>
          </w:p>
        </w:tc>
        <w:tc>
          <w:tcPr>
            <w:tcW w:w="548" w:type="dxa"/>
            <w:gridSpan w:val="3"/>
            <w:tcBorders>
              <w:top w:val="nil"/>
              <w:left w:val="nil"/>
              <w:bottom w:val="nil"/>
              <w:right w:val="nil"/>
            </w:tcBorders>
            <w:shd w:val="clear" w:color="auto" w:fill="auto"/>
            <w:vAlign w:val="center"/>
          </w:tcPr>
          <w:p w14:paraId="0D8DC7F0" w14:textId="77777777" w:rsidR="000F6636" w:rsidRPr="00EF7B59" w:rsidRDefault="000F6636" w:rsidP="00484DB0">
            <w:pPr>
              <w:jc w:val="center"/>
              <w:rPr>
                <w:rFonts w:cs="Times New Roman"/>
                <w:sz w:val="18"/>
                <w:szCs w:val="18"/>
              </w:rPr>
            </w:pPr>
            <w:r w:rsidRPr="00EF7B59">
              <w:rPr>
                <w:color w:val="000000"/>
                <w:sz w:val="18"/>
                <w:szCs w:val="18"/>
              </w:rPr>
              <w:t>83,0</w:t>
            </w:r>
          </w:p>
        </w:tc>
        <w:tc>
          <w:tcPr>
            <w:tcW w:w="558" w:type="dxa"/>
            <w:gridSpan w:val="2"/>
            <w:tcBorders>
              <w:top w:val="nil"/>
              <w:left w:val="nil"/>
              <w:bottom w:val="nil"/>
              <w:right w:val="nil"/>
            </w:tcBorders>
            <w:shd w:val="clear" w:color="auto" w:fill="auto"/>
            <w:vAlign w:val="center"/>
          </w:tcPr>
          <w:p w14:paraId="133BEF39" w14:textId="77777777" w:rsidR="000F6636" w:rsidRPr="00EF7B59" w:rsidRDefault="000F6636" w:rsidP="00484DB0">
            <w:pPr>
              <w:jc w:val="center"/>
              <w:rPr>
                <w:rFonts w:cs="Times New Roman"/>
                <w:sz w:val="18"/>
                <w:szCs w:val="18"/>
              </w:rPr>
            </w:pPr>
            <w:r w:rsidRPr="00EF7B59">
              <w:rPr>
                <w:color w:val="000000"/>
                <w:sz w:val="18"/>
                <w:szCs w:val="18"/>
              </w:rPr>
              <w:t>83,6</w:t>
            </w:r>
          </w:p>
        </w:tc>
        <w:tc>
          <w:tcPr>
            <w:tcW w:w="320" w:type="dxa"/>
            <w:gridSpan w:val="3"/>
            <w:tcBorders>
              <w:top w:val="nil"/>
              <w:left w:val="nil"/>
              <w:bottom w:val="nil"/>
              <w:right w:val="nil"/>
            </w:tcBorders>
          </w:tcPr>
          <w:p w14:paraId="7D55178C" w14:textId="77777777" w:rsidR="000F6636" w:rsidRPr="00EF7B59" w:rsidRDefault="000F6636" w:rsidP="00484DB0">
            <w:pPr>
              <w:jc w:val="center"/>
              <w:rPr>
                <w:sz w:val="18"/>
                <w:szCs w:val="18"/>
              </w:rPr>
            </w:pPr>
          </w:p>
        </w:tc>
      </w:tr>
      <w:tr w:rsidR="000F6636" w:rsidRPr="0088520B" w14:paraId="6D28676E" w14:textId="77777777" w:rsidTr="00484DB0">
        <w:trPr>
          <w:trHeight w:val="283"/>
        </w:trPr>
        <w:tc>
          <w:tcPr>
            <w:tcW w:w="5699" w:type="dxa"/>
            <w:gridSpan w:val="2"/>
            <w:tcBorders>
              <w:top w:val="nil"/>
              <w:left w:val="nil"/>
              <w:bottom w:val="nil"/>
              <w:right w:val="nil"/>
            </w:tcBorders>
            <w:shd w:val="clear" w:color="000000" w:fill="FFFFFF"/>
            <w:vAlign w:val="center"/>
            <w:hideMark/>
          </w:tcPr>
          <w:p w14:paraId="65C0E68E" w14:textId="0A1F6DBD" w:rsidR="000F6636" w:rsidRPr="00EF7B59" w:rsidRDefault="000F6636" w:rsidP="00484DB0">
            <w:pPr>
              <w:rPr>
                <w:rFonts w:cs="Times New Roman"/>
                <w:sz w:val="18"/>
                <w:szCs w:val="18"/>
              </w:rPr>
            </w:pPr>
            <w:r w:rsidRPr="00EF7B59">
              <w:rPr>
                <w:rFonts w:cs="Times New Roman"/>
                <w:sz w:val="18"/>
                <w:szCs w:val="18"/>
              </w:rPr>
              <w:t xml:space="preserve">Celková miera participácie (vek </w:t>
            </w:r>
            <w:r w:rsidR="008D2AA5">
              <w:rPr>
                <w:rFonts w:cs="Times New Roman"/>
                <w:sz w:val="18"/>
                <w:szCs w:val="18"/>
              </w:rPr>
              <w:t>20</w:t>
            </w:r>
            <w:r w:rsidRPr="00EF7B59">
              <w:rPr>
                <w:rFonts w:cs="Times New Roman"/>
                <w:sz w:val="18"/>
                <w:szCs w:val="18"/>
              </w:rPr>
              <w:t>-64)</w:t>
            </w:r>
          </w:p>
        </w:tc>
        <w:tc>
          <w:tcPr>
            <w:tcW w:w="482" w:type="dxa"/>
            <w:tcBorders>
              <w:top w:val="nil"/>
              <w:left w:val="nil"/>
              <w:bottom w:val="nil"/>
              <w:right w:val="nil"/>
            </w:tcBorders>
            <w:shd w:val="clear" w:color="auto" w:fill="auto"/>
            <w:vAlign w:val="center"/>
            <w:hideMark/>
          </w:tcPr>
          <w:p w14:paraId="3459CAA0" w14:textId="77777777" w:rsidR="000F6636" w:rsidRPr="00EF7B59" w:rsidRDefault="000F6636" w:rsidP="00484DB0">
            <w:pPr>
              <w:jc w:val="center"/>
              <w:rPr>
                <w:rFonts w:cs="Times New Roman"/>
                <w:sz w:val="18"/>
                <w:szCs w:val="18"/>
              </w:rPr>
            </w:pPr>
            <w:r w:rsidRPr="00EF7B59">
              <w:rPr>
                <w:color w:val="000000"/>
                <w:sz w:val="18"/>
                <w:szCs w:val="18"/>
              </w:rPr>
              <w:t>81,9</w:t>
            </w:r>
          </w:p>
        </w:tc>
        <w:tc>
          <w:tcPr>
            <w:tcW w:w="482" w:type="dxa"/>
            <w:gridSpan w:val="2"/>
            <w:tcBorders>
              <w:top w:val="nil"/>
              <w:left w:val="nil"/>
              <w:bottom w:val="nil"/>
              <w:right w:val="nil"/>
            </w:tcBorders>
            <w:shd w:val="clear" w:color="auto" w:fill="auto"/>
            <w:vAlign w:val="center"/>
          </w:tcPr>
          <w:p w14:paraId="73BF2B52" w14:textId="77777777" w:rsidR="000F6636" w:rsidRPr="00EF7B59" w:rsidRDefault="000F6636" w:rsidP="00484DB0">
            <w:pPr>
              <w:jc w:val="center"/>
              <w:rPr>
                <w:rFonts w:cs="Times New Roman"/>
                <w:sz w:val="18"/>
                <w:szCs w:val="18"/>
              </w:rPr>
            </w:pPr>
            <w:r w:rsidRPr="00EF7B59">
              <w:rPr>
                <w:color w:val="000000"/>
                <w:sz w:val="18"/>
                <w:szCs w:val="18"/>
              </w:rPr>
              <w:t>81,9</w:t>
            </w:r>
          </w:p>
        </w:tc>
        <w:tc>
          <w:tcPr>
            <w:tcW w:w="482" w:type="dxa"/>
            <w:gridSpan w:val="2"/>
            <w:tcBorders>
              <w:top w:val="nil"/>
              <w:left w:val="nil"/>
              <w:bottom w:val="nil"/>
              <w:right w:val="nil"/>
            </w:tcBorders>
            <w:shd w:val="clear" w:color="auto" w:fill="auto"/>
            <w:vAlign w:val="center"/>
          </w:tcPr>
          <w:p w14:paraId="07EDE8C5" w14:textId="77777777" w:rsidR="000F6636" w:rsidRPr="00EF7B59" w:rsidRDefault="000F6636" w:rsidP="00484DB0">
            <w:pPr>
              <w:jc w:val="center"/>
              <w:rPr>
                <w:rFonts w:cs="Times New Roman"/>
                <w:sz w:val="18"/>
                <w:szCs w:val="18"/>
              </w:rPr>
            </w:pPr>
            <w:r w:rsidRPr="00EF7B59">
              <w:rPr>
                <w:color w:val="000000"/>
                <w:sz w:val="18"/>
                <w:szCs w:val="18"/>
              </w:rPr>
              <w:t>80,9</w:t>
            </w:r>
          </w:p>
        </w:tc>
        <w:tc>
          <w:tcPr>
            <w:tcW w:w="482" w:type="dxa"/>
            <w:gridSpan w:val="2"/>
            <w:tcBorders>
              <w:top w:val="nil"/>
              <w:left w:val="nil"/>
              <w:bottom w:val="nil"/>
              <w:right w:val="nil"/>
            </w:tcBorders>
            <w:shd w:val="clear" w:color="auto" w:fill="auto"/>
            <w:vAlign w:val="center"/>
          </w:tcPr>
          <w:p w14:paraId="4D078A55" w14:textId="77777777" w:rsidR="000F6636" w:rsidRPr="00EF7B59" w:rsidRDefault="000F6636" w:rsidP="00484DB0">
            <w:pPr>
              <w:jc w:val="center"/>
              <w:rPr>
                <w:rFonts w:cs="Times New Roman"/>
                <w:sz w:val="18"/>
                <w:szCs w:val="18"/>
              </w:rPr>
            </w:pPr>
            <w:r w:rsidRPr="00EF7B59">
              <w:rPr>
                <w:color w:val="000000"/>
                <w:sz w:val="18"/>
                <w:szCs w:val="18"/>
              </w:rPr>
              <w:t>82,5</w:t>
            </w:r>
          </w:p>
        </w:tc>
        <w:tc>
          <w:tcPr>
            <w:tcW w:w="548" w:type="dxa"/>
            <w:gridSpan w:val="3"/>
            <w:tcBorders>
              <w:top w:val="nil"/>
              <w:left w:val="nil"/>
              <w:bottom w:val="nil"/>
              <w:right w:val="nil"/>
            </w:tcBorders>
            <w:shd w:val="clear" w:color="auto" w:fill="auto"/>
            <w:vAlign w:val="center"/>
          </w:tcPr>
          <w:p w14:paraId="3552C4A2" w14:textId="77777777" w:rsidR="000F6636" w:rsidRPr="00EF7B59" w:rsidRDefault="000F6636" w:rsidP="00484DB0">
            <w:pPr>
              <w:jc w:val="center"/>
              <w:rPr>
                <w:rFonts w:cs="Times New Roman"/>
                <w:sz w:val="18"/>
                <w:szCs w:val="18"/>
              </w:rPr>
            </w:pPr>
            <w:r w:rsidRPr="00EF7B59">
              <w:rPr>
                <w:color w:val="000000"/>
                <w:sz w:val="18"/>
                <w:szCs w:val="18"/>
              </w:rPr>
              <w:t>84,3</w:t>
            </w:r>
          </w:p>
        </w:tc>
        <w:tc>
          <w:tcPr>
            <w:tcW w:w="558" w:type="dxa"/>
            <w:gridSpan w:val="2"/>
            <w:tcBorders>
              <w:top w:val="nil"/>
              <w:left w:val="nil"/>
              <w:bottom w:val="nil"/>
              <w:right w:val="nil"/>
            </w:tcBorders>
            <w:shd w:val="clear" w:color="auto" w:fill="auto"/>
            <w:vAlign w:val="center"/>
          </w:tcPr>
          <w:p w14:paraId="434E47F4" w14:textId="77777777" w:rsidR="000F6636" w:rsidRPr="00EF7B59" w:rsidRDefault="000F6636" w:rsidP="00484DB0">
            <w:pPr>
              <w:jc w:val="center"/>
              <w:rPr>
                <w:rFonts w:cs="Times New Roman"/>
                <w:sz w:val="18"/>
                <w:szCs w:val="18"/>
              </w:rPr>
            </w:pPr>
            <w:r w:rsidRPr="00EF7B59">
              <w:rPr>
                <w:color w:val="000000"/>
                <w:sz w:val="18"/>
                <w:szCs w:val="18"/>
              </w:rPr>
              <w:t>84,8</w:t>
            </w:r>
          </w:p>
        </w:tc>
        <w:tc>
          <w:tcPr>
            <w:tcW w:w="320" w:type="dxa"/>
            <w:gridSpan w:val="3"/>
            <w:tcBorders>
              <w:top w:val="nil"/>
              <w:left w:val="nil"/>
              <w:bottom w:val="nil"/>
              <w:right w:val="nil"/>
            </w:tcBorders>
          </w:tcPr>
          <w:p w14:paraId="2D2B31F6" w14:textId="77777777" w:rsidR="000F6636" w:rsidRPr="00EF7B59" w:rsidRDefault="000F6636" w:rsidP="00484DB0">
            <w:pPr>
              <w:jc w:val="center"/>
              <w:rPr>
                <w:sz w:val="18"/>
                <w:szCs w:val="18"/>
              </w:rPr>
            </w:pPr>
          </w:p>
        </w:tc>
      </w:tr>
      <w:tr w:rsidR="000F6636" w:rsidRPr="0088520B" w14:paraId="672067BB" w14:textId="77777777" w:rsidTr="00484DB0">
        <w:trPr>
          <w:trHeight w:val="283"/>
        </w:trPr>
        <w:tc>
          <w:tcPr>
            <w:tcW w:w="5699" w:type="dxa"/>
            <w:gridSpan w:val="2"/>
            <w:tcBorders>
              <w:top w:val="nil"/>
              <w:left w:val="nil"/>
              <w:right w:val="nil"/>
            </w:tcBorders>
            <w:shd w:val="clear" w:color="000000" w:fill="FFFFFF"/>
            <w:vAlign w:val="center"/>
            <w:hideMark/>
          </w:tcPr>
          <w:p w14:paraId="4214E896" w14:textId="67CF7DE3" w:rsidR="000F6636" w:rsidRPr="00EF7B59" w:rsidRDefault="000F6636" w:rsidP="00484DB0">
            <w:pPr>
              <w:rPr>
                <w:rFonts w:cs="Times New Roman"/>
                <w:sz w:val="18"/>
                <w:szCs w:val="18"/>
              </w:rPr>
            </w:pPr>
            <w:r w:rsidRPr="00EF7B59">
              <w:rPr>
                <w:rFonts w:cs="Times New Roman"/>
                <w:sz w:val="18"/>
                <w:szCs w:val="18"/>
              </w:rPr>
              <w:t xml:space="preserve">Miera nezamestnanosti (vek </w:t>
            </w:r>
            <w:r w:rsidR="008D2AA5">
              <w:rPr>
                <w:rFonts w:cs="Times New Roman"/>
                <w:sz w:val="18"/>
                <w:szCs w:val="18"/>
              </w:rPr>
              <w:t>20</w:t>
            </w:r>
            <w:r w:rsidRPr="00EF7B59">
              <w:rPr>
                <w:rFonts w:cs="Times New Roman"/>
                <w:sz w:val="18"/>
                <w:szCs w:val="18"/>
              </w:rPr>
              <w:t>-64)</w:t>
            </w:r>
          </w:p>
        </w:tc>
        <w:tc>
          <w:tcPr>
            <w:tcW w:w="482" w:type="dxa"/>
            <w:tcBorders>
              <w:top w:val="nil"/>
              <w:left w:val="nil"/>
              <w:right w:val="nil"/>
            </w:tcBorders>
            <w:shd w:val="clear" w:color="auto" w:fill="auto"/>
            <w:vAlign w:val="center"/>
            <w:hideMark/>
          </w:tcPr>
          <w:p w14:paraId="372BA5A0" w14:textId="77777777" w:rsidR="000F6636" w:rsidRPr="00EF7B59" w:rsidRDefault="000F6636" w:rsidP="00484DB0">
            <w:pPr>
              <w:jc w:val="center"/>
              <w:rPr>
                <w:rFonts w:cs="Times New Roman"/>
                <w:sz w:val="18"/>
                <w:szCs w:val="18"/>
              </w:rPr>
            </w:pPr>
            <w:r w:rsidRPr="00EF7B59">
              <w:rPr>
                <w:color w:val="000000"/>
                <w:sz w:val="18"/>
                <w:szCs w:val="18"/>
              </w:rPr>
              <w:t>5,2</w:t>
            </w:r>
          </w:p>
        </w:tc>
        <w:tc>
          <w:tcPr>
            <w:tcW w:w="482" w:type="dxa"/>
            <w:gridSpan w:val="2"/>
            <w:tcBorders>
              <w:top w:val="nil"/>
              <w:left w:val="nil"/>
              <w:right w:val="nil"/>
            </w:tcBorders>
            <w:shd w:val="clear" w:color="auto" w:fill="auto"/>
            <w:vAlign w:val="center"/>
          </w:tcPr>
          <w:p w14:paraId="207DAA84" w14:textId="77777777" w:rsidR="000F6636" w:rsidRPr="00EF7B59" w:rsidRDefault="000F6636" w:rsidP="00484DB0">
            <w:pPr>
              <w:jc w:val="center"/>
              <w:rPr>
                <w:rFonts w:cs="Times New Roman"/>
                <w:sz w:val="18"/>
                <w:szCs w:val="18"/>
              </w:rPr>
            </w:pPr>
            <w:r w:rsidRPr="00EF7B59">
              <w:rPr>
                <w:color w:val="000000"/>
                <w:sz w:val="18"/>
                <w:szCs w:val="18"/>
              </w:rPr>
              <w:t>5,6</w:t>
            </w:r>
          </w:p>
        </w:tc>
        <w:tc>
          <w:tcPr>
            <w:tcW w:w="482" w:type="dxa"/>
            <w:gridSpan w:val="2"/>
            <w:tcBorders>
              <w:top w:val="nil"/>
              <w:left w:val="nil"/>
              <w:right w:val="nil"/>
            </w:tcBorders>
            <w:shd w:val="clear" w:color="auto" w:fill="auto"/>
            <w:vAlign w:val="center"/>
          </w:tcPr>
          <w:p w14:paraId="1003570F" w14:textId="77777777" w:rsidR="000F6636" w:rsidRPr="00EF7B59" w:rsidRDefault="000F6636" w:rsidP="00484DB0">
            <w:pPr>
              <w:jc w:val="center"/>
              <w:rPr>
                <w:rFonts w:cs="Times New Roman"/>
                <w:sz w:val="18"/>
                <w:szCs w:val="18"/>
              </w:rPr>
            </w:pPr>
            <w:r w:rsidRPr="00EF7B59">
              <w:rPr>
                <w:color w:val="000000"/>
                <w:sz w:val="18"/>
                <w:szCs w:val="18"/>
              </w:rPr>
              <w:t>6,0</w:t>
            </w:r>
          </w:p>
        </w:tc>
        <w:tc>
          <w:tcPr>
            <w:tcW w:w="482" w:type="dxa"/>
            <w:gridSpan w:val="2"/>
            <w:tcBorders>
              <w:top w:val="nil"/>
              <w:left w:val="nil"/>
              <w:right w:val="nil"/>
            </w:tcBorders>
            <w:shd w:val="clear" w:color="auto" w:fill="auto"/>
            <w:vAlign w:val="center"/>
          </w:tcPr>
          <w:p w14:paraId="6B2F8A67" w14:textId="77777777" w:rsidR="000F6636" w:rsidRPr="00EF7B59" w:rsidRDefault="000F6636" w:rsidP="00484DB0">
            <w:pPr>
              <w:jc w:val="center"/>
              <w:rPr>
                <w:rFonts w:cs="Times New Roman"/>
                <w:sz w:val="18"/>
                <w:szCs w:val="18"/>
              </w:rPr>
            </w:pPr>
            <w:r w:rsidRPr="00EF7B59">
              <w:rPr>
                <w:color w:val="000000"/>
                <w:sz w:val="18"/>
                <w:szCs w:val="18"/>
              </w:rPr>
              <w:t>6,1</w:t>
            </w:r>
          </w:p>
        </w:tc>
        <w:tc>
          <w:tcPr>
            <w:tcW w:w="548" w:type="dxa"/>
            <w:gridSpan w:val="3"/>
            <w:tcBorders>
              <w:top w:val="nil"/>
              <w:left w:val="nil"/>
              <w:right w:val="nil"/>
            </w:tcBorders>
            <w:shd w:val="clear" w:color="auto" w:fill="auto"/>
            <w:vAlign w:val="center"/>
          </w:tcPr>
          <w:p w14:paraId="19DD74DA" w14:textId="77777777" w:rsidR="000F6636" w:rsidRPr="00EF7B59" w:rsidRDefault="000F6636" w:rsidP="00484DB0">
            <w:pPr>
              <w:jc w:val="center"/>
              <w:rPr>
                <w:rFonts w:cs="Times New Roman"/>
                <w:sz w:val="18"/>
                <w:szCs w:val="18"/>
              </w:rPr>
            </w:pPr>
            <w:r w:rsidRPr="00EF7B59">
              <w:rPr>
                <w:color w:val="000000"/>
                <w:sz w:val="18"/>
                <w:szCs w:val="18"/>
              </w:rPr>
              <w:t>6,0</w:t>
            </w:r>
          </w:p>
        </w:tc>
        <w:tc>
          <w:tcPr>
            <w:tcW w:w="558" w:type="dxa"/>
            <w:gridSpan w:val="2"/>
            <w:tcBorders>
              <w:top w:val="nil"/>
              <w:left w:val="nil"/>
              <w:right w:val="nil"/>
            </w:tcBorders>
            <w:shd w:val="clear" w:color="auto" w:fill="auto"/>
            <w:vAlign w:val="center"/>
          </w:tcPr>
          <w:p w14:paraId="5FD8842B" w14:textId="77777777" w:rsidR="000F6636" w:rsidRPr="00EF7B59" w:rsidRDefault="000F6636" w:rsidP="00484DB0">
            <w:pPr>
              <w:jc w:val="center"/>
              <w:rPr>
                <w:rFonts w:cs="Times New Roman"/>
                <w:sz w:val="18"/>
                <w:szCs w:val="18"/>
              </w:rPr>
            </w:pPr>
            <w:r w:rsidRPr="00EF7B59">
              <w:rPr>
                <w:color w:val="000000"/>
                <w:sz w:val="18"/>
                <w:szCs w:val="18"/>
              </w:rPr>
              <w:t>6,0</w:t>
            </w:r>
          </w:p>
        </w:tc>
        <w:tc>
          <w:tcPr>
            <w:tcW w:w="320" w:type="dxa"/>
            <w:gridSpan w:val="3"/>
            <w:tcBorders>
              <w:top w:val="nil"/>
              <w:left w:val="nil"/>
              <w:right w:val="nil"/>
            </w:tcBorders>
          </w:tcPr>
          <w:p w14:paraId="10534F93" w14:textId="77777777" w:rsidR="000F6636" w:rsidRPr="00EF7B59" w:rsidRDefault="000F6636" w:rsidP="00484DB0">
            <w:pPr>
              <w:jc w:val="center"/>
              <w:rPr>
                <w:sz w:val="18"/>
                <w:szCs w:val="18"/>
              </w:rPr>
            </w:pPr>
          </w:p>
        </w:tc>
      </w:tr>
      <w:tr w:rsidR="000F6636" w:rsidRPr="0088520B" w14:paraId="46A610FD" w14:textId="77777777" w:rsidTr="00484DB0">
        <w:trPr>
          <w:trHeight w:val="283"/>
        </w:trPr>
        <w:tc>
          <w:tcPr>
            <w:tcW w:w="5699" w:type="dxa"/>
            <w:gridSpan w:val="2"/>
            <w:tcBorders>
              <w:top w:val="nil"/>
              <w:left w:val="nil"/>
              <w:bottom w:val="single" w:sz="8" w:space="0" w:color="auto"/>
              <w:right w:val="nil"/>
            </w:tcBorders>
            <w:shd w:val="clear" w:color="000000" w:fill="FFFFFF"/>
            <w:noWrap/>
            <w:vAlign w:val="center"/>
            <w:hideMark/>
          </w:tcPr>
          <w:p w14:paraId="61386D03" w14:textId="77777777" w:rsidR="000F6636" w:rsidRPr="00EF7B59" w:rsidRDefault="000F6636" w:rsidP="00484DB0">
            <w:pPr>
              <w:rPr>
                <w:rFonts w:cs="Times New Roman"/>
                <w:sz w:val="18"/>
                <w:szCs w:val="18"/>
              </w:rPr>
            </w:pPr>
            <w:r w:rsidRPr="00EF7B59">
              <w:rPr>
                <w:rFonts w:cs="Times New Roman"/>
                <w:sz w:val="18"/>
                <w:szCs w:val="18"/>
              </w:rPr>
              <w:t>Populácia vo veku 65+ na celkovej populácii ( v %)</w:t>
            </w:r>
          </w:p>
        </w:tc>
        <w:tc>
          <w:tcPr>
            <w:tcW w:w="482" w:type="dxa"/>
            <w:tcBorders>
              <w:top w:val="nil"/>
              <w:left w:val="nil"/>
              <w:bottom w:val="single" w:sz="8" w:space="0" w:color="auto"/>
              <w:right w:val="nil"/>
            </w:tcBorders>
            <w:shd w:val="clear" w:color="auto" w:fill="auto"/>
            <w:vAlign w:val="center"/>
            <w:hideMark/>
          </w:tcPr>
          <w:p w14:paraId="4CBB0480" w14:textId="77777777" w:rsidR="000F6636" w:rsidRPr="00EF7B59" w:rsidRDefault="000F6636" w:rsidP="00484DB0">
            <w:pPr>
              <w:jc w:val="center"/>
              <w:rPr>
                <w:rFonts w:cs="Times New Roman"/>
                <w:sz w:val="18"/>
                <w:szCs w:val="18"/>
              </w:rPr>
            </w:pPr>
            <w:r w:rsidRPr="00EF7B59">
              <w:rPr>
                <w:color w:val="000000"/>
                <w:sz w:val="18"/>
                <w:szCs w:val="18"/>
              </w:rPr>
              <w:t>18,2</w:t>
            </w:r>
          </w:p>
        </w:tc>
        <w:tc>
          <w:tcPr>
            <w:tcW w:w="482" w:type="dxa"/>
            <w:gridSpan w:val="2"/>
            <w:tcBorders>
              <w:top w:val="nil"/>
              <w:left w:val="nil"/>
              <w:bottom w:val="single" w:sz="8" w:space="0" w:color="auto"/>
              <w:right w:val="nil"/>
            </w:tcBorders>
            <w:shd w:val="clear" w:color="auto" w:fill="auto"/>
            <w:vAlign w:val="center"/>
          </w:tcPr>
          <w:p w14:paraId="3DA8785E" w14:textId="77777777" w:rsidR="000F6636" w:rsidRPr="00EF7B59" w:rsidRDefault="000F6636" w:rsidP="00484DB0">
            <w:pPr>
              <w:jc w:val="center"/>
              <w:rPr>
                <w:rFonts w:cs="Times New Roman"/>
                <w:sz w:val="18"/>
                <w:szCs w:val="18"/>
              </w:rPr>
            </w:pPr>
            <w:r w:rsidRPr="00EF7B59">
              <w:rPr>
                <w:color w:val="000000"/>
                <w:sz w:val="18"/>
                <w:szCs w:val="18"/>
              </w:rPr>
              <w:t>20,6</w:t>
            </w:r>
          </w:p>
        </w:tc>
        <w:tc>
          <w:tcPr>
            <w:tcW w:w="482" w:type="dxa"/>
            <w:gridSpan w:val="2"/>
            <w:tcBorders>
              <w:top w:val="nil"/>
              <w:left w:val="nil"/>
              <w:bottom w:val="single" w:sz="8" w:space="0" w:color="auto"/>
              <w:right w:val="nil"/>
            </w:tcBorders>
            <w:shd w:val="clear" w:color="auto" w:fill="auto"/>
            <w:vAlign w:val="center"/>
          </w:tcPr>
          <w:p w14:paraId="031E8E23" w14:textId="77777777" w:rsidR="000F6636" w:rsidRPr="00EF7B59" w:rsidRDefault="000F6636" w:rsidP="00484DB0">
            <w:pPr>
              <w:jc w:val="center"/>
              <w:rPr>
                <w:rFonts w:cs="Times New Roman"/>
                <w:sz w:val="18"/>
                <w:szCs w:val="18"/>
              </w:rPr>
            </w:pPr>
            <w:r w:rsidRPr="00EF7B59">
              <w:rPr>
                <w:color w:val="000000"/>
                <w:sz w:val="18"/>
                <w:szCs w:val="18"/>
              </w:rPr>
              <w:t>23,9</w:t>
            </w:r>
          </w:p>
        </w:tc>
        <w:tc>
          <w:tcPr>
            <w:tcW w:w="482" w:type="dxa"/>
            <w:gridSpan w:val="2"/>
            <w:tcBorders>
              <w:top w:val="nil"/>
              <w:left w:val="nil"/>
              <w:bottom w:val="single" w:sz="8" w:space="0" w:color="auto"/>
              <w:right w:val="nil"/>
            </w:tcBorders>
            <w:shd w:val="clear" w:color="auto" w:fill="auto"/>
            <w:vAlign w:val="center"/>
          </w:tcPr>
          <w:p w14:paraId="463F7BFA" w14:textId="77777777" w:rsidR="000F6636" w:rsidRPr="00EF7B59" w:rsidRDefault="000F6636" w:rsidP="00484DB0">
            <w:pPr>
              <w:jc w:val="center"/>
              <w:rPr>
                <w:rFonts w:cs="Times New Roman"/>
                <w:sz w:val="18"/>
                <w:szCs w:val="18"/>
              </w:rPr>
            </w:pPr>
            <w:r w:rsidRPr="00EF7B59">
              <w:rPr>
                <w:color w:val="000000"/>
                <w:sz w:val="18"/>
                <w:szCs w:val="18"/>
              </w:rPr>
              <w:t>28,6</w:t>
            </w:r>
          </w:p>
        </w:tc>
        <w:tc>
          <w:tcPr>
            <w:tcW w:w="548" w:type="dxa"/>
            <w:gridSpan w:val="3"/>
            <w:tcBorders>
              <w:top w:val="nil"/>
              <w:left w:val="nil"/>
              <w:bottom w:val="single" w:sz="8" w:space="0" w:color="auto"/>
              <w:right w:val="nil"/>
            </w:tcBorders>
            <w:shd w:val="clear" w:color="auto" w:fill="auto"/>
            <w:vAlign w:val="center"/>
          </w:tcPr>
          <w:p w14:paraId="0C84068F" w14:textId="77777777" w:rsidR="000F6636" w:rsidRPr="00EF7B59" w:rsidRDefault="000F6636" w:rsidP="00484DB0">
            <w:pPr>
              <w:jc w:val="center"/>
              <w:rPr>
                <w:rFonts w:cs="Times New Roman"/>
                <w:sz w:val="18"/>
                <w:szCs w:val="18"/>
              </w:rPr>
            </w:pPr>
            <w:r w:rsidRPr="00EF7B59">
              <w:rPr>
                <w:color w:val="000000"/>
                <w:sz w:val="18"/>
                <w:szCs w:val="18"/>
              </w:rPr>
              <w:t>31,3</w:t>
            </w:r>
          </w:p>
        </w:tc>
        <w:tc>
          <w:tcPr>
            <w:tcW w:w="558" w:type="dxa"/>
            <w:gridSpan w:val="2"/>
            <w:tcBorders>
              <w:top w:val="nil"/>
              <w:left w:val="nil"/>
              <w:bottom w:val="single" w:sz="8" w:space="0" w:color="auto"/>
              <w:right w:val="nil"/>
            </w:tcBorders>
            <w:shd w:val="clear" w:color="auto" w:fill="auto"/>
            <w:vAlign w:val="center"/>
          </w:tcPr>
          <w:p w14:paraId="3FFC532C" w14:textId="77777777" w:rsidR="000F6636" w:rsidRPr="00EF7B59" w:rsidRDefault="000F6636" w:rsidP="00484DB0">
            <w:pPr>
              <w:jc w:val="center"/>
              <w:rPr>
                <w:rFonts w:cs="Times New Roman"/>
                <w:sz w:val="18"/>
                <w:szCs w:val="18"/>
              </w:rPr>
            </w:pPr>
            <w:r w:rsidRPr="00EF7B59">
              <w:rPr>
                <w:color w:val="000000"/>
                <w:sz w:val="18"/>
                <w:szCs w:val="18"/>
              </w:rPr>
              <w:t>30,2</w:t>
            </w:r>
          </w:p>
        </w:tc>
        <w:tc>
          <w:tcPr>
            <w:tcW w:w="320" w:type="dxa"/>
            <w:gridSpan w:val="3"/>
            <w:tcBorders>
              <w:top w:val="nil"/>
              <w:left w:val="nil"/>
              <w:bottom w:val="single" w:sz="8" w:space="0" w:color="auto"/>
              <w:right w:val="nil"/>
            </w:tcBorders>
          </w:tcPr>
          <w:p w14:paraId="4E0F93CD" w14:textId="77777777" w:rsidR="000F6636" w:rsidRPr="00EF7B59" w:rsidRDefault="000F6636" w:rsidP="00484DB0">
            <w:pPr>
              <w:jc w:val="center"/>
              <w:rPr>
                <w:sz w:val="18"/>
                <w:szCs w:val="18"/>
              </w:rPr>
            </w:pPr>
          </w:p>
        </w:tc>
      </w:tr>
      <w:tr w:rsidR="000F6636" w:rsidRPr="0088520B" w14:paraId="31549A50" w14:textId="77777777" w:rsidTr="00484DB0">
        <w:trPr>
          <w:trHeight w:val="283"/>
        </w:trPr>
        <w:tc>
          <w:tcPr>
            <w:tcW w:w="7145" w:type="dxa"/>
            <w:gridSpan w:val="7"/>
            <w:tcBorders>
              <w:top w:val="nil"/>
              <w:left w:val="nil"/>
              <w:bottom w:val="single" w:sz="2" w:space="0" w:color="FFFFFF"/>
              <w:right w:val="nil"/>
            </w:tcBorders>
            <w:shd w:val="clear" w:color="000000" w:fill="FFFFFF"/>
            <w:noWrap/>
            <w:vAlign w:val="center"/>
          </w:tcPr>
          <w:p w14:paraId="6BE69ADD" w14:textId="77777777" w:rsidR="000F6636" w:rsidRPr="00EF7B59" w:rsidRDefault="000F6636" w:rsidP="00484DB0">
            <w:pPr>
              <w:rPr>
                <w:i/>
                <w:iCs/>
                <w:sz w:val="16"/>
                <w:szCs w:val="16"/>
              </w:rPr>
            </w:pPr>
            <w:r w:rsidRPr="00EF7B59">
              <w:rPr>
                <w:rFonts w:cs="Times New Roman"/>
                <w:i/>
                <w:iCs/>
                <w:sz w:val="16"/>
                <w:szCs w:val="16"/>
              </w:rPr>
              <w:t>* Výdavky spojené so starnutím ako aj makroekonomické predpoklady boli aktualizované v súlade s Ageing report 2024.</w:t>
            </w:r>
          </w:p>
        </w:tc>
        <w:tc>
          <w:tcPr>
            <w:tcW w:w="1908" w:type="dxa"/>
            <w:gridSpan w:val="10"/>
            <w:tcBorders>
              <w:top w:val="single" w:sz="8" w:space="0" w:color="auto"/>
              <w:left w:val="nil"/>
              <w:bottom w:val="single" w:sz="2" w:space="0" w:color="FFFFFF"/>
              <w:right w:val="nil"/>
            </w:tcBorders>
            <w:shd w:val="clear" w:color="auto" w:fill="auto"/>
            <w:vAlign w:val="center"/>
          </w:tcPr>
          <w:p w14:paraId="08D01224" w14:textId="77777777" w:rsidR="000F6636" w:rsidRPr="00EF7B59" w:rsidRDefault="000F6636" w:rsidP="00484DB0">
            <w:pPr>
              <w:jc w:val="right"/>
              <w:rPr>
                <w:sz w:val="18"/>
                <w:szCs w:val="18"/>
              </w:rPr>
            </w:pPr>
            <w:r w:rsidRPr="00EF7B59">
              <w:rPr>
                <w:rFonts w:cs="Times New Roman"/>
                <w:i/>
                <w:iCs/>
                <w:color w:val="000000"/>
                <w:sz w:val="16"/>
                <w:szCs w:val="18"/>
              </w:rPr>
              <w:t>Zdroj: MF SR</w:t>
            </w:r>
          </w:p>
        </w:tc>
      </w:tr>
      <w:tr w:rsidR="000F6636" w:rsidRPr="0088520B" w14:paraId="1EA9FAC2" w14:textId="77777777" w:rsidTr="00484DB0">
        <w:trPr>
          <w:gridAfter w:val="1"/>
          <w:wAfter w:w="94" w:type="dxa"/>
          <w:trHeight w:val="283"/>
        </w:trPr>
        <w:tc>
          <w:tcPr>
            <w:tcW w:w="0" w:type="auto"/>
            <w:gridSpan w:val="8"/>
            <w:tcBorders>
              <w:top w:val="nil"/>
              <w:left w:val="nil"/>
              <w:bottom w:val="single" w:sz="4" w:space="0" w:color="auto"/>
              <w:right w:val="nil"/>
            </w:tcBorders>
            <w:shd w:val="clear" w:color="auto" w:fill="auto"/>
            <w:noWrap/>
            <w:vAlign w:val="bottom"/>
            <w:hideMark/>
          </w:tcPr>
          <w:p w14:paraId="15B0C17D" w14:textId="77777777" w:rsidR="000F6636" w:rsidRDefault="000F6636" w:rsidP="00484DB0">
            <w:pPr>
              <w:rPr>
                <w:rFonts w:eastAsia="Calibri"/>
                <w:b/>
                <w:color w:val="2C9ADC"/>
                <w:sz w:val="20"/>
                <w:szCs w:val="20"/>
              </w:rPr>
            </w:pPr>
            <w:bookmarkStart w:id="281" w:name="_Toc480905422"/>
            <w:bookmarkStart w:id="282" w:name="_Toc6314229"/>
            <w:bookmarkStart w:id="283" w:name="_Toc71622469"/>
          </w:p>
          <w:p w14:paraId="38FB8465" w14:textId="77777777" w:rsidR="000F6636" w:rsidRPr="00EF7B59" w:rsidRDefault="000F6636" w:rsidP="00484DB0">
            <w:pPr>
              <w:rPr>
                <w:rFonts w:eastAsia="Calibri"/>
                <w:b/>
                <w:color w:val="2C9ADC"/>
                <w:sz w:val="20"/>
                <w:szCs w:val="20"/>
              </w:rPr>
            </w:pPr>
            <w:r w:rsidRPr="00EF7B59">
              <w:rPr>
                <w:rFonts w:eastAsia="Calibri"/>
                <w:b/>
                <w:color w:val="2C9ADC"/>
                <w:sz w:val="20"/>
                <w:szCs w:val="20"/>
              </w:rPr>
              <w:t>Tabuľka 7a – Podmienené záväzky</w:t>
            </w:r>
            <w:bookmarkEnd w:id="281"/>
            <w:bookmarkEnd w:id="282"/>
            <w:bookmarkEnd w:id="283"/>
          </w:p>
        </w:tc>
        <w:tc>
          <w:tcPr>
            <w:tcW w:w="0" w:type="auto"/>
            <w:gridSpan w:val="2"/>
            <w:tcBorders>
              <w:top w:val="nil"/>
              <w:left w:val="nil"/>
              <w:bottom w:val="single" w:sz="4" w:space="0" w:color="auto"/>
              <w:right w:val="nil"/>
            </w:tcBorders>
          </w:tcPr>
          <w:p w14:paraId="2412E212" w14:textId="77777777" w:rsidR="000F6636" w:rsidRPr="00EF7B59" w:rsidRDefault="000F6636" w:rsidP="00484DB0">
            <w:pPr>
              <w:rPr>
                <w:rFonts w:eastAsia="Calibri"/>
                <w:b/>
                <w:color w:val="2C9ADC"/>
                <w:sz w:val="18"/>
                <w:szCs w:val="18"/>
              </w:rPr>
            </w:pPr>
          </w:p>
        </w:tc>
        <w:tc>
          <w:tcPr>
            <w:tcW w:w="0" w:type="auto"/>
            <w:gridSpan w:val="6"/>
            <w:tcBorders>
              <w:top w:val="nil"/>
              <w:left w:val="nil"/>
              <w:bottom w:val="single" w:sz="4" w:space="0" w:color="auto"/>
              <w:right w:val="nil"/>
            </w:tcBorders>
            <w:shd w:val="clear" w:color="auto" w:fill="auto"/>
            <w:noWrap/>
            <w:vAlign w:val="bottom"/>
            <w:hideMark/>
          </w:tcPr>
          <w:p w14:paraId="03779C0B" w14:textId="77777777" w:rsidR="000F6636" w:rsidRPr="00EF7B59" w:rsidRDefault="000F6636" w:rsidP="00484DB0">
            <w:pPr>
              <w:rPr>
                <w:rFonts w:eastAsia="Calibri"/>
                <w:b/>
                <w:color w:val="2C9ADC"/>
                <w:sz w:val="18"/>
                <w:szCs w:val="18"/>
              </w:rPr>
            </w:pPr>
          </w:p>
        </w:tc>
      </w:tr>
      <w:tr w:rsidR="000F6636" w:rsidRPr="0088520B" w14:paraId="7973562E" w14:textId="77777777" w:rsidTr="00484DB0">
        <w:trPr>
          <w:gridAfter w:val="1"/>
          <w:wAfter w:w="94" w:type="dxa"/>
          <w:trHeight w:val="283"/>
        </w:trPr>
        <w:tc>
          <w:tcPr>
            <w:tcW w:w="5531" w:type="dxa"/>
            <w:tcBorders>
              <w:top w:val="single" w:sz="4" w:space="0" w:color="auto"/>
              <w:left w:val="nil"/>
              <w:bottom w:val="nil"/>
              <w:right w:val="nil"/>
            </w:tcBorders>
            <w:shd w:val="clear" w:color="auto" w:fill="auto"/>
            <w:vAlign w:val="center"/>
            <w:hideMark/>
          </w:tcPr>
          <w:p w14:paraId="7A05B71F" w14:textId="77777777" w:rsidR="000F6636" w:rsidRPr="0088520B" w:rsidRDefault="000F6636" w:rsidP="00484DB0">
            <w:pPr>
              <w:rPr>
                <w:rFonts w:ascii="Times New Roman" w:hAnsi="Times New Roman" w:cs="Times New Roman"/>
                <w:sz w:val="18"/>
                <w:szCs w:val="18"/>
              </w:rPr>
            </w:pPr>
          </w:p>
        </w:tc>
        <w:tc>
          <w:tcPr>
            <w:tcW w:w="1120" w:type="dxa"/>
            <w:gridSpan w:val="3"/>
            <w:tcBorders>
              <w:top w:val="single" w:sz="4" w:space="0" w:color="auto"/>
              <w:left w:val="nil"/>
              <w:bottom w:val="nil"/>
              <w:right w:val="nil"/>
            </w:tcBorders>
            <w:shd w:val="clear" w:color="auto" w:fill="auto"/>
          </w:tcPr>
          <w:p w14:paraId="484F0783" w14:textId="77777777" w:rsidR="000F6636" w:rsidRPr="0088520B" w:rsidRDefault="000F6636" w:rsidP="00484DB0">
            <w:pPr>
              <w:jc w:val="center"/>
              <w:rPr>
                <w:rFonts w:cs="Times New Roman"/>
                <w:b/>
                <w:bCs/>
                <w:color w:val="000000"/>
                <w:sz w:val="18"/>
                <w:szCs w:val="18"/>
              </w:rPr>
            </w:pPr>
          </w:p>
        </w:tc>
        <w:tc>
          <w:tcPr>
            <w:tcW w:w="1140" w:type="dxa"/>
            <w:gridSpan w:val="6"/>
            <w:tcBorders>
              <w:top w:val="single" w:sz="4" w:space="0" w:color="auto"/>
              <w:left w:val="nil"/>
              <w:bottom w:val="nil"/>
              <w:right w:val="nil"/>
            </w:tcBorders>
            <w:shd w:val="clear" w:color="auto" w:fill="auto"/>
            <w:vAlign w:val="center"/>
          </w:tcPr>
          <w:p w14:paraId="1AE0121F"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3</w:t>
            </w:r>
          </w:p>
        </w:tc>
        <w:tc>
          <w:tcPr>
            <w:tcW w:w="1168" w:type="dxa"/>
            <w:gridSpan w:val="6"/>
            <w:tcBorders>
              <w:top w:val="single" w:sz="4" w:space="0" w:color="auto"/>
              <w:left w:val="nil"/>
              <w:bottom w:val="nil"/>
              <w:right w:val="nil"/>
            </w:tcBorders>
            <w:shd w:val="clear" w:color="auto" w:fill="auto"/>
            <w:vAlign w:val="center"/>
          </w:tcPr>
          <w:p w14:paraId="2123E776" w14:textId="77777777" w:rsidR="000F6636" w:rsidRPr="0088520B" w:rsidRDefault="000F6636" w:rsidP="00484DB0">
            <w:pPr>
              <w:jc w:val="center"/>
              <w:rPr>
                <w:rFonts w:cs="Times New Roman"/>
                <w:b/>
                <w:bCs/>
                <w:color w:val="000000"/>
                <w:sz w:val="18"/>
                <w:szCs w:val="18"/>
              </w:rPr>
            </w:pPr>
            <w:r w:rsidRPr="0088520B">
              <w:rPr>
                <w:b/>
                <w:bCs/>
                <w:color w:val="000000"/>
                <w:sz w:val="18"/>
                <w:szCs w:val="18"/>
              </w:rPr>
              <w:t>202</w:t>
            </w:r>
            <w:r w:rsidRPr="00B06BEF">
              <w:rPr>
                <w:b/>
                <w:bCs/>
                <w:color w:val="000000"/>
                <w:sz w:val="18"/>
                <w:szCs w:val="18"/>
              </w:rPr>
              <w:t>4</w:t>
            </w:r>
          </w:p>
        </w:tc>
      </w:tr>
      <w:tr w:rsidR="000F6636" w:rsidRPr="0088520B" w14:paraId="42DA066F" w14:textId="77777777" w:rsidTr="00484DB0">
        <w:trPr>
          <w:gridAfter w:val="1"/>
          <w:wAfter w:w="94" w:type="dxa"/>
          <w:trHeight w:val="283"/>
        </w:trPr>
        <w:tc>
          <w:tcPr>
            <w:tcW w:w="5531" w:type="dxa"/>
            <w:tcBorders>
              <w:top w:val="nil"/>
              <w:left w:val="nil"/>
              <w:bottom w:val="single" w:sz="4" w:space="0" w:color="auto"/>
              <w:right w:val="nil"/>
            </w:tcBorders>
            <w:shd w:val="clear" w:color="auto" w:fill="auto"/>
            <w:vAlign w:val="center"/>
            <w:hideMark/>
          </w:tcPr>
          <w:p w14:paraId="58BE2B61" w14:textId="77777777" w:rsidR="000F6636" w:rsidRPr="0088520B" w:rsidRDefault="000F6636" w:rsidP="00484DB0">
            <w:pPr>
              <w:rPr>
                <w:rFonts w:cs="Times New Roman"/>
                <w:color w:val="000000"/>
                <w:sz w:val="18"/>
                <w:szCs w:val="18"/>
              </w:rPr>
            </w:pPr>
            <w:r w:rsidRPr="0088520B">
              <w:rPr>
                <w:rFonts w:cs="Times New Roman"/>
                <w:color w:val="000000"/>
                <w:sz w:val="18"/>
                <w:szCs w:val="18"/>
              </w:rPr>
              <w:t> </w:t>
            </w:r>
          </w:p>
        </w:tc>
        <w:tc>
          <w:tcPr>
            <w:tcW w:w="1120" w:type="dxa"/>
            <w:gridSpan w:val="3"/>
            <w:tcBorders>
              <w:top w:val="nil"/>
              <w:left w:val="nil"/>
              <w:bottom w:val="single" w:sz="4" w:space="0" w:color="auto"/>
              <w:right w:val="nil"/>
            </w:tcBorders>
            <w:shd w:val="clear" w:color="auto" w:fill="auto"/>
          </w:tcPr>
          <w:p w14:paraId="12930E12" w14:textId="77777777" w:rsidR="000F6636" w:rsidRPr="0088520B" w:rsidRDefault="000F6636" w:rsidP="00484DB0">
            <w:pPr>
              <w:jc w:val="center"/>
              <w:rPr>
                <w:rFonts w:cs="Times New Roman"/>
                <w:color w:val="000000"/>
                <w:sz w:val="18"/>
                <w:szCs w:val="18"/>
              </w:rPr>
            </w:pPr>
          </w:p>
        </w:tc>
        <w:tc>
          <w:tcPr>
            <w:tcW w:w="1140" w:type="dxa"/>
            <w:gridSpan w:val="6"/>
            <w:tcBorders>
              <w:top w:val="nil"/>
              <w:left w:val="nil"/>
              <w:bottom w:val="single" w:sz="4" w:space="0" w:color="auto"/>
              <w:right w:val="nil"/>
            </w:tcBorders>
            <w:shd w:val="clear" w:color="auto" w:fill="auto"/>
          </w:tcPr>
          <w:p w14:paraId="2E8F763F" w14:textId="77777777" w:rsidR="000F6636" w:rsidRPr="0088520B" w:rsidRDefault="000F6636" w:rsidP="00484DB0">
            <w:pPr>
              <w:jc w:val="center"/>
              <w:rPr>
                <w:rFonts w:cs="Times New Roman"/>
                <w:color w:val="000000"/>
                <w:sz w:val="18"/>
                <w:szCs w:val="18"/>
              </w:rPr>
            </w:pPr>
            <w:r w:rsidRPr="0088520B">
              <w:rPr>
                <w:sz w:val="18"/>
                <w:szCs w:val="18"/>
              </w:rPr>
              <w:t>% HDP</w:t>
            </w:r>
          </w:p>
        </w:tc>
        <w:tc>
          <w:tcPr>
            <w:tcW w:w="1168" w:type="dxa"/>
            <w:gridSpan w:val="6"/>
            <w:tcBorders>
              <w:top w:val="nil"/>
              <w:left w:val="nil"/>
              <w:bottom w:val="single" w:sz="4" w:space="0" w:color="auto"/>
              <w:right w:val="nil"/>
            </w:tcBorders>
            <w:shd w:val="clear" w:color="auto" w:fill="auto"/>
          </w:tcPr>
          <w:p w14:paraId="50B82115" w14:textId="77777777" w:rsidR="000F6636" w:rsidRPr="0088520B" w:rsidRDefault="000F6636" w:rsidP="00484DB0">
            <w:pPr>
              <w:jc w:val="center"/>
              <w:rPr>
                <w:rFonts w:cs="Times New Roman"/>
                <w:color w:val="000000"/>
                <w:sz w:val="18"/>
                <w:szCs w:val="18"/>
              </w:rPr>
            </w:pPr>
            <w:r w:rsidRPr="0088520B">
              <w:rPr>
                <w:sz w:val="18"/>
                <w:szCs w:val="18"/>
              </w:rPr>
              <w:t>% HDP</w:t>
            </w:r>
          </w:p>
        </w:tc>
      </w:tr>
      <w:tr w:rsidR="000F6636" w:rsidRPr="0088520B" w14:paraId="054392A9" w14:textId="77777777" w:rsidTr="00484DB0">
        <w:trPr>
          <w:gridAfter w:val="1"/>
          <w:wAfter w:w="94" w:type="dxa"/>
          <w:trHeight w:val="283"/>
        </w:trPr>
        <w:tc>
          <w:tcPr>
            <w:tcW w:w="5531" w:type="dxa"/>
            <w:tcBorders>
              <w:top w:val="nil"/>
              <w:left w:val="nil"/>
              <w:right w:val="nil"/>
            </w:tcBorders>
            <w:shd w:val="clear" w:color="auto" w:fill="auto"/>
            <w:vAlign w:val="center"/>
            <w:hideMark/>
          </w:tcPr>
          <w:p w14:paraId="4135A811" w14:textId="77777777" w:rsidR="000F6636" w:rsidRPr="0088520B" w:rsidRDefault="000F6636" w:rsidP="00484DB0">
            <w:pPr>
              <w:rPr>
                <w:rFonts w:cs="Times New Roman"/>
                <w:b/>
                <w:color w:val="000000"/>
                <w:sz w:val="18"/>
                <w:szCs w:val="18"/>
              </w:rPr>
            </w:pPr>
            <w:r w:rsidRPr="0088520B">
              <w:rPr>
                <w:rFonts w:cs="Times New Roman"/>
                <w:b/>
                <w:color w:val="000000"/>
                <w:sz w:val="18"/>
                <w:szCs w:val="18"/>
              </w:rPr>
              <w:t>Verejné záruky</w:t>
            </w:r>
          </w:p>
        </w:tc>
        <w:tc>
          <w:tcPr>
            <w:tcW w:w="1120" w:type="dxa"/>
            <w:gridSpan w:val="3"/>
            <w:tcBorders>
              <w:top w:val="nil"/>
              <w:left w:val="nil"/>
              <w:right w:val="nil"/>
            </w:tcBorders>
            <w:shd w:val="clear" w:color="auto" w:fill="auto"/>
            <w:vAlign w:val="center"/>
          </w:tcPr>
          <w:p w14:paraId="427D628D" w14:textId="77777777" w:rsidR="000F6636" w:rsidRPr="0088520B" w:rsidRDefault="000F6636" w:rsidP="00484DB0">
            <w:pPr>
              <w:jc w:val="center"/>
              <w:rPr>
                <w:rFonts w:cs="Times New Roman"/>
                <w:b/>
                <w:color w:val="000000"/>
                <w:sz w:val="18"/>
                <w:szCs w:val="18"/>
              </w:rPr>
            </w:pPr>
          </w:p>
        </w:tc>
        <w:tc>
          <w:tcPr>
            <w:tcW w:w="1140" w:type="dxa"/>
            <w:gridSpan w:val="6"/>
            <w:tcBorders>
              <w:top w:val="nil"/>
              <w:left w:val="nil"/>
              <w:right w:val="nil"/>
            </w:tcBorders>
            <w:shd w:val="clear" w:color="auto" w:fill="auto"/>
            <w:vAlign w:val="center"/>
          </w:tcPr>
          <w:p w14:paraId="5F3A94E9" w14:textId="77777777" w:rsidR="000F6636" w:rsidRPr="00EF7B59" w:rsidRDefault="000F6636" w:rsidP="00484DB0">
            <w:pPr>
              <w:jc w:val="center"/>
              <w:rPr>
                <w:rFonts w:cs="Times New Roman"/>
                <w:b/>
                <w:bCs/>
                <w:color w:val="000000"/>
                <w:sz w:val="18"/>
                <w:szCs w:val="18"/>
              </w:rPr>
            </w:pPr>
            <w:r w:rsidRPr="00EF7B59">
              <w:rPr>
                <w:b/>
                <w:bCs/>
                <w:color w:val="000000"/>
                <w:sz w:val="18"/>
                <w:szCs w:val="18"/>
              </w:rPr>
              <w:t>10,8</w:t>
            </w:r>
          </w:p>
        </w:tc>
        <w:tc>
          <w:tcPr>
            <w:tcW w:w="1168" w:type="dxa"/>
            <w:gridSpan w:val="6"/>
            <w:tcBorders>
              <w:top w:val="nil"/>
              <w:left w:val="nil"/>
              <w:right w:val="nil"/>
            </w:tcBorders>
            <w:shd w:val="clear" w:color="auto" w:fill="auto"/>
            <w:vAlign w:val="center"/>
          </w:tcPr>
          <w:p w14:paraId="656F98BE" w14:textId="77777777" w:rsidR="000F6636" w:rsidRPr="0088520B" w:rsidRDefault="000F6636" w:rsidP="00484DB0">
            <w:pPr>
              <w:jc w:val="center"/>
              <w:rPr>
                <w:rFonts w:cs="Times New Roman"/>
                <w:b/>
                <w:color w:val="000000"/>
                <w:sz w:val="18"/>
                <w:szCs w:val="18"/>
              </w:rPr>
            </w:pPr>
            <w:r w:rsidRPr="0088520B">
              <w:rPr>
                <w:rFonts w:cs="Times New Roman"/>
                <w:b/>
                <w:color w:val="000000"/>
                <w:sz w:val="18"/>
                <w:szCs w:val="18"/>
              </w:rPr>
              <w:t>-</w:t>
            </w:r>
          </w:p>
        </w:tc>
      </w:tr>
      <w:tr w:rsidR="000F6636" w:rsidRPr="0088520B" w14:paraId="3F9EFDDF" w14:textId="77777777" w:rsidTr="00484DB0">
        <w:trPr>
          <w:gridAfter w:val="1"/>
          <w:wAfter w:w="94" w:type="dxa"/>
          <w:trHeight w:val="283"/>
        </w:trPr>
        <w:tc>
          <w:tcPr>
            <w:tcW w:w="5531" w:type="dxa"/>
            <w:tcBorders>
              <w:top w:val="nil"/>
              <w:left w:val="nil"/>
              <w:right w:val="nil"/>
            </w:tcBorders>
            <w:shd w:val="clear" w:color="auto" w:fill="auto"/>
            <w:vAlign w:val="center"/>
            <w:hideMark/>
          </w:tcPr>
          <w:p w14:paraId="0C5E0483"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z toho: spojené s EFSF a ESM</w:t>
            </w:r>
          </w:p>
        </w:tc>
        <w:tc>
          <w:tcPr>
            <w:tcW w:w="1120" w:type="dxa"/>
            <w:gridSpan w:val="3"/>
            <w:tcBorders>
              <w:top w:val="nil"/>
              <w:left w:val="nil"/>
              <w:right w:val="nil"/>
            </w:tcBorders>
            <w:shd w:val="clear" w:color="auto" w:fill="auto"/>
            <w:vAlign w:val="center"/>
          </w:tcPr>
          <w:p w14:paraId="0DDFC207" w14:textId="77777777" w:rsidR="000F6636" w:rsidRPr="0088520B" w:rsidRDefault="000F6636" w:rsidP="00484DB0">
            <w:pPr>
              <w:jc w:val="center"/>
              <w:rPr>
                <w:rFonts w:cs="Times New Roman"/>
                <w:color w:val="000000"/>
                <w:sz w:val="18"/>
                <w:szCs w:val="18"/>
              </w:rPr>
            </w:pPr>
          </w:p>
        </w:tc>
        <w:tc>
          <w:tcPr>
            <w:tcW w:w="1140" w:type="dxa"/>
            <w:gridSpan w:val="6"/>
            <w:tcBorders>
              <w:top w:val="nil"/>
              <w:left w:val="nil"/>
              <w:right w:val="nil"/>
            </w:tcBorders>
            <w:shd w:val="clear" w:color="auto" w:fill="auto"/>
            <w:vAlign w:val="center"/>
          </w:tcPr>
          <w:p w14:paraId="5C232F01" w14:textId="77777777" w:rsidR="000F6636" w:rsidRPr="0088520B" w:rsidRDefault="000F6636" w:rsidP="00484DB0">
            <w:pPr>
              <w:jc w:val="center"/>
              <w:rPr>
                <w:rFonts w:cs="Times New Roman"/>
                <w:color w:val="000000"/>
                <w:sz w:val="18"/>
                <w:szCs w:val="18"/>
              </w:rPr>
            </w:pPr>
            <w:r>
              <w:rPr>
                <w:color w:val="000000"/>
                <w:sz w:val="18"/>
                <w:szCs w:val="18"/>
              </w:rPr>
              <w:t>6,9</w:t>
            </w:r>
          </w:p>
        </w:tc>
        <w:tc>
          <w:tcPr>
            <w:tcW w:w="1168" w:type="dxa"/>
            <w:gridSpan w:val="6"/>
            <w:tcBorders>
              <w:top w:val="nil"/>
              <w:left w:val="nil"/>
              <w:right w:val="nil"/>
            </w:tcBorders>
            <w:shd w:val="clear" w:color="auto" w:fill="auto"/>
            <w:vAlign w:val="center"/>
          </w:tcPr>
          <w:p w14:paraId="4CCF1680" w14:textId="77777777" w:rsidR="000F6636" w:rsidRPr="0088520B" w:rsidRDefault="000F6636" w:rsidP="00484DB0">
            <w:pPr>
              <w:jc w:val="center"/>
              <w:rPr>
                <w:rFonts w:cs="Times New Roman"/>
                <w:color w:val="000000"/>
                <w:sz w:val="18"/>
                <w:szCs w:val="18"/>
              </w:rPr>
            </w:pPr>
            <w:r>
              <w:rPr>
                <w:color w:val="000000"/>
                <w:sz w:val="18"/>
                <w:szCs w:val="18"/>
              </w:rPr>
              <w:t>6,4</w:t>
            </w:r>
          </w:p>
        </w:tc>
      </w:tr>
      <w:tr w:rsidR="000F6636" w:rsidRPr="0088520B" w14:paraId="7D3E0EFD" w14:textId="77777777" w:rsidTr="00484DB0">
        <w:trPr>
          <w:gridAfter w:val="1"/>
          <w:wAfter w:w="94" w:type="dxa"/>
          <w:trHeight w:val="283"/>
        </w:trPr>
        <w:tc>
          <w:tcPr>
            <w:tcW w:w="5531" w:type="dxa"/>
            <w:tcBorders>
              <w:top w:val="nil"/>
              <w:left w:val="nil"/>
              <w:right w:val="nil"/>
            </w:tcBorders>
            <w:shd w:val="clear" w:color="auto" w:fill="auto"/>
            <w:vAlign w:val="center"/>
          </w:tcPr>
          <w:p w14:paraId="517E37E4"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z toho: spojené s medzinárodnými inštitúciami</w:t>
            </w:r>
          </w:p>
        </w:tc>
        <w:tc>
          <w:tcPr>
            <w:tcW w:w="1120" w:type="dxa"/>
            <w:gridSpan w:val="3"/>
            <w:tcBorders>
              <w:top w:val="nil"/>
              <w:left w:val="nil"/>
              <w:right w:val="nil"/>
            </w:tcBorders>
            <w:shd w:val="clear" w:color="auto" w:fill="auto"/>
            <w:vAlign w:val="center"/>
          </w:tcPr>
          <w:p w14:paraId="72330489" w14:textId="77777777" w:rsidR="000F6636" w:rsidRPr="0088520B" w:rsidRDefault="000F6636" w:rsidP="00484DB0">
            <w:pPr>
              <w:jc w:val="center"/>
              <w:rPr>
                <w:rFonts w:cs="Times New Roman"/>
                <w:color w:val="000000"/>
                <w:sz w:val="18"/>
                <w:szCs w:val="18"/>
              </w:rPr>
            </w:pPr>
          </w:p>
        </w:tc>
        <w:tc>
          <w:tcPr>
            <w:tcW w:w="1140" w:type="dxa"/>
            <w:gridSpan w:val="6"/>
            <w:tcBorders>
              <w:top w:val="nil"/>
              <w:left w:val="nil"/>
              <w:right w:val="nil"/>
            </w:tcBorders>
            <w:shd w:val="clear" w:color="auto" w:fill="auto"/>
            <w:vAlign w:val="center"/>
          </w:tcPr>
          <w:p w14:paraId="2A41EC63" w14:textId="77777777" w:rsidR="000F6636" w:rsidRPr="0088520B" w:rsidRDefault="000F6636" w:rsidP="00484DB0">
            <w:pPr>
              <w:jc w:val="center"/>
              <w:rPr>
                <w:sz w:val="18"/>
                <w:szCs w:val="18"/>
              </w:rPr>
            </w:pPr>
            <w:r>
              <w:rPr>
                <w:color w:val="000000"/>
                <w:sz w:val="18"/>
                <w:szCs w:val="18"/>
              </w:rPr>
              <w:t>1,1</w:t>
            </w:r>
          </w:p>
        </w:tc>
        <w:tc>
          <w:tcPr>
            <w:tcW w:w="1168" w:type="dxa"/>
            <w:gridSpan w:val="6"/>
            <w:tcBorders>
              <w:top w:val="nil"/>
              <w:left w:val="nil"/>
              <w:right w:val="nil"/>
            </w:tcBorders>
            <w:shd w:val="clear" w:color="auto" w:fill="auto"/>
            <w:vAlign w:val="center"/>
          </w:tcPr>
          <w:p w14:paraId="3E166C1B" w14:textId="77777777" w:rsidR="000F6636" w:rsidRPr="0088520B" w:rsidRDefault="000F6636" w:rsidP="00484DB0">
            <w:pPr>
              <w:jc w:val="center"/>
              <w:rPr>
                <w:rFonts w:cs="Times New Roman"/>
                <w:color w:val="000000"/>
                <w:sz w:val="18"/>
                <w:szCs w:val="18"/>
              </w:rPr>
            </w:pPr>
          </w:p>
        </w:tc>
      </w:tr>
      <w:tr w:rsidR="000F6636" w:rsidRPr="0088520B" w14:paraId="0D404030" w14:textId="77777777" w:rsidTr="00484DB0">
        <w:trPr>
          <w:gridAfter w:val="1"/>
          <w:wAfter w:w="94" w:type="dxa"/>
          <w:trHeight w:val="283"/>
        </w:trPr>
        <w:tc>
          <w:tcPr>
            <w:tcW w:w="5531" w:type="dxa"/>
            <w:tcBorders>
              <w:top w:val="nil"/>
              <w:left w:val="nil"/>
              <w:right w:val="nil"/>
            </w:tcBorders>
            <w:shd w:val="clear" w:color="auto" w:fill="auto"/>
            <w:vAlign w:val="center"/>
          </w:tcPr>
          <w:p w14:paraId="50D1EF2E"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z toho: spojené s koronakrízou</w:t>
            </w:r>
          </w:p>
        </w:tc>
        <w:tc>
          <w:tcPr>
            <w:tcW w:w="1120" w:type="dxa"/>
            <w:gridSpan w:val="3"/>
            <w:tcBorders>
              <w:top w:val="nil"/>
              <w:left w:val="nil"/>
              <w:right w:val="nil"/>
            </w:tcBorders>
            <w:shd w:val="clear" w:color="auto" w:fill="auto"/>
            <w:vAlign w:val="center"/>
          </w:tcPr>
          <w:p w14:paraId="20D18783" w14:textId="77777777" w:rsidR="000F6636" w:rsidRPr="0088520B" w:rsidRDefault="000F6636" w:rsidP="00484DB0">
            <w:pPr>
              <w:jc w:val="center"/>
              <w:rPr>
                <w:rFonts w:cs="Times New Roman"/>
                <w:color w:val="000000"/>
                <w:sz w:val="18"/>
                <w:szCs w:val="18"/>
              </w:rPr>
            </w:pPr>
          </w:p>
        </w:tc>
        <w:tc>
          <w:tcPr>
            <w:tcW w:w="1140" w:type="dxa"/>
            <w:gridSpan w:val="6"/>
            <w:tcBorders>
              <w:top w:val="nil"/>
              <w:left w:val="nil"/>
              <w:right w:val="nil"/>
            </w:tcBorders>
            <w:shd w:val="clear" w:color="auto" w:fill="auto"/>
            <w:vAlign w:val="center"/>
          </w:tcPr>
          <w:p w14:paraId="2148713A" w14:textId="77777777" w:rsidR="000F6636" w:rsidRPr="0088520B" w:rsidRDefault="000F6636" w:rsidP="00484DB0">
            <w:pPr>
              <w:jc w:val="center"/>
              <w:rPr>
                <w:sz w:val="18"/>
                <w:szCs w:val="18"/>
              </w:rPr>
            </w:pPr>
            <w:r>
              <w:rPr>
                <w:sz w:val="18"/>
                <w:szCs w:val="18"/>
              </w:rPr>
              <w:t>2,5</w:t>
            </w:r>
          </w:p>
        </w:tc>
        <w:tc>
          <w:tcPr>
            <w:tcW w:w="1168" w:type="dxa"/>
            <w:gridSpan w:val="6"/>
            <w:tcBorders>
              <w:top w:val="nil"/>
              <w:left w:val="nil"/>
              <w:right w:val="nil"/>
            </w:tcBorders>
            <w:shd w:val="clear" w:color="auto" w:fill="auto"/>
            <w:vAlign w:val="center"/>
          </w:tcPr>
          <w:p w14:paraId="732C803B" w14:textId="77777777" w:rsidR="000F6636" w:rsidRPr="0088520B" w:rsidRDefault="000F6636" w:rsidP="00484DB0">
            <w:pPr>
              <w:jc w:val="center"/>
              <w:rPr>
                <w:rFonts w:cs="Times New Roman"/>
                <w:color w:val="000000"/>
                <w:sz w:val="18"/>
                <w:szCs w:val="18"/>
              </w:rPr>
            </w:pPr>
            <w:r>
              <w:rPr>
                <w:sz w:val="18"/>
                <w:szCs w:val="18"/>
              </w:rPr>
              <w:t>2,3</w:t>
            </w:r>
          </w:p>
        </w:tc>
      </w:tr>
      <w:tr w:rsidR="000F6636" w:rsidRPr="0088520B" w14:paraId="3ADC5F95" w14:textId="77777777" w:rsidTr="00484DB0">
        <w:trPr>
          <w:gridAfter w:val="1"/>
          <w:wAfter w:w="94" w:type="dxa"/>
          <w:trHeight w:val="283"/>
        </w:trPr>
        <w:tc>
          <w:tcPr>
            <w:tcW w:w="5531" w:type="dxa"/>
            <w:tcBorders>
              <w:left w:val="nil"/>
              <w:bottom w:val="single" w:sz="4" w:space="0" w:color="auto"/>
              <w:right w:val="nil"/>
            </w:tcBorders>
            <w:shd w:val="clear" w:color="auto" w:fill="auto"/>
            <w:vAlign w:val="center"/>
          </w:tcPr>
          <w:p w14:paraId="74EB2283" w14:textId="77777777" w:rsidR="000F6636" w:rsidRPr="0088520B" w:rsidRDefault="000F6636" w:rsidP="00484DB0">
            <w:pPr>
              <w:ind w:firstLineChars="100" w:firstLine="180"/>
              <w:rPr>
                <w:rFonts w:cs="Times New Roman"/>
                <w:color w:val="000000"/>
                <w:sz w:val="18"/>
                <w:szCs w:val="18"/>
              </w:rPr>
            </w:pPr>
            <w:r w:rsidRPr="0088520B">
              <w:rPr>
                <w:rFonts w:cs="Times New Roman"/>
                <w:color w:val="000000"/>
                <w:sz w:val="18"/>
                <w:szCs w:val="18"/>
              </w:rPr>
              <w:t>z toho: spojené s finančnými inštitúciami s účasťou štátu</w:t>
            </w:r>
          </w:p>
        </w:tc>
        <w:tc>
          <w:tcPr>
            <w:tcW w:w="1120" w:type="dxa"/>
            <w:gridSpan w:val="3"/>
            <w:tcBorders>
              <w:left w:val="nil"/>
              <w:bottom w:val="single" w:sz="4" w:space="0" w:color="auto"/>
              <w:right w:val="nil"/>
            </w:tcBorders>
            <w:shd w:val="clear" w:color="auto" w:fill="auto"/>
            <w:vAlign w:val="center"/>
          </w:tcPr>
          <w:p w14:paraId="7B97FAD1" w14:textId="77777777" w:rsidR="000F6636" w:rsidRPr="0088520B" w:rsidRDefault="000F6636" w:rsidP="00484DB0">
            <w:pPr>
              <w:jc w:val="center"/>
              <w:rPr>
                <w:rFonts w:cs="Times New Roman"/>
                <w:color w:val="000000"/>
                <w:sz w:val="18"/>
                <w:szCs w:val="18"/>
              </w:rPr>
            </w:pPr>
          </w:p>
        </w:tc>
        <w:tc>
          <w:tcPr>
            <w:tcW w:w="1140" w:type="dxa"/>
            <w:gridSpan w:val="6"/>
            <w:tcBorders>
              <w:left w:val="nil"/>
              <w:bottom w:val="single" w:sz="4" w:space="0" w:color="auto"/>
              <w:right w:val="nil"/>
            </w:tcBorders>
            <w:shd w:val="clear" w:color="auto" w:fill="auto"/>
            <w:vAlign w:val="center"/>
          </w:tcPr>
          <w:p w14:paraId="107E0E41" w14:textId="77777777" w:rsidR="000F6636" w:rsidRPr="0088520B" w:rsidRDefault="000F6636" w:rsidP="00484DB0">
            <w:pPr>
              <w:jc w:val="center"/>
              <w:rPr>
                <w:sz w:val="18"/>
                <w:szCs w:val="18"/>
              </w:rPr>
            </w:pPr>
            <w:r>
              <w:rPr>
                <w:color w:val="000000"/>
                <w:sz w:val="18"/>
                <w:szCs w:val="18"/>
              </w:rPr>
              <w:t>0,3</w:t>
            </w:r>
          </w:p>
        </w:tc>
        <w:tc>
          <w:tcPr>
            <w:tcW w:w="1168" w:type="dxa"/>
            <w:gridSpan w:val="6"/>
            <w:tcBorders>
              <w:left w:val="nil"/>
              <w:bottom w:val="single" w:sz="4" w:space="0" w:color="auto"/>
              <w:right w:val="nil"/>
            </w:tcBorders>
            <w:shd w:val="clear" w:color="auto" w:fill="auto"/>
            <w:vAlign w:val="center"/>
          </w:tcPr>
          <w:p w14:paraId="4EF57D7F" w14:textId="77777777" w:rsidR="000F6636" w:rsidRPr="0088520B" w:rsidRDefault="000F6636" w:rsidP="00484DB0">
            <w:pPr>
              <w:jc w:val="center"/>
              <w:rPr>
                <w:sz w:val="18"/>
                <w:szCs w:val="18"/>
              </w:rPr>
            </w:pPr>
            <w:r>
              <w:rPr>
                <w:sz w:val="18"/>
                <w:szCs w:val="18"/>
              </w:rPr>
              <w:t>-</w:t>
            </w:r>
          </w:p>
        </w:tc>
      </w:tr>
      <w:tr w:rsidR="000F6636" w:rsidRPr="0088520B" w14:paraId="3B5F7559" w14:textId="77777777" w:rsidTr="00484DB0">
        <w:trPr>
          <w:gridAfter w:val="1"/>
          <w:wAfter w:w="94" w:type="dxa"/>
          <w:trHeight w:val="283"/>
        </w:trPr>
        <w:tc>
          <w:tcPr>
            <w:tcW w:w="5531" w:type="dxa"/>
            <w:tcBorders>
              <w:top w:val="single" w:sz="4" w:space="0" w:color="auto"/>
              <w:left w:val="nil"/>
              <w:right w:val="nil"/>
            </w:tcBorders>
            <w:shd w:val="clear" w:color="auto" w:fill="auto"/>
            <w:noWrap/>
            <w:vAlign w:val="center"/>
          </w:tcPr>
          <w:p w14:paraId="334BA6EE" w14:textId="77777777" w:rsidR="000F6636" w:rsidRPr="0088520B" w:rsidRDefault="000F6636" w:rsidP="00484DB0">
            <w:pPr>
              <w:rPr>
                <w:rFonts w:ascii="Calibri" w:hAnsi="Calibri" w:cs="Times New Roman"/>
                <w:color w:val="000000"/>
                <w:sz w:val="18"/>
                <w:szCs w:val="18"/>
                <w:highlight w:val="yellow"/>
              </w:rPr>
            </w:pPr>
          </w:p>
        </w:tc>
        <w:tc>
          <w:tcPr>
            <w:tcW w:w="1845" w:type="dxa"/>
            <w:gridSpan w:val="7"/>
            <w:tcBorders>
              <w:top w:val="single" w:sz="4" w:space="0" w:color="auto"/>
              <w:left w:val="nil"/>
              <w:right w:val="nil"/>
            </w:tcBorders>
            <w:shd w:val="clear" w:color="auto" w:fill="auto"/>
            <w:noWrap/>
            <w:vAlign w:val="bottom"/>
            <w:hideMark/>
          </w:tcPr>
          <w:p w14:paraId="784FBD18" w14:textId="77777777" w:rsidR="000F6636" w:rsidRPr="0088520B" w:rsidRDefault="000F6636" w:rsidP="00484DB0">
            <w:pPr>
              <w:rPr>
                <w:rFonts w:ascii="Times New Roman" w:hAnsi="Times New Roman" w:cs="Times New Roman"/>
                <w:sz w:val="18"/>
                <w:szCs w:val="18"/>
                <w:highlight w:val="yellow"/>
              </w:rPr>
            </w:pPr>
          </w:p>
        </w:tc>
        <w:tc>
          <w:tcPr>
            <w:tcW w:w="0" w:type="auto"/>
            <w:gridSpan w:val="8"/>
            <w:tcBorders>
              <w:top w:val="single" w:sz="4" w:space="0" w:color="auto"/>
              <w:left w:val="nil"/>
              <w:right w:val="nil"/>
            </w:tcBorders>
            <w:shd w:val="clear" w:color="auto" w:fill="auto"/>
            <w:noWrap/>
            <w:vAlign w:val="bottom"/>
            <w:hideMark/>
          </w:tcPr>
          <w:p w14:paraId="26162A3F" w14:textId="77777777" w:rsidR="000F6636" w:rsidRPr="0088520B" w:rsidRDefault="000F6636" w:rsidP="00484DB0">
            <w:pPr>
              <w:jc w:val="right"/>
              <w:rPr>
                <w:rFonts w:cs="Times New Roman"/>
                <w:i/>
                <w:iCs/>
                <w:color w:val="000000"/>
                <w:sz w:val="18"/>
                <w:szCs w:val="18"/>
              </w:rPr>
            </w:pPr>
            <w:r w:rsidRPr="0088520B">
              <w:rPr>
                <w:rFonts w:cs="Times New Roman"/>
                <w:i/>
                <w:iCs/>
                <w:color w:val="000000"/>
                <w:sz w:val="16"/>
                <w:szCs w:val="18"/>
              </w:rPr>
              <w:t>Zdroj: MF SR</w:t>
            </w:r>
          </w:p>
        </w:tc>
      </w:tr>
    </w:tbl>
    <w:p w14:paraId="5825B597" w14:textId="77777777" w:rsidR="000F6636" w:rsidRPr="0088520B" w:rsidRDefault="000F6636" w:rsidP="000F6636">
      <w:pPr>
        <w:rPr>
          <w:sz w:val="18"/>
          <w:szCs w:val="18"/>
          <w:highlight w:val="yellow"/>
        </w:rPr>
      </w:pPr>
    </w:p>
    <w:tbl>
      <w:tblPr>
        <w:tblW w:w="8763" w:type="dxa"/>
        <w:jc w:val="center"/>
        <w:tblCellMar>
          <w:left w:w="70" w:type="dxa"/>
          <w:right w:w="70" w:type="dxa"/>
        </w:tblCellMar>
        <w:tblLook w:val="04A0" w:firstRow="1" w:lastRow="0" w:firstColumn="1" w:lastColumn="0" w:noHBand="0" w:noVBand="1"/>
      </w:tblPr>
      <w:tblGrid>
        <w:gridCol w:w="5078"/>
        <w:gridCol w:w="737"/>
        <w:gridCol w:w="737"/>
        <w:gridCol w:w="728"/>
        <w:gridCol w:w="9"/>
        <w:gridCol w:w="737"/>
        <w:gridCol w:w="737"/>
      </w:tblGrid>
      <w:tr w:rsidR="000F6636" w:rsidRPr="00EF7B59" w14:paraId="55488BF8" w14:textId="77777777" w:rsidTr="00484DB0">
        <w:trPr>
          <w:gridAfter w:val="3"/>
          <w:wAfter w:w="1483" w:type="dxa"/>
          <w:trHeight w:val="276"/>
          <w:jc w:val="center"/>
        </w:trPr>
        <w:tc>
          <w:tcPr>
            <w:tcW w:w="7280" w:type="dxa"/>
            <w:gridSpan w:val="4"/>
            <w:tcBorders>
              <w:top w:val="nil"/>
              <w:left w:val="nil"/>
              <w:bottom w:val="single" w:sz="4" w:space="0" w:color="auto"/>
              <w:right w:val="nil"/>
            </w:tcBorders>
            <w:shd w:val="clear" w:color="auto" w:fill="auto"/>
            <w:noWrap/>
            <w:vAlign w:val="bottom"/>
            <w:hideMark/>
          </w:tcPr>
          <w:p w14:paraId="39B44F07" w14:textId="5FA3974B" w:rsidR="000F6636" w:rsidRPr="00EF7B59" w:rsidRDefault="000F6636" w:rsidP="00484DB0">
            <w:pPr>
              <w:rPr>
                <w:rFonts w:eastAsia="Calibri"/>
                <w:b/>
                <w:color w:val="2C9ADC"/>
                <w:sz w:val="18"/>
                <w:szCs w:val="18"/>
              </w:rPr>
            </w:pPr>
            <w:bookmarkStart w:id="284" w:name="_Toc480905423"/>
            <w:bookmarkStart w:id="285" w:name="_Toc6314230"/>
            <w:bookmarkStart w:id="286" w:name="_Toc71622470"/>
            <w:r w:rsidRPr="00EF7B59">
              <w:rPr>
                <w:rFonts w:eastAsia="Calibri"/>
                <w:b/>
                <w:color w:val="2C9ADC"/>
                <w:sz w:val="20"/>
                <w:szCs w:val="18"/>
              </w:rPr>
              <w:t xml:space="preserve">Tabuľka 8 </w:t>
            </w:r>
            <w:r w:rsidRPr="00EF7B59">
              <w:rPr>
                <w:rFonts w:eastAsia="Calibri"/>
                <w:b/>
                <w:color w:val="2C9ADC"/>
                <w:sz w:val="20"/>
                <w:szCs w:val="20"/>
              </w:rPr>
              <w:t>–</w:t>
            </w:r>
            <w:r w:rsidRPr="00EF7B59">
              <w:rPr>
                <w:rFonts w:eastAsia="Calibri"/>
                <w:b/>
                <w:color w:val="2C9ADC"/>
                <w:sz w:val="20"/>
                <w:szCs w:val="18"/>
              </w:rPr>
              <w:t xml:space="preserve"> Základné predpoklady</w:t>
            </w:r>
            <w:bookmarkEnd w:id="284"/>
            <w:bookmarkEnd w:id="285"/>
            <w:bookmarkEnd w:id="286"/>
          </w:p>
        </w:tc>
      </w:tr>
      <w:tr w:rsidR="000F6636" w:rsidRPr="0088520B" w14:paraId="27441736" w14:textId="77777777" w:rsidTr="00484DB0">
        <w:trPr>
          <w:trHeight w:val="276"/>
          <w:jc w:val="center"/>
        </w:trPr>
        <w:tc>
          <w:tcPr>
            <w:tcW w:w="5078" w:type="dxa"/>
            <w:tcBorders>
              <w:top w:val="single" w:sz="8" w:space="0" w:color="auto"/>
              <w:left w:val="nil"/>
              <w:bottom w:val="single" w:sz="8" w:space="0" w:color="auto"/>
              <w:right w:val="nil"/>
            </w:tcBorders>
            <w:shd w:val="clear" w:color="auto" w:fill="auto"/>
            <w:vAlign w:val="center"/>
            <w:hideMark/>
          </w:tcPr>
          <w:p w14:paraId="5B2E8D6C" w14:textId="77777777" w:rsidR="000F6636" w:rsidRPr="00EF7B59" w:rsidRDefault="000F6636" w:rsidP="00484DB0">
            <w:pPr>
              <w:rPr>
                <w:rFonts w:cs="Times New Roman"/>
                <w:color w:val="000000"/>
                <w:sz w:val="18"/>
                <w:szCs w:val="18"/>
              </w:rPr>
            </w:pPr>
            <w:r w:rsidRPr="00EF7B59">
              <w:rPr>
                <w:color w:val="000000"/>
                <w:sz w:val="18"/>
                <w:szCs w:val="18"/>
              </w:rPr>
              <w:t> </w:t>
            </w:r>
          </w:p>
        </w:tc>
        <w:tc>
          <w:tcPr>
            <w:tcW w:w="737" w:type="dxa"/>
            <w:tcBorders>
              <w:top w:val="single" w:sz="8" w:space="0" w:color="auto"/>
              <w:left w:val="nil"/>
              <w:bottom w:val="single" w:sz="8" w:space="0" w:color="auto"/>
              <w:right w:val="nil"/>
            </w:tcBorders>
            <w:shd w:val="clear" w:color="auto" w:fill="auto"/>
            <w:vAlign w:val="center"/>
            <w:hideMark/>
          </w:tcPr>
          <w:p w14:paraId="23F44A64" w14:textId="77777777" w:rsidR="000F6636" w:rsidRPr="00EF7B59" w:rsidRDefault="000F6636" w:rsidP="00484DB0">
            <w:pPr>
              <w:jc w:val="center"/>
              <w:rPr>
                <w:b/>
                <w:bCs/>
                <w:color w:val="000000"/>
                <w:sz w:val="18"/>
                <w:szCs w:val="18"/>
              </w:rPr>
            </w:pPr>
            <w:r w:rsidRPr="00EF7B59">
              <w:rPr>
                <w:b/>
                <w:bCs/>
                <w:color w:val="000000"/>
                <w:sz w:val="18"/>
                <w:szCs w:val="18"/>
              </w:rPr>
              <w:t>2023</w:t>
            </w:r>
          </w:p>
        </w:tc>
        <w:tc>
          <w:tcPr>
            <w:tcW w:w="737" w:type="dxa"/>
            <w:tcBorders>
              <w:top w:val="single" w:sz="8" w:space="0" w:color="auto"/>
              <w:left w:val="nil"/>
              <w:bottom w:val="single" w:sz="8" w:space="0" w:color="auto"/>
              <w:right w:val="nil"/>
            </w:tcBorders>
            <w:shd w:val="clear" w:color="auto" w:fill="auto"/>
            <w:vAlign w:val="center"/>
            <w:hideMark/>
          </w:tcPr>
          <w:p w14:paraId="6DD6B637" w14:textId="77777777" w:rsidR="000F6636" w:rsidRPr="00EF7B59" w:rsidRDefault="000F6636" w:rsidP="00484DB0">
            <w:pPr>
              <w:jc w:val="center"/>
              <w:rPr>
                <w:b/>
                <w:bCs/>
                <w:color w:val="000000"/>
                <w:sz w:val="18"/>
                <w:szCs w:val="18"/>
              </w:rPr>
            </w:pPr>
            <w:r w:rsidRPr="00EF7B59">
              <w:rPr>
                <w:b/>
                <w:bCs/>
                <w:color w:val="000000"/>
                <w:sz w:val="18"/>
                <w:szCs w:val="18"/>
              </w:rPr>
              <w:t>2024</w:t>
            </w:r>
          </w:p>
        </w:tc>
        <w:tc>
          <w:tcPr>
            <w:tcW w:w="737" w:type="dxa"/>
            <w:gridSpan w:val="2"/>
            <w:tcBorders>
              <w:top w:val="single" w:sz="8" w:space="0" w:color="auto"/>
              <w:left w:val="nil"/>
              <w:bottom w:val="single" w:sz="8" w:space="0" w:color="auto"/>
              <w:right w:val="nil"/>
            </w:tcBorders>
            <w:shd w:val="clear" w:color="auto" w:fill="auto"/>
            <w:vAlign w:val="center"/>
            <w:hideMark/>
          </w:tcPr>
          <w:p w14:paraId="61195EA7" w14:textId="77777777" w:rsidR="000F6636" w:rsidRPr="00EF7B59" w:rsidRDefault="000F6636" w:rsidP="00484DB0">
            <w:pPr>
              <w:jc w:val="center"/>
              <w:rPr>
                <w:b/>
                <w:bCs/>
                <w:color w:val="000000"/>
                <w:sz w:val="18"/>
                <w:szCs w:val="18"/>
              </w:rPr>
            </w:pPr>
            <w:r w:rsidRPr="00EF7B59">
              <w:rPr>
                <w:b/>
                <w:bCs/>
                <w:color w:val="000000"/>
                <w:sz w:val="18"/>
                <w:szCs w:val="18"/>
              </w:rPr>
              <w:t>2025</w:t>
            </w:r>
          </w:p>
        </w:tc>
        <w:tc>
          <w:tcPr>
            <w:tcW w:w="737" w:type="dxa"/>
            <w:tcBorders>
              <w:top w:val="single" w:sz="8" w:space="0" w:color="auto"/>
              <w:left w:val="nil"/>
              <w:bottom w:val="single" w:sz="8" w:space="0" w:color="auto"/>
              <w:right w:val="nil"/>
            </w:tcBorders>
            <w:shd w:val="clear" w:color="auto" w:fill="auto"/>
            <w:vAlign w:val="center"/>
          </w:tcPr>
          <w:p w14:paraId="2551247B" w14:textId="77777777" w:rsidR="000F6636" w:rsidRPr="00EF7B59" w:rsidRDefault="000F6636" w:rsidP="00484DB0">
            <w:pPr>
              <w:jc w:val="center"/>
              <w:rPr>
                <w:b/>
                <w:bCs/>
                <w:color w:val="000000"/>
                <w:sz w:val="18"/>
                <w:szCs w:val="18"/>
              </w:rPr>
            </w:pPr>
            <w:r w:rsidRPr="00EF7B59">
              <w:rPr>
                <w:b/>
                <w:bCs/>
                <w:color w:val="000000"/>
                <w:sz w:val="18"/>
                <w:szCs w:val="18"/>
              </w:rPr>
              <w:t>2026</w:t>
            </w:r>
          </w:p>
        </w:tc>
        <w:tc>
          <w:tcPr>
            <w:tcW w:w="737" w:type="dxa"/>
            <w:tcBorders>
              <w:top w:val="single" w:sz="8" w:space="0" w:color="auto"/>
              <w:left w:val="nil"/>
              <w:bottom w:val="single" w:sz="8" w:space="0" w:color="auto"/>
              <w:right w:val="nil"/>
            </w:tcBorders>
            <w:shd w:val="clear" w:color="auto" w:fill="auto"/>
            <w:vAlign w:val="center"/>
          </w:tcPr>
          <w:p w14:paraId="34F1472B" w14:textId="77777777" w:rsidR="000F6636" w:rsidRPr="00EF7B59" w:rsidRDefault="000F6636" w:rsidP="00484DB0">
            <w:pPr>
              <w:jc w:val="center"/>
              <w:rPr>
                <w:b/>
                <w:bCs/>
                <w:color w:val="000000"/>
                <w:sz w:val="18"/>
                <w:szCs w:val="18"/>
              </w:rPr>
            </w:pPr>
            <w:r w:rsidRPr="00EF7B59">
              <w:rPr>
                <w:b/>
                <w:bCs/>
                <w:color w:val="000000"/>
                <w:sz w:val="18"/>
                <w:szCs w:val="18"/>
              </w:rPr>
              <w:t>2027</w:t>
            </w:r>
          </w:p>
        </w:tc>
      </w:tr>
      <w:tr w:rsidR="000F6636" w:rsidRPr="0088520B" w14:paraId="0841BB57" w14:textId="77777777" w:rsidTr="00484DB0">
        <w:trPr>
          <w:trHeight w:val="276"/>
          <w:jc w:val="center"/>
        </w:trPr>
        <w:tc>
          <w:tcPr>
            <w:tcW w:w="5078" w:type="dxa"/>
            <w:tcBorders>
              <w:top w:val="single" w:sz="8" w:space="0" w:color="auto"/>
              <w:left w:val="nil"/>
              <w:right w:val="nil"/>
            </w:tcBorders>
            <w:shd w:val="clear" w:color="auto" w:fill="auto"/>
            <w:vAlign w:val="center"/>
            <w:hideMark/>
          </w:tcPr>
          <w:p w14:paraId="7A3B3D3E" w14:textId="77777777" w:rsidR="000F6636" w:rsidRPr="00EF7B59" w:rsidRDefault="000F6636" w:rsidP="00484DB0">
            <w:pPr>
              <w:rPr>
                <w:rFonts w:cs="Times New Roman"/>
                <w:color w:val="000000"/>
                <w:sz w:val="18"/>
                <w:szCs w:val="18"/>
              </w:rPr>
            </w:pPr>
            <w:r w:rsidRPr="00EF7B59">
              <w:rPr>
                <w:color w:val="000000"/>
                <w:sz w:val="18"/>
                <w:szCs w:val="18"/>
              </w:rPr>
              <w:lastRenderedPageBreak/>
              <w:t>Krátkodobá úroková miera EONIA (ročný priemer, %)</w:t>
            </w:r>
          </w:p>
        </w:tc>
        <w:tc>
          <w:tcPr>
            <w:tcW w:w="737" w:type="dxa"/>
            <w:tcBorders>
              <w:top w:val="single" w:sz="8" w:space="0" w:color="auto"/>
              <w:left w:val="nil"/>
              <w:bottom w:val="nil"/>
              <w:right w:val="nil"/>
            </w:tcBorders>
            <w:shd w:val="clear" w:color="auto" w:fill="auto"/>
            <w:vAlign w:val="bottom"/>
            <w:hideMark/>
          </w:tcPr>
          <w:p w14:paraId="4DA9706E" w14:textId="77777777" w:rsidR="000F6636" w:rsidRPr="00EF7B59" w:rsidRDefault="000F6636" w:rsidP="00484DB0">
            <w:pPr>
              <w:jc w:val="center"/>
              <w:rPr>
                <w:color w:val="000000"/>
                <w:sz w:val="20"/>
                <w:szCs w:val="18"/>
              </w:rPr>
            </w:pPr>
            <w:r w:rsidRPr="00EF7B59">
              <w:rPr>
                <w:color w:val="000000"/>
                <w:sz w:val="18"/>
                <w:szCs w:val="18"/>
              </w:rPr>
              <w:t>3,4</w:t>
            </w:r>
          </w:p>
        </w:tc>
        <w:tc>
          <w:tcPr>
            <w:tcW w:w="737" w:type="dxa"/>
            <w:tcBorders>
              <w:top w:val="single" w:sz="8" w:space="0" w:color="auto"/>
              <w:left w:val="nil"/>
              <w:bottom w:val="nil"/>
              <w:right w:val="nil"/>
            </w:tcBorders>
            <w:shd w:val="clear" w:color="auto" w:fill="auto"/>
            <w:vAlign w:val="bottom"/>
            <w:hideMark/>
          </w:tcPr>
          <w:p w14:paraId="784AFE01" w14:textId="77777777" w:rsidR="000F6636" w:rsidRPr="00EF7B59" w:rsidRDefault="000F6636" w:rsidP="00484DB0">
            <w:pPr>
              <w:jc w:val="center"/>
              <w:rPr>
                <w:color w:val="000000"/>
                <w:sz w:val="20"/>
                <w:szCs w:val="18"/>
              </w:rPr>
            </w:pPr>
            <w:r w:rsidRPr="00EF7B59">
              <w:rPr>
                <w:color w:val="000000"/>
                <w:sz w:val="18"/>
                <w:szCs w:val="18"/>
              </w:rPr>
              <w:t>3,9</w:t>
            </w:r>
          </w:p>
        </w:tc>
        <w:tc>
          <w:tcPr>
            <w:tcW w:w="737" w:type="dxa"/>
            <w:gridSpan w:val="2"/>
            <w:tcBorders>
              <w:top w:val="single" w:sz="8" w:space="0" w:color="auto"/>
              <w:left w:val="nil"/>
              <w:bottom w:val="nil"/>
              <w:right w:val="nil"/>
            </w:tcBorders>
            <w:shd w:val="clear" w:color="auto" w:fill="auto"/>
            <w:vAlign w:val="bottom"/>
            <w:hideMark/>
          </w:tcPr>
          <w:p w14:paraId="6FFF6898" w14:textId="77777777" w:rsidR="000F6636" w:rsidRPr="00EF7B59" w:rsidRDefault="000F6636" w:rsidP="00484DB0">
            <w:pPr>
              <w:jc w:val="center"/>
              <w:rPr>
                <w:color w:val="000000"/>
                <w:sz w:val="20"/>
                <w:szCs w:val="18"/>
              </w:rPr>
            </w:pPr>
            <w:r w:rsidRPr="00EF7B59">
              <w:rPr>
                <w:color w:val="000000"/>
                <w:sz w:val="18"/>
                <w:szCs w:val="18"/>
              </w:rPr>
              <w:t>3,4</w:t>
            </w:r>
          </w:p>
        </w:tc>
        <w:tc>
          <w:tcPr>
            <w:tcW w:w="737" w:type="dxa"/>
            <w:tcBorders>
              <w:top w:val="single" w:sz="8" w:space="0" w:color="auto"/>
              <w:left w:val="nil"/>
              <w:bottom w:val="nil"/>
              <w:right w:val="nil"/>
            </w:tcBorders>
            <w:shd w:val="clear" w:color="auto" w:fill="auto"/>
            <w:vAlign w:val="bottom"/>
          </w:tcPr>
          <w:p w14:paraId="345C6F5A" w14:textId="77777777" w:rsidR="000F6636" w:rsidRPr="00EF7B59" w:rsidRDefault="000F6636" w:rsidP="00484DB0">
            <w:pPr>
              <w:jc w:val="center"/>
              <w:rPr>
                <w:color w:val="000000"/>
                <w:sz w:val="20"/>
                <w:szCs w:val="18"/>
              </w:rPr>
            </w:pPr>
            <w:r w:rsidRPr="00EF7B59">
              <w:rPr>
                <w:color w:val="000000"/>
                <w:sz w:val="18"/>
                <w:szCs w:val="18"/>
              </w:rPr>
              <w:t>3,0</w:t>
            </w:r>
          </w:p>
        </w:tc>
        <w:tc>
          <w:tcPr>
            <w:tcW w:w="737" w:type="dxa"/>
            <w:tcBorders>
              <w:top w:val="single" w:sz="8" w:space="0" w:color="auto"/>
              <w:left w:val="nil"/>
              <w:bottom w:val="nil"/>
              <w:right w:val="nil"/>
            </w:tcBorders>
            <w:shd w:val="clear" w:color="auto" w:fill="auto"/>
            <w:vAlign w:val="bottom"/>
          </w:tcPr>
          <w:p w14:paraId="5928AB55" w14:textId="77777777" w:rsidR="000F6636" w:rsidRPr="00EF7B59" w:rsidRDefault="000F6636" w:rsidP="00484DB0">
            <w:pPr>
              <w:jc w:val="center"/>
              <w:rPr>
                <w:color w:val="000000"/>
                <w:sz w:val="20"/>
                <w:szCs w:val="18"/>
              </w:rPr>
            </w:pPr>
            <w:r w:rsidRPr="00EF7B59">
              <w:rPr>
                <w:color w:val="000000"/>
                <w:sz w:val="18"/>
                <w:szCs w:val="18"/>
              </w:rPr>
              <w:t>2,7</w:t>
            </w:r>
          </w:p>
        </w:tc>
      </w:tr>
      <w:tr w:rsidR="000F6636" w:rsidRPr="0088520B" w14:paraId="1FFF86BC" w14:textId="77777777" w:rsidTr="00484DB0">
        <w:trPr>
          <w:trHeight w:val="276"/>
          <w:jc w:val="center"/>
        </w:trPr>
        <w:tc>
          <w:tcPr>
            <w:tcW w:w="5078" w:type="dxa"/>
            <w:tcBorders>
              <w:top w:val="nil"/>
              <w:left w:val="nil"/>
              <w:bottom w:val="nil"/>
              <w:right w:val="nil"/>
            </w:tcBorders>
            <w:shd w:val="clear" w:color="auto" w:fill="auto"/>
            <w:vAlign w:val="center"/>
            <w:hideMark/>
          </w:tcPr>
          <w:p w14:paraId="5CBCBBD1" w14:textId="77777777" w:rsidR="000F6636" w:rsidRPr="00EF7B59" w:rsidRDefault="000F6636" w:rsidP="00484DB0">
            <w:pPr>
              <w:rPr>
                <w:color w:val="000000"/>
                <w:sz w:val="18"/>
                <w:szCs w:val="18"/>
              </w:rPr>
            </w:pPr>
            <w:r w:rsidRPr="00EF7B59">
              <w:rPr>
                <w:color w:val="000000"/>
                <w:sz w:val="18"/>
                <w:szCs w:val="18"/>
              </w:rPr>
              <w:t>Dlhodobá úroková miera 10Y-SLOVGB (ročný priemer, %)</w:t>
            </w:r>
          </w:p>
        </w:tc>
        <w:tc>
          <w:tcPr>
            <w:tcW w:w="737" w:type="dxa"/>
            <w:tcBorders>
              <w:top w:val="nil"/>
              <w:left w:val="nil"/>
              <w:bottom w:val="nil"/>
              <w:right w:val="nil"/>
            </w:tcBorders>
            <w:shd w:val="clear" w:color="auto" w:fill="auto"/>
            <w:vAlign w:val="bottom"/>
            <w:hideMark/>
          </w:tcPr>
          <w:p w14:paraId="4F7E1824" w14:textId="77777777" w:rsidR="000F6636" w:rsidRPr="00EF7B59" w:rsidRDefault="000F6636" w:rsidP="00484DB0">
            <w:pPr>
              <w:jc w:val="center"/>
              <w:rPr>
                <w:color w:val="000000"/>
                <w:sz w:val="20"/>
                <w:szCs w:val="18"/>
              </w:rPr>
            </w:pPr>
            <w:r w:rsidRPr="00EF7B59">
              <w:rPr>
                <w:color w:val="000000"/>
                <w:sz w:val="18"/>
                <w:szCs w:val="18"/>
              </w:rPr>
              <w:t>3,7</w:t>
            </w:r>
          </w:p>
        </w:tc>
        <w:tc>
          <w:tcPr>
            <w:tcW w:w="737" w:type="dxa"/>
            <w:tcBorders>
              <w:top w:val="nil"/>
              <w:left w:val="nil"/>
              <w:bottom w:val="nil"/>
              <w:right w:val="nil"/>
            </w:tcBorders>
            <w:shd w:val="clear" w:color="auto" w:fill="auto"/>
            <w:vAlign w:val="bottom"/>
            <w:hideMark/>
          </w:tcPr>
          <w:p w14:paraId="33710767" w14:textId="77777777" w:rsidR="000F6636" w:rsidRPr="00EF7B59" w:rsidRDefault="000F6636" w:rsidP="00484DB0">
            <w:pPr>
              <w:jc w:val="center"/>
              <w:rPr>
                <w:color w:val="000000"/>
                <w:sz w:val="20"/>
                <w:szCs w:val="18"/>
              </w:rPr>
            </w:pPr>
            <w:r w:rsidRPr="00EF7B59">
              <w:rPr>
                <w:color w:val="000000"/>
                <w:sz w:val="18"/>
                <w:szCs w:val="18"/>
              </w:rPr>
              <w:t>3,7</w:t>
            </w:r>
          </w:p>
        </w:tc>
        <w:tc>
          <w:tcPr>
            <w:tcW w:w="737" w:type="dxa"/>
            <w:gridSpan w:val="2"/>
            <w:tcBorders>
              <w:top w:val="nil"/>
              <w:left w:val="nil"/>
              <w:bottom w:val="nil"/>
              <w:right w:val="nil"/>
            </w:tcBorders>
            <w:shd w:val="clear" w:color="auto" w:fill="auto"/>
            <w:vAlign w:val="bottom"/>
            <w:hideMark/>
          </w:tcPr>
          <w:p w14:paraId="1235CA98" w14:textId="77777777" w:rsidR="000F6636" w:rsidRPr="00EF7B59" w:rsidRDefault="000F6636" w:rsidP="00484DB0">
            <w:pPr>
              <w:jc w:val="center"/>
              <w:rPr>
                <w:color w:val="000000"/>
                <w:sz w:val="20"/>
                <w:szCs w:val="18"/>
              </w:rPr>
            </w:pPr>
            <w:r w:rsidRPr="00EF7B59">
              <w:rPr>
                <w:color w:val="000000"/>
                <w:sz w:val="18"/>
                <w:szCs w:val="18"/>
              </w:rPr>
              <w:t>3,7</w:t>
            </w:r>
          </w:p>
        </w:tc>
        <w:tc>
          <w:tcPr>
            <w:tcW w:w="737" w:type="dxa"/>
            <w:tcBorders>
              <w:top w:val="nil"/>
              <w:left w:val="nil"/>
              <w:bottom w:val="nil"/>
              <w:right w:val="nil"/>
            </w:tcBorders>
            <w:shd w:val="clear" w:color="auto" w:fill="auto"/>
            <w:vAlign w:val="bottom"/>
          </w:tcPr>
          <w:p w14:paraId="34A9EA55" w14:textId="77777777" w:rsidR="000F6636" w:rsidRPr="00EF7B59" w:rsidRDefault="000F6636" w:rsidP="00484DB0">
            <w:pPr>
              <w:jc w:val="center"/>
              <w:rPr>
                <w:color w:val="000000"/>
                <w:sz w:val="20"/>
                <w:szCs w:val="18"/>
              </w:rPr>
            </w:pPr>
            <w:r w:rsidRPr="00EF7B59">
              <w:rPr>
                <w:color w:val="000000"/>
                <w:sz w:val="18"/>
                <w:szCs w:val="18"/>
              </w:rPr>
              <w:t>3,6</w:t>
            </w:r>
          </w:p>
        </w:tc>
        <w:tc>
          <w:tcPr>
            <w:tcW w:w="737" w:type="dxa"/>
            <w:tcBorders>
              <w:top w:val="nil"/>
              <w:left w:val="nil"/>
              <w:bottom w:val="nil"/>
              <w:right w:val="nil"/>
            </w:tcBorders>
            <w:shd w:val="clear" w:color="auto" w:fill="auto"/>
            <w:vAlign w:val="bottom"/>
          </w:tcPr>
          <w:p w14:paraId="758F92CC" w14:textId="77777777" w:rsidR="000F6636" w:rsidRPr="00EF7B59" w:rsidRDefault="000F6636" w:rsidP="00484DB0">
            <w:pPr>
              <w:jc w:val="center"/>
              <w:rPr>
                <w:color w:val="000000"/>
                <w:sz w:val="20"/>
                <w:szCs w:val="18"/>
              </w:rPr>
            </w:pPr>
            <w:r w:rsidRPr="00EF7B59">
              <w:rPr>
                <w:color w:val="000000"/>
                <w:sz w:val="18"/>
                <w:szCs w:val="18"/>
              </w:rPr>
              <w:t>3,6</w:t>
            </w:r>
          </w:p>
        </w:tc>
      </w:tr>
      <w:tr w:rsidR="000F6636" w:rsidRPr="0088520B" w14:paraId="5C96E645" w14:textId="77777777" w:rsidTr="00484DB0">
        <w:trPr>
          <w:trHeight w:val="276"/>
          <w:jc w:val="center"/>
        </w:trPr>
        <w:tc>
          <w:tcPr>
            <w:tcW w:w="5078" w:type="dxa"/>
            <w:tcBorders>
              <w:top w:val="nil"/>
              <w:left w:val="nil"/>
              <w:right w:val="nil"/>
            </w:tcBorders>
            <w:shd w:val="clear" w:color="auto" w:fill="auto"/>
            <w:vAlign w:val="center"/>
            <w:hideMark/>
          </w:tcPr>
          <w:p w14:paraId="28E0A00F" w14:textId="77777777" w:rsidR="000F6636" w:rsidRPr="00EF7B59" w:rsidRDefault="000F6636" w:rsidP="00484DB0">
            <w:pPr>
              <w:rPr>
                <w:color w:val="000000"/>
                <w:sz w:val="18"/>
                <w:szCs w:val="18"/>
              </w:rPr>
            </w:pPr>
            <w:r w:rsidRPr="00EF7B59">
              <w:rPr>
                <w:color w:val="000000"/>
                <w:sz w:val="18"/>
                <w:szCs w:val="18"/>
              </w:rPr>
              <w:t>Výmenný kurz USD/€ (ročný priemer) (eurozóna a krajiny ERM II)</w:t>
            </w:r>
          </w:p>
        </w:tc>
        <w:tc>
          <w:tcPr>
            <w:tcW w:w="737" w:type="dxa"/>
            <w:tcBorders>
              <w:top w:val="nil"/>
              <w:left w:val="nil"/>
              <w:bottom w:val="nil"/>
              <w:right w:val="nil"/>
            </w:tcBorders>
            <w:shd w:val="clear" w:color="auto" w:fill="auto"/>
            <w:vAlign w:val="bottom"/>
            <w:hideMark/>
          </w:tcPr>
          <w:p w14:paraId="4C69170C" w14:textId="77777777" w:rsidR="000F6636" w:rsidRPr="00EF7B59" w:rsidRDefault="000F6636" w:rsidP="00484DB0">
            <w:pPr>
              <w:jc w:val="center"/>
              <w:rPr>
                <w:color w:val="000000"/>
                <w:sz w:val="20"/>
                <w:szCs w:val="18"/>
              </w:rPr>
            </w:pPr>
            <w:r w:rsidRPr="00EF7B59">
              <w:rPr>
                <w:color w:val="000000"/>
                <w:sz w:val="18"/>
                <w:szCs w:val="18"/>
              </w:rPr>
              <w:t>1,1</w:t>
            </w:r>
          </w:p>
        </w:tc>
        <w:tc>
          <w:tcPr>
            <w:tcW w:w="737" w:type="dxa"/>
            <w:tcBorders>
              <w:top w:val="nil"/>
              <w:left w:val="nil"/>
              <w:bottom w:val="nil"/>
              <w:right w:val="nil"/>
            </w:tcBorders>
            <w:shd w:val="clear" w:color="auto" w:fill="auto"/>
            <w:vAlign w:val="bottom"/>
            <w:hideMark/>
          </w:tcPr>
          <w:p w14:paraId="76A5F8A7" w14:textId="77777777" w:rsidR="000F6636" w:rsidRPr="00EF7B59" w:rsidRDefault="000F6636" w:rsidP="00484DB0">
            <w:pPr>
              <w:jc w:val="center"/>
              <w:rPr>
                <w:color w:val="000000"/>
                <w:sz w:val="20"/>
                <w:szCs w:val="18"/>
              </w:rPr>
            </w:pPr>
            <w:r w:rsidRPr="00EF7B59">
              <w:rPr>
                <w:color w:val="000000"/>
                <w:sz w:val="18"/>
                <w:szCs w:val="18"/>
              </w:rPr>
              <w:t>1,1</w:t>
            </w:r>
          </w:p>
        </w:tc>
        <w:tc>
          <w:tcPr>
            <w:tcW w:w="737" w:type="dxa"/>
            <w:gridSpan w:val="2"/>
            <w:tcBorders>
              <w:top w:val="nil"/>
              <w:left w:val="nil"/>
              <w:bottom w:val="nil"/>
              <w:right w:val="nil"/>
            </w:tcBorders>
            <w:shd w:val="clear" w:color="auto" w:fill="auto"/>
            <w:vAlign w:val="bottom"/>
            <w:hideMark/>
          </w:tcPr>
          <w:p w14:paraId="584121F1" w14:textId="77777777" w:rsidR="000F6636" w:rsidRPr="00EF7B59" w:rsidRDefault="000F6636" w:rsidP="00484DB0">
            <w:pPr>
              <w:jc w:val="center"/>
              <w:rPr>
                <w:color w:val="000000"/>
                <w:sz w:val="20"/>
                <w:szCs w:val="18"/>
              </w:rPr>
            </w:pPr>
            <w:r w:rsidRPr="00EF7B59">
              <w:rPr>
                <w:color w:val="000000"/>
                <w:sz w:val="18"/>
                <w:szCs w:val="18"/>
              </w:rPr>
              <w:t>1,1</w:t>
            </w:r>
          </w:p>
        </w:tc>
        <w:tc>
          <w:tcPr>
            <w:tcW w:w="737" w:type="dxa"/>
            <w:tcBorders>
              <w:top w:val="nil"/>
              <w:left w:val="nil"/>
              <w:bottom w:val="nil"/>
              <w:right w:val="nil"/>
            </w:tcBorders>
            <w:shd w:val="clear" w:color="auto" w:fill="auto"/>
            <w:vAlign w:val="bottom"/>
          </w:tcPr>
          <w:p w14:paraId="55BFFD61" w14:textId="77777777" w:rsidR="000F6636" w:rsidRPr="00EF7B59" w:rsidRDefault="000F6636" w:rsidP="00484DB0">
            <w:pPr>
              <w:jc w:val="center"/>
              <w:rPr>
                <w:color w:val="000000"/>
                <w:sz w:val="20"/>
                <w:szCs w:val="18"/>
              </w:rPr>
            </w:pPr>
            <w:r w:rsidRPr="00EF7B59">
              <w:rPr>
                <w:color w:val="000000"/>
                <w:sz w:val="18"/>
                <w:szCs w:val="18"/>
              </w:rPr>
              <w:t>1,2</w:t>
            </w:r>
          </w:p>
        </w:tc>
        <w:tc>
          <w:tcPr>
            <w:tcW w:w="737" w:type="dxa"/>
            <w:tcBorders>
              <w:top w:val="nil"/>
              <w:left w:val="nil"/>
              <w:bottom w:val="nil"/>
              <w:right w:val="nil"/>
            </w:tcBorders>
            <w:shd w:val="clear" w:color="auto" w:fill="auto"/>
            <w:vAlign w:val="bottom"/>
          </w:tcPr>
          <w:p w14:paraId="4168627B" w14:textId="77777777" w:rsidR="000F6636" w:rsidRPr="00EF7B59" w:rsidRDefault="000F6636" w:rsidP="00484DB0">
            <w:pPr>
              <w:jc w:val="center"/>
              <w:rPr>
                <w:color w:val="000000"/>
                <w:sz w:val="20"/>
                <w:szCs w:val="18"/>
              </w:rPr>
            </w:pPr>
            <w:r w:rsidRPr="00EF7B59">
              <w:rPr>
                <w:color w:val="000000"/>
                <w:sz w:val="18"/>
                <w:szCs w:val="18"/>
              </w:rPr>
              <w:t>1,2</w:t>
            </w:r>
          </w:p>
        </w:tc>
      </w:tr>
      <w:tr w:rsidR="000F6636" w:rsidRPr="0088520B" w14:paraId="6447E28D" w14:textId="77777777" w:rsidTr="00484DB0">
        <w:trPr>
          <w:trHeight w:val="276"/>
          <w:jc w:val="center"/>
        </w:trPr>
        <w:tc>
          <w:tcPr>
            <w:tcW w:w="5078" w:type="dxa"/>
            <w:tcBorders>
              <w:top w:val="nil"/>
              <w:left w:val="nil"/>
              <w:right w:val="nil"/>
            </w:tcBorders>
            <w:shd w:val="clear" w:color="auto" w:fill="auto"/>
            <w:vAlign w:val="center"/>
          </w:tcPr>
          <w:p w14:paraId="240CB9E3" w14:textId="356DBF0D" w:rsidR="000F6636" w:rsidRPr="00EF7B59" w:rsidRDefault="000F6636" w:rsidP="00484DB0">
            <w:pPr>
              <w:rPr>
                <w:color w:val="000000"/>
                <w:sz w:val="18"/>
                <w:szCs w:val="18"/>
              </w:rPr>
            </w:pPr>
            <w:r w:rsidRPr="00EF7B59">
              <w:rPr>
                <w:color w:val="000000"/>
                <w:sz w:val="18"/>
                <w:szCs w:val="18"/>
              </w:rPr>
              <w:t xml:space="preserve">Nominálna efektívna </w:t>
            </w:r>
            <w:r w:rsidR="00E164F5">
              <w:rPr>
                <w:color w:val="000000"/>
                <w:sz w:val="18"/>
                <w:szCs w:val="18"/>
              </w:rPr>
              <w:t>výmenný kurz</w:t>
            </w:r>
          </w:p>
        </w:tc>
        <w:tc>
          <w:tcPr>
            <w:tcW w:w="737" w:type="dxa"/>
            <w:tcBorders>
              <w:top w:val="nil"/>
              <w:left w:val="nil"/>
              <w:bottom w:val="nil"/>
              <w:right w:val="nil"/>
            </w:tcBorders>
            <w:shd w:val="clear" w:color="auto" w:fill="auto"/>
            <w:vAlign w:val="bottom"/>
          </w:tcPr>
          <w:p w14:paraId="1744049F" w14:textId="77777777" w:rsidR="000F6636" w:rsidRPr="00EF7B59" w:rsidRDefault="000F6636" w:rsidP="00484DB0">
            <w:pPr>
              <w:jc w:val="center"/>
              <w:rPr>
                <w:sz w:val="20"/>
                <w:szCs w:val="18"/>
              </w:rPr>
            </w:pPr>
            <w:r w:rsidRPr="00EF7B59">
              <w:rPr>
                <w:color w:val="000000"/>
                <w:sz w:val="18"/>
                <w:szCs w:val="18"/>
              </w:rPr>
              <w:t>1,1</w:t>
            </w:r>
          </w:p>
        </w:tc>
        <w:tc>
          <w:tcPr>
            <w:tcW w:w="737" w:type="dxa"/>
            <w:tcBorders>
              <w:top w:val="nil"/>
              <w:left w:val="nil"/>
              <w:bottom w:val="nil"/>
              <w:right w:val="nil"/>
            </w:tcBorders>
            <w:shd w:val="clear" w:color="auto" w:fill="auto"/>
            <w:vAlign w:val="bottom"/>
          </w:tcPr>
          <w:p w14:paraId="2772025C" w14:textId="77777777" w:rsidR="000F6636" w:rsidRPr="00EF7B59" w:rsidRDefault="000F6636" w:rsidP="00484DB0">
            <w:pPr>
              <w:jc w:val="center"/>
              <w:rPr>
                <w:sz w:val="20"/>
                <w:szCs w:val="18"/>
              </w:rPr>
            </w:pPr>
            <w:r w:rsidRPr="00EF7B59">
              <w:rPr>
                <w:color w:val="000000"/>
                <w:sz w:val="18"/>
                <w:szCs w:val="18"/>
              </w:rPr>
              <w:t>-1,0</w:t>
            </w:r>
          </w:p>
        </w:tc>
        <w:tc>
          <w:tcPr>
            <w:tcW w:w="737" w:type="dxa"/>
            <w:gridSpan w:val="2"/>
            <w:tcBorders>
              <w:top w:val="nil"/>
              <w:left w:val="nil"/>
              <w:bottom w:val="nil"/>
              <w:right w:val="nil"/>
            </w:tcBorders>
            <w:shd w:val="clear" w:color="auto" w:fill="auto"/>
            <w:vAlign w:val="bottom"/>
          </w:tcPr>
          <w:p w14:paraId="5BD1388B" w14:textId="77777777" w:rsidR="000F6636" w:rsidRPr="00EF7B59" w:rsidRDefault="000F6636" w:rsidP="00484DB0">
            <w:pPr>
              <w:jc w:val="center"/>
              <w:rPr>
                <w:sz w:val="20"/>
                <w:szCs w:val="18"/>
              </w:rPr>
            </w:pPr>
            <w:r w:rsidRPr="00EF7B59">
              <w:rPr>
                <w:color w:val="000000"/>
                <w:sz w:val="18"/>
                <w:szCs w:val="18"/>
              </w:rPr>
              <w:t>0,1</w:t>
            </w:r>
          </w:p>
        </w:tc>
        <w:tc>
          <w:tcPr>
            <w:tcW w:w="737" w:type="dxa"/>
            <w:tcBorders>
              <w:top w:val="nil"/>
              <w:left w:val="nil"/>
              <w:bottom w:val="nil"/>
              <w:right w:val="nil"/>
            </w:tcBorders>
            <w:shd w:val="clear" w:color="auto" w:fill="auto"/>
            <w:vAlign w:val="bottom"/>
          </w:tcPr>
          <w:p w14:paraId="04732463" w14:textId="77777777" w:rsidR="000F6636" w:rsidRPr="00EF7B59" w:rsidRDefault="000F6636" w:rsidP="00484DB0">
            <w:pPr>
              <w:jc w:val="center"/>
              <w:rPr>
                <w:sz w:val="20"/>
                <w:szCs w:val="18"/>
              </w:rPr>
            </w:pPr>
            <w:r w:rsidRPr="00EF7B59">
              <w:rPr>
                <w:color w:val="000000"/>
                <w:sz w:val="18"/>
                <w:szCs w:val="18"/>
              </w:rPr>
              <w:t>0,3</w:t>
            </w:r>
          </w:p>
        </w:tc>
        <w:tc>
          <w:tcPr>
            <w:tcW w:w="737" w:type="dxa"/>
            <w:tcBorders>
              <w:top w:val="nil"/>
              <w:left w:val="nil"/>
              <w:bottom w:val="nil"/>
              <w:right w:val="nil"/>
            </w:tcBorders>
            <w:shd w:val="clear" w:color="auto" w:fill="auto"/>
            <w:vAlign w:val="bottom"/>
          </w:tcPr>
          <w:p w14:paraId="50478F0E" w14:textId="77777777" w:rsidR="000F6636" w:rsidRPr="00EF7B59" w:rsidRDefault="000F6636" w:rsidP="00484DB0">
            <w:pPr>
              <w:jc w:val="center"/>
              <w:rPr>
                <w:sz w:val="20"/>
                <w:szCs w:val="18"/>
              </w:rPr>
            </w:pPr>
            <w:r w:rsidRPr="00EF7B59">
              <w:rPr>
                <w:color w:val="000000"/>
                <w:sz w:val="18"/>
                <w:szCs w:val="18"/>
              </w:rPr>
              <w:t>0,1</w:t>
            </w:r>
          </w:p>
        </w:tc>
      </w:tr>
      <w:tr w:rsidR="000F6636" w:rsidRPr="0088520B" w14:paraId="028E53B3" w14:textId="77777777" w:rsidTr="00484DB0">
        <w:trPr>
          <w:trHeight w:val="276"/>
          <w:jc w:val="center"/>
        </w:trPr>
        <w:tc>
          <w:tcPr>
            <w:tcW w:w="5078" w:type="dxa"/>
            <w:tcBorders>
              <w:top w:val="nil"/>
              <w:left w:val="nil"/>
              <w:right w:val="nil"/>
            </w:tcBorders>
            <w:shd w:val="clear" w:color="auto" w:fill="auto"/>
            <w:vAlign w:val="center"/>
          </w:tcPr>
          <w:p w14:paraId="34CB2C97" w14:textId="77777777" w:rsidR="000F6636" w:rsidRPr="00EF7B59" w:rsidRDefault="000F6636" w:rsidP="00484DB0">
            <w:pPr>
              <w:rPr>
                <w:sz w:val="18"/>
                <w:szCs w:val="18"/>
              </w:rPr>
            </w:pPr>
            <w:r w:rsidRPr="00EF7B59">
              <w:rPr>
                <w:sz w:val="18"/>
                <w:szCs w:val="18"/>
              </w:rPr>
              <w:t>Svet okrem EU, rast HDP (%)</w:t>
            </w:r>
          </w:p>
        </w:tc>
        <w:tc>
          <w:tcPr>
            <w:tcW w:w="737" w:type="dxa"/>
            <w:tcBorders>
              <w:top w:val="nil"/>
              <w:left w:val="nil"/>
              <w:bottom w:val="nil"/>
              <w:right w:val="nil"/>
            </w:tcBorders>
            <w:shd w:val="clear" w:color="auto" w:fill="auto"/>
            <w:vAlign w:val="center"/>
          </w:tcPr>
          <w:p w14:paraId="717A6FE0" w14:textId="77777777" w:rsidR="000F6636" w:rsidRPr="00EF7B59" w:rsidRDefault="000F6636" w:rsidP="00484DB0">
            <w:pPr>
              <w:jc w:val="center"/>
              <w:rPr>
                <w:sz w:val="20"/>
                <w:szCs w:val="18"/>
              </w:rPr>
            </w:pPr>
            <w:r w:rsidRPr="00EF7B59">
              <w:rPr>
                <w:sz w:val="20"/>
                <w:szCs w:val="18"/>
              </w:rPr>
              <w:t>-</w:t>
            </w:r>
          </w:p>
        </w:tc>
        <w:tc>
          <w:tcPr>
            <w:tcW w:w="737" w:type="dxa"/>
            <w:tcBorders>
              <w:top w:val="nil"/>
              <w:left w:val="nil"/>
              <w:bottom w:val="nil"/>
              <w:right w:val="nil"/>
            </w:tcBorders>
            <w:shd w:val="clear" w:color="auto" w:fill="auto"/>
            <w:vAlign w:val="center"/>
          </w:tcPr>
          <w:p w14:paraId="0122C81C" w14:textId="77777777" w:rsidR="000F6636" w:rsidRPr="00EF7B59" w:rsidRDefault="000F6636" w:rsidP="00484DB0">
            <w:pPr>
              <w:jc w:val="center"/>
              <w:rPr>
                <w:sz w:val="20"/>
                <w:szCs w:val="18"/>
              </w:rPr>
            </w:pPr>
            <w:r w:rsidRPr="00EF7B59">
              <w:rPr>
                <w:sz w:val="20"/>
                <w:szCs w:val="18"/>
              </w:rPr>
              <w:t>-</w:t>
            </w:r>
          </w:p>
        </w:tc>
        <w:tc>
          <w:tcPr>
            <w:tcW w:w="737" w:type="dxa"/>
            <w:gridSpan w:val="2"/>
            <w:tcBorders>
              <w:top w:val="nil"/>
              <w:left w:val="nil"/>
              <w:bottom w:val="nil"/>
              <w:right w:val="nil"/>
            </w:tcBorders>
            <w:shd w:val="clear" w:color="auto" w:fill="auto"/>
            <w:vAlign w:val="center"/>
          </w:tcPr>
          <w:p w14:paraId="2E6384A8" w14:textId="77777777" w:rsidR="000F6636" w:rsidRPr="00EF7B59" w:rsidRDefault="000F6636" w:rsidP="00484DB0">
            <w:pPr>
              <w:jc w:val="center"/>
              <w:rPr>
                <w:sz w:val="20"/>
                <w:szCs w:val="18"/>
              </w:rPr>
            </w:pPr>
            <w:r w:rsidRPr="00EF7B59">
              <w:rPr>
                <w:sz w:val="20"/>
                <w:szCs w:val="18"/>
              </w:rPr>
              <w:t>-</w:t>
            </w:r>
          </w:p>
        </w:tc>
        <w:tc>
          <w:tcPr>
            <w:tcW w:w="737" w:type="dxa"/>
            <w:tcBorders>
              <w:top w:val="nil"/>
              <w:left w:val="nil"/>
              <w:bottom w:val="nil"/>
              <w:right w:val="nil"/>
            </w:tcBorders>
            <w:shd w:val="clear" w:color="auto" w:fill="auto"/>
            <w:vAlign w:val="center"/>
          </w:tcPr>
          <w:p w14:paraId="3AE4FA7F" w14:textId="77777777" w:rsidR="000F6636" w:rsidRPr="00EF7B59" w:rsidRDefault="000F6636" w:rsidP="00484DB0">
            <w:pPr>
              <w:jc w:val="center"/>
              <w:rPr>
                <w:sz w:val="20"/>
                <w:szCs w:val="18"/>
              </w:rPr>
            </w:pPr>
            <w:r w:rsidRPr="00EF7B59">
              <w:rPr>
                <w:sz w:val="20"/>
                <w:szCs w:val="18"/>
              </w:rPr>
              <w:t>-</w:t>
            </w:r>
          </w:p>
        </w:tc>
        <w:tc>
          <w:tcPr>
            <w:tcW w:w="737" w:type="dxa"/>
            <w:tcBorders>
              <w:top w:val="nil"/>
              <w:left w:val="nil"/>
              <w:bottom w:val="nil"/>
              <w:right w:val="nil"/>
            </w:tcBorders>
            <w:shd w:val="clear" w:color="auto" w:fill="auto"/>
            <w:vAlign w:val="center"/>
          </w:tcPr>
          <w:p w14:paraId="7D6ABAD4" w14:textId="77777777" w:rsidR="000F6636" w:rsidRPr="00EF7B59" w:rsidRDefault="000F6636" w:rsidP="00484DB0">
            <w:pPr>
              <w:jc w:val="center"/>
              <w:rPr>
                <w:sz w:val="20"/>
                <w:szCs w:val="18"/>
              </w:rPr>
            </w:pPr>
            <w:r w:rsidRPr="00EF7B59">
              <w:rPr>
                <w:sz w:val="20"/>
                <w:szCs w:val="18"/>
              </w:rPr>
              <w:t>-</w:t>
            </w:r>
          </w:p>
        </w:tc>
      </w:tr>
      <w:tr w:rsidR="000F6636" w:rsidRPr="0088520B" w14:paraId="29CF8DCA" w14:textId="77777777" w:rsidTr="00484DB0">
        <w:trPr>
          <w:trHeight w:val="276"/>
          <w:jc w:val="center"/>
        </w:trPr>
        <w:tc>
          <w:tcPr>
            <w:tcW w:w="5078" w:type="dxa"/>
            <w:tcBorders>
              <w:top w:val="nil"/>
              <w:left w:val="nil"/>
              <w:right w:val="nil"/>
            </w:tcBorders>
            <w:shd w:val="clear" w:color="auto" w:fill="auto"/>
            <w:vAlign w:val="center"/>
          </w:tcPr>
          <w:p w14:paraId="292DB718" w14:textId="77777777" w:rsidR="000F6636" w:rsidRPr="00EF7B59" w:rsidRDefault="000F6636" w:rsidP="00484DB0">
            <w:pPr>
              <w:rPr>
                <w:sz w:val="18"/>
                <w:szCs w:val="18"/>
              </w:rPr>
            </w:pPr>
            <w:r w:rsidRPr="00EF7B59">
              <w:rPr>
                <w:sz w:val="18"/>
                <w:szCs w:val="18"/>
              </w:rPr>
              <w:t xml:space="preserve">Rast HDP EÚ (%) </w:t>
            </w:r>
          </w:p>
        </w:tc>
        <w:tc>
          <w:tcPr>
            <w:tcW w:w="737" w:type="dxa"/>
            <w:tcBorders>
              <w:top w:val="nil"/>
              <w:left w:val="nil"/>
              <w:bottom w:val="nil"/>
              <w:right w:val="nil"/>
            </w:tcBorders>
            <w:shd w:val="clear" w:color="auto" w:fill="auto"/>
            <w:vAlign w:val="bottom"/>
          </w:tcPr>
          <w:p w14:paraId="59D5EEFC" w14:textId="77777777" w:rsidR="000F6636" w:rsidRPr="00EF7B59" w:rsidRDefault="000F6636" w:rsidP="00484DB0">
            <w:pPr>
              <w:jc w:val="center"/>
              <w:rPr>
                <w:sz w:val="20"/>
                <w:szCs w:val="18"/>
              </w:rPr>
            </w:pPr>
            <w:r w:rsidRPr="00EF7B59">
              <w:rPr>
                <w:sz w:val="18"/>
                <w:szCs w:val="18"/>
              </w:rPr>
              <w:t>-</w:t>
            </w:r>
          </w:p>
        </w:tc>
        <w:tc>
          <w:tcPr>
            <w:tcW w:w="737" w:type="dxa"/>
            <w:tcBorders>
              <w:top w:val="nil"/>
              <w:left w:val="nil"/>
              <w:bottom w:val="nil"/>
              <w:right w:val="nil"/>
            </w:tcBorders>
            <w:shd w:val="clear" w:color="auto" w:fill="auto"/>
            <w:vAlign w:val="bottom"/>
          </w:tcPr>
          <w:p w14:paraId="7F3E0D2A" w14:textId="77777777" w:rsidR="000F6636" w:rsidRPr="00EF7B59" w:rsidRDefault="000F6636" w:rsidP="00484DB0">
            <w:pPr>
              <w:jc w:val="center"/>
              <w:rPr>
                <w:sz w:val="20"/>
                <w:szCs w:val="18"/>
              </w:rPr>
            </w:pPr>
            <w:r w:rsidRPr="00EF7B59">
              <w:rPr>
                <w:sz w:val="18"/>
                <w:szCs w:val="18"/>
              </w:rPr>
              <w:t xml:space="preserve"> -</w:t>
            </w:r>
          </w:p>
        </w:tc>
        <w:tc>
          <w:tcPr>
            <w:tcW w:w="737" w:type="dxa"/>
            <w:gridSpan w:val="2"/>
            <w:tcBorders>
              <w:top w:val="nil"/>
              <w:left w:val="nil"/>
              <w:bottom w:val="nil"/>
              <w:right w:val="nil"/>
            </w:tcBorders>
            <w:shd w:val="clear" w:color="auto" w:fill="auto"/>
            <w:vAlign w:val="bottom"/>
          </w:tcPr>
          <w:p w14:paraId="0A8BF960" w14:textId="77777777" w:rsidR="000F6636" w:rsidRPr="00EF7B59" w:rsidRDefault="000F6636" w:rsidP="00484DB0">
            <w:pPr>
              <w:jc w:val="center"/>
              <w:rPr>
                <w:sz w:val="20"/>
                <w:szCs w:val="18"/>
              </w:rPr>
            </w:pPr>
            <w:r w:rsidRPr="00EF7B59">
              <w:rPr>
                <w:sz w:val="18"/>
                <w:szCs w:val="18"/>
              </w:rPr>
              <w:t xml:space="preserve"> -</w:t>
            </w:r>
          </w:p>
        </w:tc>
        <w:tc>
          <w:tcPr>
            <w:tcW w:w="737" w:type="dxa"/>
            <w:tcBorders>
              <w:top w:val="nil"/>
              <w:left w:val="nil"/>
              <w:bottom w:val="nil"/>
              <w:right w:val="nil"/>
            </w:tcBorders>
            <w:shd w:val="clear" w:color="auto" w:fill="auto"/>
            <w:vAlign w:val="bottom"/>
          </w:tcPr>
          <w:p w14:paraId="36EA87C1" w14:textId="77777777" w:rsidR="000F6636" w:rsidRPr="00EF7B59" w:rsidRDefault="000F6636" w:rsidP="00484DB0">
            <w:pPr>
              <w:jc w:val="center"/>
              <w:rPr>
                <w:sz w:val="20"/>
                <w:szCs w:val="18"/>
              </w:rPr>
            </w:pPr>
            <w:r w:rsidRPr="00EF7B59">
              <w:rPr>
                <w:sz w:val="18"/>
                <w:szCs w:val="18"/>
              </w:rPr>
              <w:t xml:space="preserve"> -</w:t>
            </w:r>
          </w:p>
        </w:tc>
        <w:tc>
          <w:tcPr>
            <w:tcW w:w="737" w:type="dxa"/>
            <w:tcBorders>
              <w:top w:val="nil"/>
              <w:left w:val="nil"/>
              <w:bottom w:val="nil"/>
              <w:right w:val="nil"/>
            </w:tcBorders>
            <w:shd w:val="clear" w:color="auto" w:fill="auto"/>
            <w:vAlign w:val="bottom"/>
          </w:tcPr>
          <w:p w14:paraId="5E66D393" w14:textId="77777777" w:rsidR="000F6636" w:rsidRPr="00EF7B59" w:rsidRDefault="000F6636" w:rsidP="00484DB0">
            <w:pPr>
              <w:jc w:val="center"/>
              <w:rPr>
                <w:sz w:val="20"/>
                <w:szCs w:val="18"/>
              </w:rPr>
            </w:pPr>
            <w:r w:rsidRPr="00EF7B59">
              <w:rPr>
                <w:sz w:val="18"/>
                <w:szCs w:val="18"/>
              </w:rPr>
              <w:t xml:space="preserve"> -</w:t>
            </w:r>
          </w:p>
        </w:tc>
      </w:tr>
      <w:tr w:rsidR="000F6636" w:rsidRPr="0088520B" w14:paraId="00CFE2B2" w14:textId="77777777" w:rsidTr="00484DB0">
        <w:trPr>
          <w:trHeight w:val="276"/>
          <w:jc w:val="center"/>
        </w:trPr>
        <w:tc>
          <w:tcPr>
            <w:tcW w:w="5078" w:type="dxa"/>
            <w:tcBorders>
              <w:top w:val="nil"/>
              <w:left w:val="nil"/>
              <w:right w:val="nil"/>
            </w:tcBorders>
            <w:shd w:val="clear" w:color="auto" w:fill="auto"/>
            <w:vAlign w:val="center"/>
          </w:tcPr>
          <w:p w14:paraId="1A7F3AA1" w14:textId="77777777" w:rsidR="000F6636" w:rsidRPr="00EF7B59" w:rsidRDefault="000F6636" w:rsidP="00484DB0">
            <w:pPr>
              <w:rPr>
                <w:sz w:val="18"/>
                <w:szCs w:val="18"/>
              </w:rPr>
            </w:pPr>
            <w:r w:rsidRPr="00EF7B59">
              <w:rPr>
                <w:sz w:val="18"/>
                <w:szCs w:val="18"/>
              </w:rPr>
              <w:t>Rast dôležitých zahraničných trhov (%)</w:t>
            </w:r>
          </w:p>
        </w:tc>
        <w:tc>
          <w:tcPr>
            <w:tcW w:w="737" w:type="dxa"/>
            <w:tcBorders>
              <w:top w:val="nil"/>
              <w:left w:val="nil"/>
              <w:bottom w:val="nil"/>
              <w:right w:val="nil"/>
            </w:tcBorders>
            <w:shd w:val="clear" w:color="auto" w:fill="auto"/>
            <w:vAlign w:val="bottom"/>
          </w:tcPr>
          <w:p w14:paraId="1DF8E777" w14:textId="77777777" w:rsidR="000F6636" w:rsidRPr="00EF7B59" w:rsidRDefault="000F6636" w:rsidP="00484DB0">
            <w:pPr>
              <w:jc w:val="center"/>
              <w:rPr>
                <w:sz w:val="20"/>
                <w:szCs w:val="18"/>
              </w:rPr>
            </w:pPr>
            <w:r w:rsidRPr="00EF7B59">
              <w:rPr>
                <w:sz w:val="18"/>
                <w:szCs w:val="18"/>
              </w:rPr>
              <w:t>0,0</w:t>
            </w:r>
          </w:p>
        </w:tc>
        <w:tc>
          <w:tcPr>
            <w:tcW w:w="737" w:type="dxa"/>
            <w:tcBorders>
              <w:top w:val="nil"/>
              <w:left w:val="nil"/>
              <w:bottom w:val="nil"/>
              <w:right w:val="nil"/>
            </w:tcBorders>
            <w:shd w:val="clear" w:color="auto" w:fill="auto"/>
            <w:vAlign w:val="bottom"/>
          </w:tcPr>
          <w:p w14:paraId="70D483D0" w14:textId="77777777" w:rsidR="000F6636" w:rsidRPr="00EF7B59" w:rsidRDefault="000F6636" w:rsidP="00484DB0">
            <w:pPr>
              <w:jc w:val="center"/>
              <w:rPr>
                <w:sz w:val="20"/>
                <w:szCs w:val="18"/>
              </w:rPr>
            </w:pPr>
            <w:r w:rsidRPr="00EF7B59">
              <w:rPr>
                <w:sz w:val="18"/>
                <w:szCs w:val="18"/>
              </w:rPr>
              <w:t>1,0</w:t>
            </w:r>
          </w:p>
        </w:tc>
        <w:tc>
          <w:tcPr>
            <w:tcW w:w="737" w:type="dxa"/>
            <w:gridSpan w:val="2"/>
            <w:tcBorders>
              <w:top w:val="nil"/>
              <w:left w:val="nil"/>
              <w:bottom w:val="nil"/>
              <w:right w:val="nil"/>
            </w:tcBorders>
            <w:shd w:val="clear" w:color="auto" w:fill="auto"/>
            <w:vAlign w:val="bottom"/>
          </w:tcPr>
          <w:p w14:paraId="23D1BC9F" w14:textId="77777777" w:rsidR="000F6636" w:rsidRPr="00EF7B59" w:rsidRDefault="000F6636" w:rsidP="00484DB0">
            <w:pPr>
              <w:jc w:val="center"/>
              <w:rPr>
                <w:sz w:val="20"/>
                <w:szCs w:val="18"/>
              </w:rPr>
            </w:pPr>
            <w:r w:rsidRPr="00EF7B59">
              <w:rPr>
                <w:sz w:val="18"/>
                <w:szCs w:val="18"/>
              </w:rPr>
              <w:t>2,1</w:t>
            </w:r>
          </w:p>
        </w:tc>
        <w:tc>
          <w:tcPr>
            <w:tcW w:w="737" w:type="dxa"/>
            <w:tcBorders>
              <w:top w:val="nil"/>
              <w:left w:val="nil"/>
              <w:bottom w:val="nil"/>
              <w:right w:val="nil"/>
            </w:tcBorders>
            <w:shd w:val="clear" w:color="auto" w:fill="auto"/>
            <w:vAlign w:val="bottom"/>
          </w:tcPr>
          <w:p w14:paraId="403DF58E" w14:textId="77777777" w:rsidR="000F6636" w:rsidRPr="00EF7B59" w:rsidRDefault="000F6636" w:rsidP="00484DB0">
            <w:pPr>
              <w:jc w:val="center"/>
              <w:rPr>
                <w:sz w:val="20"/>
                <w:szCs w:val="18"/>
              </w:rPr>
            </w:pPr>
            <w:r w:rsidRPr="00EF7B59">
              <w:rPr>
                <w:sz w:val="18"/>
                <w:szCs w:val="18"/>
              </w:rPr>
              <w:t>2,1</w:t>
            </w:r>
          </w:p>
        </w:tc>
        <w:tc>
          <w:tcPr>
            <w:tcW w:w="737" w:type="dxa"/>
            <w:tcBorders>
              <w:top w:val="nil"/>
              <w:left w:val="nil"/>
              <w:bottom w:val="nil"/>
              <w:right w:val="nil"/>
            </w:tcBorders>
            <w:shd w:val="clear" w:color="auto" w:fill="auto"/>
            <w:vAlign w:val="bottom"/>
          </w:tcPr>
          <w:p w14:paraId="2402219A" w14:textId="77777777" w:rsidR="000F6636" w:rsidRPr="00EF7B59" w:rsidRDefault="000F6636" w:rsidP="00484DB0">
            <w:pPr>
              <w:jc w:val="center"/>
              <w:rPr>
                <w:sz w:val="20"/>
                <w:szCs w:val="18"/>
              </w:rPr>
            </w:pPr>
            <w:r w:rsidRPr="00EF7B59">
              <w:rPr>
                <w:sz w:val="18"/>
                <w:szCs w:val="18"/>
              </w:rPr>
              <w:t>2,1</w:t>
            </w:r>
          </w:p>
        </w:tc>
      </w:tr>
      <w:tr w:rsidR="000F6636" w:rsidRPr="0088520B" w14:paraId="75763AA7" w14:textId="77777777" w:rsidTr="00484DB0">
        <w:trPr>
          <w:trHeight w:val="276"/>
          <w:jc w:val="center"/>
        </w:trPr>
        <w:tc>
          <w:tcPr>
            <w:tcW w:w="5078" w:type="dxa"/>
            <w:tcBorders>
              <w:top w:val="nil"/>
              <w:left w:val="nil"/>
              <w:right w:val="nil"/>
            </w:tcBorders>
            <w:shd w:val="clear" w:color="auto" w:fill="auto"/>
            <w:vAlign w:val="center"/>
          </w:tcPr>
          <w:p w14:paraId="423880A9" w14:textId="77777777" w:rsidR="000F6636" w:rsidRPr="00EF7B59" w:rsidRDefault="000F6636" w:rsidP="00484DB0">
            <w:pPr>
              <w:rPr>
                <w:sz w:val="18"/>
                <w:szCs w:val="18"/>
              </w:rPr>
            </w:pPr>
            <w:r w:rsidRPr="00EF7B59">
              <w:rPr>
                <w:sz w:val="18"/>
                <w:szCs w:val="18"/>
              </w:rPr>
              <w:t>Objem svetového importu, okrem EÚ (%)</w:t>
            </w:r>
          </w:p>
        </w:tc>
        <w:tc>
          <w:tcPr>
            <w:tcW w:w="737" w:type="dxa"/>
            <w:tcBorders>
              <w:top w:val="nil"/>
              <w:left w:val="nil"/>
              <w:bottom w:val="nil"/>
              <w:right w:val="nil"/>
            </w:tcBorders>
            <w:shd w:val="clear" w:color="auto" w:fill="auto"/>
            <w:vAlign w:val="bottom"/>
          </w:tcPr>
          <w:p w14:paraId="0CAC9D81" w14:textId="77777777" w:rsidR="000F6636" w:rsidRPr="00EF7B59" w:rsidRDefault="000F6636" w:rsidP="00484DB0">
            <w:pPr>
              <w:jc w:val="center"/>
              <w:rPr>
                <w:sz w:val="20"/>
                <w:szCs w:val="18"/>
              </w:rPr>
            </w:pPr>
          </w:p>
        </w:tc>
        <w:tc>
          <w:tcPr>
            <w:tcW w:w="737" w:type="dxa"/>
            <w:tcBorders>
              <w:top w:val="nil"/>
              <w:left w:val="nil"/>
              <w:bottom w:val="nil"/>
              <w:right w:val="nil"/>
            </w:tcBorders>
            <w:shd w:val="clear" w:color="auto" w:fill="auto"/>
            <w:vAlign w:val="bottom"/>
          </w:tcPr>
          <w:p w14:paraId="55230F17" w14:textId="77777777" w:rsidR="000F6636" w:rsidRPr="00EF7B59" w:rsidRDefault="000F6636" w:rsidP="00484DB0">
            <w:pPr>
              <w:jc w:val="center"/>
              <w:rPr>
                <w:sz w:val="20"/>
                <w:szCs w:val="18"/>
              </w:rPr>
            </w:pPr>
          </w:p>
        </w:tc>
        <w:tc>
          <w:tcPr>
            <w:tcW w:w="737" w:type="dxa"/>
            <w:gridSpan w:val="2"/>
            <w:tcBorders>
              <w:top w:val="nil"/>
              <w:left w:val="nil"/>
              <w:bottom w:val="nil"/>
              <w:right w:val="nil"/>
            </w:tcBorders>
            <w:shd w:val="clear" w:color="auto" w:fill="auto"/>
            <w:vAlign w:val="bottom"/>
          </w:tcPr>
          <w:p w14:paraId="3D06CC28" w14:textId="77777777" w:rsidR="000F6636" w:rsidRPr="00EF7B59" w:rsidRDefault="000F6636" w:rsidP="00484DB0">
            <w:pPr>
              <w:jc w:val="center"/>
              <w:rPr>
                <w:sz w:val="20"/>
                <w:szCs w:val="18"/>
              </w:rPr>
            </w:pPr>
          </w:p>
        </w:tc>
        <w:tc>
          <w:tcPr>
            <w:tcW w:w="737" w:type="dxa"/>
            <w:tcBorders>
              <w:top w:val="nil"/>
              <w:left w:val="nil"/>
              <w:bottom w:val="nil"/>
              <w:right w:val="nil"/>
            </w:tcBorders>
            <w:shd w:val="clear" w:color="auto" w:fill="auto"/>
            <w:vAlign w:val="bottom"/>
          </w:tcPr>
          <w:p w14:paraId="48D2FC76" w14:textId="77777777" w:rsidR="000F6636" w:rsidRPr="00EF7B59" w:rsidRDefault="000F6636" w:rsidP="00484DB0">
            <w:pPr>
              <w:jc w:val="center"/>
              <w:rPr>
                <w:sz w:val="20"/>
                <w:szCs w:val="18"/>
              </w:rPr>
            </w:pPr>
          </w:p>
        </w:tc>
        <w:tc>
          <w:tcPr>
            <w:tcW w:w="737" w:type="dxa"/>
            <w:tcBorders>
              <w:top w:val="nil"/>
              <w:left w:val="nil"/>
              <w:bottom w:val="nil"/>
              <w:right w:val="nil"/>
            </w:tcBorders>
            <w:shd w:val="clear" w:color="auto" w:fill="auto"/>
            <w:vAlign w:val="bottom"/>
          </w:tcPr>
          <w:p w14:paraId="612C2437" w14:textId="77777777" w:rsidR="000F6636" w:rsidRPr="00EF7B59" w:rsidRDefault="000F6636" w:rsidP="00484DB0">
            <w:pPr>
              <w:jc w:val="center"/>
              <w:rPr>
                <w:sz w:val="20"/>
                <w:szCs w:val="18"/>
              </w:rPr>
            </w:pPr>
          </w:p>
        </w:tc>
      </w:tr>
      <w:tr w:rsidR="000F6636" w:rsidRPr="0088520B" w14:paraId="7B8DBC4B" w14:textId="77777777" w:rsidTr="00484DB0">
        <w:trPr>
          <w:trHeight w:val="276"/>
          <w:jc w:val="center"/>
        </w:trPr>
        <w:tc>
          <w:tcPr>
            <w:tcW w:w="5078" w:type="dxa"/>
            <w:tcBorders>
              <w:top w:val="nil"/>
              <w:left w:val="nil"/>
              <w:bottom w:val="single" w:sz="8" w:space="0" w:color="auto"/>
              <w:right w:val="nil"/>
            </w:tcBorders>
            <w:shd w:val="clear" w:color="auto" w:fill="auto"/>
            <w:vAlign w:val="center"/>
          </w:tcPr>
          <w:p w14:paraId="53B50F5A" w14:textId="77777777" w:rsidR="000F6636" w:rsidRPr="00EF7B59" w:rsidRDefault="000F6636" w:rsidP="00484DB0">
            <w:pPr>
              <w:rPr>
                <w:color w:val="000000"/>
                <w:sz w:val="18"/>
                <w:szCs w:val="18"/>
              </w:rPr>
            </w:pPr>
            <w:r w:rsidRPr="00EF7B59">
              <w:rPr>
                <w:color w:val="000000"/>
                <w:sz w:val="18"/>
                <w:szCs w:val="18"/>
              </w:rPr>
              <w:t>Cena ropy (Brent, USD/barel)</w:t>
            </w:r>
          </w:p>
        </w:tc>
        <w:tc>
          <w:tcPr>
            <w:tcW w:w="737" w:type="dxa"/>
            <w:tcBorders>
              <w:top w:val="nil"/>
              <w:left w:val="nil"/>
              <w:bottom w:val="single" w:sz="8" w:space="0" w:color="auto"/>
              <w:right w:val="nil"/>
            </w:tcBorders>
            <w:shd w:val="clear" w:color="auto" w:fill="auto"/>
            <w:vAlign w:val="bottom"/>
          </w:tcPr>
          <w:p w14:paraId="641AE51B" w14:textId="77777777" w:rsidR="000F6636" w:rsidRPr="00EF7B59" w:rsidRDefault="000F6636" w:rsidP="00484DB0">
            <w:pPr>
              <w:jc w:val="center"/>
              <w:rPr>
                <w:color w:val="000000"/>
                <w:sz w:val="20"/>
                <w:szCs w:val="18"/>
              </w:rPr>
            </w:pPr>
            <w:r w:rsidRPr="00EF7B59">
              <w:rPr>
                <w:color w:val="000000"/>
                <w:sz w:val="18"/>
                <w:szCs w:val="18"/>
              </w:rPr>
              <w:t>82,2</w:t>
            </w:r>
          </w:p>
        </w:tc>
        <w:tc>
          <w:tcPr>
            <w:tcW w:w="737" w:type="dxa"/>
            <w:tcBorders>
              <w:top w:val="nil"/>
              <w:left w:val="nil"/>
              <w:bottom w:val="single" w:sz="8" w:space="0" w:color="auto"/>
              <w:right w:val="nil"/>
            </w:tcBorders>
            <w:shd w:val="clear" w:color="auto" w:fill="auto"/>
            <w:vAlign w:val="bottom"/>
          </w:tcPr>
          <w:p w14:paraId="76D42ED9" w14:textId="77777777" w:rsidR="000F6636" w:rsidRPr="00EF7B59" w:rsidRDefault="000F6636" w:rsidP="00484DB0">
            <w:pPr>
              <w:jc w:val="center"/>
              <w:rPr>
                <w:color w:val="000000"/>
                <w:sz w:val="20"/>
                <w:szCs w:val="18"/>
              </w:rPr>
            </w:pPr>
            <w:r w:rsidRPr="00EF7B59">
              <w:rPr>
                <w:color w:val="000000"/>
                <w:sz w:val="18"/>
                <w:szCs w:val="18"/>
              </w:rPr>
              <w:t>81,3</w:t>
            </w:r>
          </w:p>
        </w:tc>
        <w:tc>
          <w:tcPr>
            <w:tcW w:w="737" w:type="dxa"/>
            <w:gridSpan w:val="2"/>
            <w:tcBorders>
              <w:top w:val="nil"/>
              <w:left w:val="nil"/>
              <w:bottom w:val="single" w:sz="8" w:space="0" w:color="auto"/>
              <w:right w:val="nil"/>
            </w:tcBorders>
            <w:shd w:val="clear" w:color="auto" w:fill="auto"/>
            <w:vAlign w:val="bottom"/>
          </w:tcPr>
          <w:p w14:paraId="45162634" w14:textId="77777777" w:rsidR="000F6636" w:rsidRPr="00EF7B59" w:rsidRDefault="000F6636" w:rsidP="00484DB0">
            <w:pPr>
              <w:jc w:val="center"/>
              <w:rPr>
                <w:color w:val="000000"/>
                <w:sz w:val="20"/>
                <w:szCs w:val="18"/>
              </w:rPr>
            </w:pPr>
            <w:r w:rsidRPr="00EF7B59">
              <w:rPr>
                <w:color w:val="000000"/>
                <w:sz w:val="18"/>
                <w:szCs w:val="18"/>
              </w:rPr>
              <w:t>76,3</w:t>
            </w:r>
          </w:p>
        </w:tc>
        <w:tc>
          <w:tcPr>
            <w:tcW w:w="737" w:type="dxa"/>
            <w:tcBorders>
              <w:top w:val="nil"/>
              <w:left w:val="nil"/>
              <w:bottom w:val="single" w:sz="8" w:space="0" w:color="auto"/>
              <w:right w:val="nil"/>
            </w:tcBorders>
            <w:shd w:val="clear" w:color="auto" w:fill="auto"/>
            <w:vAlign w:val="bottom"/>
          </w:tcPr>
          <w:p w14:paraId="7DC47DF7" w14:textId="77777777" w:rsidR="000F6636" w:rsidRPr="00EF7B59" w:rsidRDefault="000F6636" w:rsidP="00484DB0">
            <w:pPr>
              <w:jc w:val="center"/>
              <w:rPr>
                <w:color w:val="000000"/>
                <w:sz w:val="20"/>
                <w:szCs w:val="18"/>
              </w:rPr>
            </w:pPr>
            <w:r w:rsidRPr="00EF7B59">
              <w:rPr>
                <w:color w:val="000000"/>
                <w:sz w:val="18"/>
                <w:szCs w:val="18"/>
              </w:rPr>
              <w:t>73,0</w:t>
            </w:r>
          </w:p>
        </w:tc>
        <w:tc>
          <w:tcPr>
            <w:tcW w:w="737" w:type="dxa"/>
            <w:tcBorders>
              <w:top w:val="nil"/>
              <w:left w:val="nil"/>
              <w:bottom w:val="single" w:sz="8" w:space="0" w:color="auto"/>
              <w:right w:val="nil"/>
            </w:tcBorders>
            <w:shd w:val="clear" w:color="auto" w:fill="auto"/>
            <w:vAlign w:val="bottom"/>
          </w:tcPr>
          <w:p w14:paraId="76216E34" w14:textId="77777777" w:rsidR="000F6636" w:rsidRPr="00EF7B59" w:rsidRDefault="000F6636" w:rsidP="00484DB0">
            <w:pPr>
              <w:jc w:val="center"/>
              <w:rPr>
                <w:color w:val="000000"/>
                <w:sz w:val="20"/>
                <w:szCs w:val="18"/>
              </w:rPr>
            </w:pPr>
            <w:r w:rsidRPr="00EF7B59">
              <w:rPr>
                <w:color w:val="000000"/>
                <w:sz w:val="18"/>
                <w:szCs w:val="18"/>
              </w:rPr>
              <w:t>71,0</w:t>
            </w:r>
          </w:p>
        </w:tc>
      </w:tr>
    </w:tbl>
    <w:p w14:paraId="077D8FBF" w14:textId="77777777" w:rsidR="000F6636" w:rsidRPr="008A4E77" w:rsidRDefault="000F6636" w:rsidP="000F6636">
      <w:pPr>
        <w:rPr>
          <w:b/>
          <w:color w:val="2C9ADC"/>
          <w:sz w:val="24"/>
          <w:szCs w:val="24"/>
        </w:rPr>
      </w:pPr>
    </w:p>
    <w:tbl>
      <w:tblPr>
        <w:tblW w:w="9184" w:type="dxa"/>
        <w:tblInd w:w="-10" w:type="dxa"/>
        <w:tblLayout w:type="fixed"/>
        <w:tblCellMar>
          <w:left w:w="70" w:type="dxa"/>
          <w:right w:w="70" w:type="dxa"/>
        </w:tblCellMar>
        <w:tblLook w:val="04A0" w:firstRow="1" w:lastRow="0" w:firstColumn="1" w:lastColumn="0" w:noHBand="0" w:noVBand="1"/>
      </w:tblPr>
      <w:tblGrid>
        <w:gridCol w:w="2420"/>
        <w:gridCol w:w="851"/>
        <w:gridCol w:w="141"/>
        <w:gridCol w:w="624"/>
        <w:gridCol w:w="1033"/>
        <w:gridCol w:w="997"/>
        <w:gridCol w:w="997"/>
        <w:gridCol w:w="1003"/>
        <w:gridCol w:w="893"/>
        <w:gridCol w:w="225"/>
      </w:tblGrid>
      <w:tr w:rsidR="000F6636" w:rsidRPr="00741F8C" w14:paraId="60C9FDDA" w14:textId="77777777" w:rsidTr="00484DB0">
        <w:trPr>
          <w:trHeight w:val="288"/>
        </w:trPr>
        <w:tc>
          <w:tcPr>
            <w:tcW w:w="9184" w:type="dxa"/>
            <w:gridSpan w:val="10"/>
            <w:tcBorders>
              <w:top w:val="nil"/>
              <w:left w:val="nil"/>
              <w:bottom w:val="single" w:sz="8" w:space="0" w:color="auto"/>
              <w:right w:val="nil"/>
            </w:tcBorders>
            <w:vAlign w:val="bottom"/>
          </w:tcPr>
          <w:p w14:paraId="770047A8" w14:textId="77777777" w:rsidR="000F6636" w:rsidRPr="00741F8C" w:rsidRDefault="000F6636" w:rsidP="00484DB0">
            <w:pPr>
              <w:rPr>
                <w:rFonts w:cs="Times New Roman"/>
                <w:b/>
                <w:bCs/>
                <w:color w:val="2C9ADC"/>
                <w:sz w:val="18"/>
                <w:szCs w:val="18"/>
              </w:rPr>
            </w:pPr>
            <w:r w:rsidRPr="00741F8C">
              <w:rPr>
                <w:rFonts w:eastAsia="Calibri"/>
                <w:b/>
                <w:color w:val="2C9ADC"/>
                <w:sz w:val="18"/>
                <w:szCs w:val="18"/>
              </w:rPr>
              <w:t>Tabuľka 9a – Alokácia zdrojov z Plánu obnovy (% HDP)</w:t>
            </w:r>
          </w:p>
        </w:tc>
      </w:tr>
      <w:tr w:rsidR="000F6636" w:rsidRPr="00741F8C" w14:paraId="45455585" w14:textId="77777777" w:rsidTr="00484DB0">
        <w:trPr>
          <w:trHeight w:val="199"/>
        </w:trPr>
        <w:tc>
          <w:tcPr>
            <w:tcW w:w="2420" w:type="dxa"/>
            <w:tcBorders>
              <w:top w:val="nil"/>
              <w:left w:val="nil"/>
              <w:bottom w:val="single" w:sz="8" w:space="0" w:color="auto"/>
              <w:right w:val="nil"/>
            </w:tcBorders>
            <w:shd w:val="clear" w:color="000000" w:fill="FFFFFF"/>
            <w:noWrap/>
            <w:vAlign w:val="center"/>
            <w:hideMark/>
          </w:tcPr>
          <w:p w14:paraId="401C7DEB" w14:textId="77777777" w:rsidR="000F6636" w:rsidRPr="00741F8C" w:rsidRDefault="000F6636" w:rsidP="00484DB0">
            <w:pPr>
              <w:rPr>
                <w:rFonts w:cs="Times New Roman"/>
                <w:b/>
                <w:bCs/>
                <w:color w:val="000000"/>
                <w:sz w:val="18"/>
                <w:szCs w:val="18"/>
              </w:rPr>
            </w:pPr>
            <w:r w:rsidRPr="00741F8C">
              <w:rPr>
                <w:rFonts w:cs="Times New Roman"/>
                <w:b/>
                <w:bCs/>
                <w:color w:val="000000"/>
                <w:sz w:val="18"/>
                <w:szCs w:val="18"/>
              </w:rPr>
              <w:t> </w:t>
            </w:r>
          </w:p>
        </w:tc>
        <w:tc>
          <w:tcPr>
            <w:tcW w:w="851" w:type="dxa"/>
            <w:tcBorders>
              <w:top w:val="nil"/>
              <w:left w:val="nil"/>
              <w:bottom w:val="single" w:sz="8" w:space="0" w:color="auto"/>
              <w:right w:val="nil"/>
            </w:tcBorders>
            <w:shd w:val="clear" w:color="000000" w:fill="FFFFFF"/>
            <w:noWrap/>
            <w:vAlign w:val="center"/>
            <w:hideMark/>
          </w:tcPr>
          <w:p w14:paraId="20178587" w14:textId="77777777" w:rsidR="000F6636" w:rsidRPr="00741F8C" w:rsidRDefault="000F6636" w:rsidP="00484DB0">
            <w:pPr>
              <w:jc w:val="center"/>
              <w:rPr>
                <w:rFonts w:cs="Times New Roman"/>
                <w:b/>
                <w:sz w:val="18"/>
                <w:szCs w:val="18"/>
              </w:rPr>
            </w:pPr>
            <w:r w:rsidRPr="00741F8C">
              <w:rPr>
                <w:rFonts w:cs="Times New Roman"/>
                <w:b/>
                <w:sz w:val="18"/>
                <w:szCs w:val="18"/>
              </w:rPr>
              <w:t>ESA</w:t>
            </w:r>
          </w:p>
        </w:tc>
        <w:tc>
          <w:tcPr>
            <w:tcW w:w="765" w:type="dxa"/>
            <w:gridSpan w:val="2"/>
            <w:tcBorders>
              <w:top w:val="nil"/>
              <w:left w:val="nil"/>
              <w:bottom w:val="single" w:sz="8" w:space="0" w:color="auto"/>
              <w:right w:val="nil"/>
            </w:tcBorders>
            <w:shd w:val="clear" w:color="000000" w:fill="FFFFFF"/>
          </w:tcPr>
          <w:p w14:paraId="416A47C3" w14:textId="77777777" w:rsidR="000F6636" w:rsidRPr="00741F8C" w:rsidRDefault="000F6636" w:rsidP="00484DB0">
            <w:pPr>
              <w:jc w:val="center"/>
              <w:rPr>
                <w:rFonts w:cs="Times New Roman"/>
                <w:b/>
                <w:sz w:val="18"/>
                <w:szCs w:val="18"/>
              </w:rPr>
            </w:pPr>
            <w:r w:rsidRPr="00741F8C">
              <w:rPr>
                <w:rFonts w:cs="Times New Roman"/>
                <w:b/>
                <w:sz w:val="18"/>
                <w:szCs w:val="18"/>
              </w:rPr>
              <w:t>2021</w:t>
            </w:r>
            <w:r w:rsidRPr="00741F8C">
              <w:rPr>
                <w:rFonts w:cs="Times New Roman"/>
                <w:b/>
                <w:sz w:val="18"/>
                <w:szCs w:val="18"/>
              </w:rPr>
              <w:br/>
              <w:t>(% HDP)</w:t>
            </w:r>
          </w:p>
        </w:tc>
        <w:tc>
          <w:tcPr>
            <w:tcW w:w="1033" w:type="dxa"/>
            <w:tcBorders>
              <w:top w:val="nil"/>
              <w:left w:val="nil"/>
              <w:bottom w:val="single" w:sz="8" w:space="0" w:color="auto"/>
              <w:right w:val="nil"/>
            </w:tcBorders>
            <w:shd w:val="clear" w:color="000000" w:fill="FFFFFF"/>
            <w:noWrap/>
            <w:vAlign w:val="center"/>
            <w:hideMark/>
          </w:tcPr>
          <w:p w14:paraId="254FD4C4" w14:textId="77777777" w:rsidR="000F6636" w:rsidRPr="00741F8C" w:rsidRDefault="000F6636" w:rsidP="00484DB0">
            <w:pPr>
              <w:jc w:val="center"/>
              <w:rPr>
                <w:rFonts w:cs="Times New Roman"/>
                <w:b/>
                <w:sz w:val="18"/>
                <w:szCs w:val="18"/>
              </w:rPr>
            </w:pPr>
            <w:r w:rsidRPr="00741F8C">
              <w:rPr>
                <w:rFonts w:cs="Times New Roman"/>
                <w:b/>
                <w:sz w:val="18"/>
                <w:szCs w:val="18"/>
              </w:rPr>
              <w:t>2022</w:t>
            </w:r>
            <w:r w:rsidRPr="00741F8C">
              <w:rPr>
                <w:rFonts w:cs="Times New Roman"/>
                <w:b/>
                <w:sz w:val="18"/>
                <w:szCs w:val="18"/>
              </w:rPr>
              <w:br/>
              <w:t>(% HDP)</w:t>
            </w:r>
          </w:p>
        </w:tc>
        <w:tc>
          <w:tcPr>
            <w:tcW w:w="997" w:type="dxa"/>
            <w:tcBorders>
              <w:top w:val="nil"/>
              <w:left w:val="nil"/>
              <w:bottom w:val="single" w:sz="8" w:space="0" w:color="auto"/>
              <w:right w:val="nil"/>
            </w:tcBorders>
            <w:shd w:val="clear" w:color="000000" w:fill="FFFFFF"/>
            <w:noWrap/>
            <w:vAlign w:val="center"/>
            <w:hideMark/>
          </w:tcPr>
          <w:p w14:paraId="02A21D47" w14:textId="77777777" w:rsidR="000F6636" w:rsidRPr="00741F8C" w:rsidRDefault="000F6636" w:rsidP="00484DB0">
            <w:pPr>
              <w:jc w:val="center"/>
              <w:rPr>
                <w:rFonts w:cs="Times New Roman"/>
                <w:b/>
                <w:sz w:val="18"/>
                <w:szCs w:val="18"/>
              </w:rPr>
            </w:pPr>
            <w:r w:rsidRPr="00741F8C">
              <w:rPr>
                <w:rFonts w:cs="Times New Roman"/>
                <w:b/>
                <w:sz w:val="18"/>
                <w:szCs w:val="18"/>
              </w:rPr>
              <w:t>2023</w:t>
            </w:r>
            <w:r w:rsidRPr="00741F8C">
              <w:rPr>
                <w:rFonts w:cs="Times New Roman"/>
                <w:b/>
                <w:sz w:val="18"/>
                <w:szCs w:val="18"/>
              </w:rPr>
              <w:br/>
              <w:t>(% HDP)</w:t>
            </w:r>
          </w:p>
        </w:tc>
        <w:tc>
          <w:tcPr>
            <w:tcW w:w="997" w:type="dxa"/>
            <w:tcBorders>
              <w:top w:val="nil"/>
              <w:left w:val="nil"/>
              <w:bottom w:val="single" w:sz="8" w:space="0" w:color="auto"/>
              <w:right w:val="nil"/>
            </w:tcBorders>
            <w:shd w:val="clear" w:color="000000" w:fill="FFFFFF"/>
            <w:noWrap/>
            <w:vAlign w:val="center"/>
            <w:hideMark/>
          </w:tcPr>
          <w:p w14:paraId="2049D781" w14:textId="77777777" w:rsidR="000F6636" w:rsidRPr="00741F8C" w:rsidRDefault="000F6636" w:rsidP="00484DB0">
            <w:pPr>
              <w:jc w:val="center"/>
              <w:rPr>
                <w:rFonts w:cs="Times New Roman"/>
                <w:b/>
                <w:sz w:val="18"/>
                <w:szCs w:val="18"/>
              </w:rPr>
            </w:pPr>
            <w:r w:rsidRPr="00741F8C">
              <w:rPr>
                <w:rFonts w:cs="Times New Roman"/>
                <w:b/>
                <w:sz w:val="18"/>
                <w:szCs w:val="18"/>
              </w:rPr>
              <w:t>2024</w:t>
            </w:r>
            <w:r w:rsidRPr="00741F8C">
              <w:rPr>
                <w:rFonts w:cs="Times New Roman"/>
                <w:b/>
                <w:sz w:val="18"/>
                <w:szCs w:val="18"/>
              </w:rPr>
              <w:br/>
              <w:t>(% HDP)</w:t>
            </w:r>
          </w:p>
        </w:tc>
        <w:tc>
          <w:tcPr>
            <w:tcW w:w="1003" w:type="dxa"/>
            <w:tcBorders>
              <w:top w:val="nil"/>
              <w:left w:val="nil"/>
              <w:bottom w:val="single" w:sz="8" w:space="0" w:color="auto"/>
              <w:right w:val="nil"/>
            </w:tcBorders>
            <w:shd w:val="clear" w:color="000000" w:fill="FFFFFF"/>
            <w:vAlign w:val="center"/>
          </w:tcPr>
          <w:p w14:paraId="4BDD37DF" w14:textId="77777777" w:rsidR="000F6636" w:rsidRPr="00741F8C" w:rsidRDefault="000F6636" w:rsidP="00484DB0">
            <w:pPr>
              <w:jc w:val="center"/>
              <w:rPr>
                <w:rFonts w:cs="Times New Roman"/>
                <w:b/>
                <w:sz w:val="18"/>
                <w:szCs w:val="18"/>
              </w:rPr>
            </w:pPr>
            <w:r w:rsidRPr="00741F8C">
              <w:rPr>
                <w:rFonts w:cs="Times New Roman"/>
                <w:b/>
                <w:sz w:val="18"/>
                <w:szCs w:val="18"/>
              </w:rPr>
              <w:t>2025</w:t>
            </w:r>
            <w:r w:rsidRPr="00741F8C">
              <w:rPr>
                <w:rFonts w:cs="Times New Roman"/>
                <w:b/>
                <w:sz w:val="18"/>
                <w:szCs w:val="18"/>
              </w:rPr>
              <w:br/>
              <w:t>(% HDP)</w:t>
            </w:r>
          </w:p>
        </w:tc>
        <w:tc>
          <w:tcPr>
            <w:tcW w:w="1118" w:type="dxa"/>
            <w:gridSpan w:val="2"/>
            <w:tcBorders>
              <w:top w:val="nil"/>
              <w:left w:val="nil"/>
              <w:bottom w:val="single" w:sz="8" w:space="0" w:color="auto"/>
              <w:right w:val="nil"/>
            </w:tcBorders>
            <w:shd w:val="clear" w:color="000000" w:fill="FFFFFF"/>
            <w:noWrap/>
            <w:vAlign w:val="center"/>
            <w:hideMark/>
          </w:tcPr>
          <w:p w14:paraId="00B545D9" w14:textId="77777777" w:rsidR="000F6636" w:rsidRPr="00741F8C" w:rsidRDefault="000F6636" w:rsidP="00484DB0">
            <w:pPr>
              <w:jc w:val="center"/>
              <w:rPr>
                <w:rFonts w:cs="Times New Roman"/>
                <w:b/>
                <w:sz w:val="18"/>
                <w:szCs w:val="18"/>
              </w:rPr>
            </w:pPr>
            <w:r w:rsidRPr="00741F8C">
              <w:rPr>
                <w:rFonts w:cs="Times New Roman"/>
                <w:b/>
                <w:sz w:val="18"/>
                <w:szCs w:val="18"/>
              </w:rPr>
              <w:t>2026</w:t>
            </w:r>
            <w:r w:rsidRPr="00741F8C">
              <w:rPr>
                <w:rFonts w:cs="Times New Roman"/>
                <w:b/>
                <w:sz w:val="18"/>
                <w:szCs w:val="18"/>
              </w:rPr>
              <w:br/>
              <w:t>(% HDP)</w:t>
            </w:r>
          </w:p>
        </w:tc>
      </w:tr>
      <w:tr w:rsidR="000F6636" w:rsidRPr="00741F8C" w14:paraId="0E7092FB" w14:textId="77777777" w:rsidTr="00484DB0">
        <w:trPr>
          <w:trHeight w:val="199"/>
        </w:trPr>
        <w:tc>
          <w:tcPr>
            <w:tcW w:w="2420" w:type="dxa"/>
            <w:tcBorders>
              <w:top w:val="nil"/>
              <w:left w:val="nil"/>
              <w:bottom w:val="nil"/>
              <w:right w:val="nil"/>
            </w:tcBorders>
            <w:shd w:val="clear" w:color="auto" w:fill="auto"/>
            <w:noWrap/>
            <w:vAlign w:val="center"/>
            <w:hideMark/>
          </w:tcPr>
          <w:p w14:paraId="0FEEB84C"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1. RRF granty zahrnuté v projekciách</w:t>
            </w:r>
          </w:p>
        </w:tc>
        <w:tc>
          <w:tcPr>
            <w:tcW w:w="851" w:type="dxa"/>
            <w:tcBorders>
              <w:top w:val="nil"/>
              <w:left w:val="nil"/>
              <w:bottom w:val="nil"/>
              <w:right w:val="nil"/>
            </w:tcBorders>
            <w:shd w:val="clear" w:color="auto" w:fill="auto"/>
            <w:vAlign w:val="center"/>
            <w:hideMark/>
          </w:tcPr>
          <w:p w14:paraId="5420E68B" w14:textId="77777777" w:rsidR="000F6636" w:rsidRPr="00741F8C" w:rsidRDefault="000F6636" w:rsidP="00484DB0">
            <w:pPr>
              <w:jc w:val="center"/>
              <w:rPr>
                <w:rFonts w:cs="Times New Roman"/>
                <w:b/>
                <w:sz w:val="18"/>
                <w:szCs w:val="18"/>
              </w:rPr>
            </w:pPr>
          </w:p>
        </w:tc>
        <w:tc>
          <w:tcPr>
            <w:tcW w:w="765" w:type="dxa"/>
            <w:gridSpan w:val="2"/>
            <w:tcBorders>
              <w:top w:val="nil"/>
              <w:left w:val="nil"/>
              <w:bottom w:val="nil"/>
              <w:right w:val="nil"/>
            </w:tcBorders>
            <w:vAlign w:val="center"/>
          </w:tcPr>
          <w:p w14:paraId="0D393F69" w14:textId="77777777" w:rsidR="000F6636" w:rsidRPr="00741F8C" w:rsidRDefault="000F6636" w:rsidP="00484DB0">
            <w:pPr>
              <w:pStyle w:val="Bezriadkovania"/>
              <w:jc w:val="center"/>
              <w:rPr>
                <w:b/>
                <w:sz w:val="18"/>
                <w:szCs w:val="18"/>
              </w:rPr>
            </w:pPr>
            <w:r w:rsidRPr="00741F8C">
              <w:rPr>
                <w:b/>
                <w:bCs/>
                <w:color w:val="000000"/>
                <w:sz w:val="18"/>
                <w:szCs w:val="18"/>
              </w:rPr>
              <w:t>0,0</w:t>
            </w:r>
          </w:p>
        </w:tc>
        <w:tc>
          <w:tcPr>
            <w:tcW w:w="1033" w:type="dxa"/>
            <w:tcBorders>
              <w:top w:val="nil"/>
              <w:left w:val="nil"/>
              <w:bottom w:val="nil"/>
              <w:right w:val="nil"/>
            </w:tcBorders>
            <w:shd w:val="clear" w:color="auto" w:fill="auto"/>
            <w:noWrap/>
            <w:vAlign w:val="center"/>
          </w:tcPr>
          <w:p w14:paraId="68425B9C" w14:textId="77777777" w:rsidR="000F6636" w:rsidRPr="00741F8C" w:rsidRDefault="000F6636" w:rsidP="00484DB0">
            <w:pPr>
              <w:pStyle w:val="Bezriadkovania"/>
              <w:jc w:val="center"/>
              <w:rPr>
                <w:b/>
                <w:sz w:val="18"/>
                <w:szCs w:val="18"/>
              </w:rPr>
            </w:pPr>
            <w:r w:rsidRPr="00741F8C">
              <w:rPr>
                <w:b/>
                <w:bCs/>
                <w:color w:val="000000"/>
                <w:sz w:val="18"/>
                <w:szCs w:val="18"/>
              </w:rPr>
              <w:t>0,0</w:t>
            </w:r>
          </w:p>
        </w:tc>
        <w:tc>
          <w:tcPr>
            <w:tcW w:w="997" w:type="dxa"/>
            <w:tcBorders>
              <w:top w:val="nil"/>
              <w:left w:val="nil"/>
              <w:bottom w:val="nil"/>
              <w:right w:val="nil"/>
            </w:tcBorders>
            <w:shd w:val="clear" w:color="auto" w:fill="auto"/>
            <w:noWrap/>
            <w:vAlign w:val="center"/>
          </w:tcPr>
          <w:p w14:paraId="54C15FEA" w14:textId="77777777" w:rsidR="000F6636" w:rsidRPr="00741F8C" w:rsidRDefault="000F6636" w:rsidP="00484DB0">
            <w:pPr>
              <w:pStyle w:val="Bezriadkovania"/>
              <w:jc w:val="center"/>
              <w:rPr>
                <w:b/>
                <w:sz w:val="18"/>
                <w:szCs w:val="18"/>
              </w:rPr>
            </w:pPr>
            <w:r w:rsidRPr="00741F8C">
              <w:rPr>
                <w:b/>
                <w:bCs/>
                <w:color w:val="000000"/>
                <w:sz w:val="18"/>
                <w:szCs w:val="18"/>
              </w:rPr>
              <w:t>0,3</w:t>
            </w:r>
          </w:p>
        </w:tc>
        <w:tc>
          <w:tcPr>
            <w:tcW w:w="997" w:type="dxa"/>
            <w:tcBorders>
              <w:top w:val="nil"/>
              <w:left w:val="nil"/>
              <w:bottom w:val="nil"/>
              <w:right w:val="nil"/>
            </w:tcBorders>
            <w:shd w:val="clear" w:color="auto" w:fill="auto"/>
            <w:noWrap/>
            <w:vAlign w:val="center"/>
          </w:tcPr>
          <w:p w14:paraId="19897199" w14:textId="77777777" w:rsidR="000F6636" w:rsidRPr="00741F8C" w:rsidRDefault="000F6636" w:rsidP="00484DB0">
            <w:pPr>
              <w:pStyle w:val="Bezriadkovania"/>
              <w:jc w:val="center"/>
              <w:rPr>
                <w:b/>
                <w:sz w:val="18"/>
                <w:szCs w:val="18"/>
              </w:rPr>
            </w:pPr>
            <w:r w:rsidRPr="00741F8C">
              <w:rPr>
                <w:b/>
                <w:bCs/>
                <w:color w:val="000000"/>
                <w:sz w:val="18"/>
                <w:szCs w:val="18"/>
              </w:rPr>
              <w:t>0,9</w:t>
            </w:r>
          </w:p>
        </w:tc>
        <w:tc>
          <w:tcPr>
            <w:tcW w:w="1003" w:type="dxa"/>
            <w:tcBorders>
              <w:top w:val="nil"/>
              <w:left w:val="nil"/>
              <w:bottom w:val="nil"/>
              <w:right w:val="nil"/>
            </w:tcBorders>
            <w:vAlign w:val="center"/>
          </w:tcPr>
          <w:p w14:paraId="48D7A90A" w14:textId="77777777" w:rsidR="000F6636" w:rsidRPr="00741F8C" w:rsidRDefault="000F6636" w:rsidP="00484DB0">
            <w:pPr>
              <w:pStyle w:val="Bezriadkovania"/>
              <w:jc w:val="center"/>
              <w:rPr>
                <w:b/>
                <w:sz w:val="18"/>
                <w:szCs w:val="18"/>
              </w:rPr>
            </w:pPr>
            <w:r w:rsidRPr="00741F8C">
              <w:rPr>
                <w:b/>
                <w:bCs/>
                <w:color w:val="000000"/>
                <w:sz w:val="18"/>
                <w:szCs w:val="18"/>
              </w:rPr>
              <w:t>0,8</w:t>
            </w:r>
          </w:p>
        </w:tc>
        <w:tc>
          <w:tcPr>
            <w:tcW w:w="1118" w:type="dxa"/>
            <w:gridSpan w:val="2"/>
            <w:tcBorders>
              <w:top w:val="nil"/>
              <w:left w:val="nil"/>
              <w:bottom w:val="nil"/>
              <w:right w:val="nil"/>
            </w:tcBorders>
            <w:shd w:val="clear" w:color="auto" w:fill="auto"/>
            <w:noWrap/>
            <w:vAlign w:val="center"/>
          </w:tcPr>
          <w:p w14:paraId="147CAFCA" w14:textId="77777777" w:rsidR="000F6636" w:rsidRPr="00741F8C" w:rsidRDefault="000F6636" w:rsidP="00484DB0">
            <w:pPr>
              <w:pStyle w:val="Bezriadkovania"/>
              <w:jc w:val="center"/>
              <w:rPr>
                <w:b/>
                <w:sz w:val="18"/>
                <w:szCs w:val="18"/>
              </w:rPr>
            </w:pPr>
            <w:r w:rsidRPr="00741F8C">
              <w:rPr>
                <w:b/>
                <w:bCs/>
                <w:color w:val="000000"/>
                <w:sz w:val="18"/>
                <w:szCs w:val="18"/>
              </w:rPr>
              <w:t>0,4</w:t>
            </w:r>
          </w:p>
        </w:tc>
      </w:tr>
      <w:tr w:rsidR="000F6636" w:rsidRPr="00741F8C" w14:paraId="40222043" w14:textId="77777777" w:rsidTr="00484DB0">
        <w:trPr>
          <w:trHeight w:val="199"/>
        </w:trPr>
        <w:tc>
          <w:tcPr>
            <w:tcW w:w="2420" w:type="dxa"/>
            <w:tcBorders>
              <w:top w:val="nil"/>
              <w:left w:val="nil"/>
              <w:bottom w:val="nil"/>
              <w:right w:val="nil"/>
            </w:tcBorders>
            <w:shd w:val="clear" w:color="auto" w:fill="auto"/>
            <w:noWrap/>
            <w:vAlign w:val="center"/>
            <w:hideMark/>
          </w:tcPr>
          <w:p w14:paraId="0FC35C50"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2. Vyplatené RRF granty z EÚ</w:t>
            </w:r>
          </w:p>
        </w:tc>
        <w:tc>
          <w:tcPr>
            <w:tcW w:w="851" w:type="dxa"/>
            <w:tcBorders>
              <w:top w:val="nil"/>
              <w:left w:val="nil"/>
              <w:bottom w:val="nil"/>
              <w:right w:val="nil"/>
            </w:tcBorders>
            <w:shd w:val="clear" w:color="auto" w:fill="auto"/>
            <w:vAlign w:val="center"/>
            <w:hideMark/>
          </w:tcPr>
          <w:p w14:paraId="54B91438" w14:textId="77777777" w:rsidR="000F6636" w:rsidRPr="00741F8C" w:rsidRDefault="000F6636" w:rsidP="00484DB0">
            <w:pPr>
              <w:jc w:val="center"/>
              <w:rPr>
                <w:rFonts w:cs="Times New Roman"/>
                <w:b/>
                <w:sz w:val="18"/>
                <w:szCs w:val="18"/>
              </w:rPr>
            </w:pPr>
          </w:p>
        </w:tc>
        <w:tc>
          <w:tcPr>
            <w:tcW w:w="765" w:type="dxa"/>
            <w:gridSpan w:val="2"/>
            <w:tcBorders>
              <w:top w:val="nil"/>
              <w:left w:val="nil"/>
              <w:bottom w:val="nil"/>
              <w:right w:val="nil"/>
            </w:tcBorders>
            <w:vAlign w:val="center"/>
          </w:tcPr>
          <w:p w14:paraId="5B499A29" w14:textId="77777777" w:rsidR="000F6636" w:rsidRPr="00741F8C" w:rsidRDefault="000F6636" w:rsidP="00484DB0">
            <w:pPr>
              <w:pStyle w:val="Bezriadkovania"/>
              <w:jc w:val="center"/>
              <w:rPr>
                <w:b/>
                <w:sz w:val="18"/>
                <w:szCs w:val="18"/>
              </w:rPr>
            </w:pPr>
            <w:r w:rsidRPr="00741F8C">
              <w:rPr>
                <w:b/>
                <w:bCs/>
                <w:color w:val="000000"/>
                <w:sz w:val="18"/>
                <w:szCs w:val="18"/>
              </w:rPr>
              <w:t>0,9</w:t>
            </w:r>
          </w:p>
        </w:tc>
        <w:tc>
          <w:tcPr>
            <w:tcW w:w="1033" w:type="dxa"/>
            <w:tcBorders>
              <w:top w:val="nil"/>
              <w:left w:val="nil"/>
              <w:bottom w:val="nil"/>
              <w:right w:val="nil"/>
            </w:tcBorders>
            <w:shd w:val="clear" w:color="auto" w:fill="auto"/>
            <w:noWrap/>
            <w:vAlign w:val="center"/>
          </w:tcPr>
          <w:p w14:paraId="31ABED5D" w14:textId="77777777" w:rsidR="000F6636" w:rsidRPr="00741F8C" w:rsidRDefault="000F6636" w:rsidP="00484DB0">
            <w:pPr>
              <w:pStyle w:val="Bezriadkovania"/>
              <w:jc w:val="center"/>
              <w:rPr>
                <w:b/>
                <w:sz w:val="18"/>
                <w:szCs w:val="18"/>
              </w:rPr>
            </w:pPr>
            <w:r w:rsidRPr="00741F8C">
              <w:rPr>
                <w:b/>
                <w:bCs/>
                <w:color w:val="000000"/>
                <w:sz w:val="18"/>
                <w:szCs w:val="18"/>
              </w:rPr>
              <w:t>0,4</w:t>
            </w:r>
          </w:p>
        </w:tc>
        <w:tc>
          <w:tcPr>
            <w:tcW w:w="997" w:type="dxa"/>
            <w:tcBorders>
              <w:top w:val="nil"/>
              <w:left w:val="nil"/>
              <w:bottom w:val="nil"/>
              <w:right w:val="nil"/>
            </w:tcBorders>
            <w:shd w:val="clear" w:color="auto" w:fill="auto"/>
            <w:noWrap/>
            <w:vAlign w:val="center"/>
          </w:tcPr>
          <w:p w14:paraId="2BBDD3CA" w14:textId="77777777" w:rsidR="000F6636" w:rsidRPr="00741F8C" w:rsidRDefault="000F6636" w:rsidP="00484DB0">
            <w:pPr>
              <w:pStyle w:val="Bezriadkovania"/>
              <w:jc w:val="center"/>
              <w:rPr>
                <w:b/>
                <w:sz w:val="18"/>
                <w:szCs w:val="18"/>
              </w:rPr>
            </w:pPr>
            <w:r w:rsidRPr="00741F8C">
              <w:rPr>
                <w:b/>
                <w:bCs/>
                <w:color w:val="000000"/>
                <w:sz w:val="18"/>
                <w:szCs w:val="18"/>
              </w:rPr>
              <w:t>1,1</w:t>
            </w:r>
          </w:p>
        </w:tc>
        <w:tc>
          <w:tcPr>
            <w:tcW w:w="997" w:type="dxa"/>
            <w:tcBorders>
              <w:top w:val="nil"/>
              <w:left w:val="nil"/>
              <w:bottom w:val="nil"/>
              <w:right w:val="nil"/>
            </w:tcBorders>
            <w:shd w:val="clear" w:color="auto" w:fill="auto"/>
            <w:noWrap/>
            <w:vAlign w:val="center"/>
          </w:tcPr>
          <w:p w14:paraId="2C72BF68" w14:textId="77777777" w:rsidR="000F6636" w:rsidRPr="00741F8C" w:rsidRDefault="000F6636" w:rsidP="00484DB0">
            <w:pPr>
              <w:pStyle w:val="Bezriadkovania"/>
              <w:jc w:val="center"/>
              <w:rPr>
                <w:b/>
                <w:sz w:val="18"/>
                <w:szCs w:val="18"/>
              </w:rPr>
            </w:pPr>
            <w:r w:rsidRPr="00741F8C">
              <w:rPr>
                <w:b/>
                <w:bCs/>
                <w:color w:val="000000"/>
                <w:sz w:val="18"/>
                <w:szCs w:val="18"/>
              </w:rPr>
              <w:t>1,7</w:t>
            </w:r>
          </w:p>
        </w:tc>
        <w:tc>
          <w:tcPr>
            <w:tcW w:w="1003" w:type="dxa"/>
            <w:tcBorders>
              <w:top w:val="nil"/>
              <w:left w:val="nil"/>
              <w:bottom w:val="nil"/>
              <w:right w:val="nil"/>
            </w:tcBorders>
            <w:vAlign w:val="center"/>
          </w:tcPr>
          <w:p w14:paraId="4925B626" w14:textId="77777777" w:rsidR="000F6636" w:rsidRPr="00741F8C" w:rsidRDefault="000F6636" w:rsidP="00484DB0">
            <w:pPr>
              <w:pStyle w:val="Bezriadkovania"/>
              <w:jc w:val="center"/>
              <w:rPr>
                <w:b/>
                <w:sz w:val="18"/>
                <w:szCs w:val="18"/>
              </w:rPr>
            </w:pPr>
            <w:r w:rsidRPr="00741F8C">
              <w:rPr>
                <w:b/>
                <w:bCs/>
                <w:color w:val="000000"/>
                <w:sz w:val="18"/>
                <w:szCs w:val="18"/>
              </w:rPr>
              <w:t>0,8</w:t>
            </w:r>
          </w:p>
        </w:tc>
        <w:tc>
          <w:tcPr>
            <w:tcW w:w="1118" w:type="dxa"/>
            <w:gridSpan w:val="2"/>
            <w:tcBorders>
              <w:top w:val="nil"/>
              <w:left w:val="nil"/>
              <w:bottom w:val="nil"/>
              <w:right w:val="nil"/>
            </w:tcBorders>
            <w:shd w:val="clear" w:color="auto" w:fill="auto"/>
            <w:noWrap/>
            <w:vAlign w:val="center"/>
          </w:tcPr>
          <w:p w14:paraId="46C9A094" w14:textId="77777777" w:rsidR="000F6636" w:rsidRPr="00741F8C" w:rsidRDefault="000F6636" w:rsidP="00484DB0">
            <w:pPr>
              <w:pStyle w:val="Bezriadkovania"/>
              <w:jc w:val="center"/>
              <w:rPr>
                <w:b/>
                <w:sz w:val="18"/>
                <w:szCs w:val="18"/>
              </w:rPr>
            </w:pPr>
            <w:r w:rsidRPr="00741F8C">
              <w:rPr>
                <w:b/>
                <w:bCs/>
                <w:color w:val="000000"/>
                <w:sz w:val="18"/>
                <w:szCs w:val="18"/>
              </w:rPr>
              <w:t>0,3</w:t>
            </w:r>
          </w:p>
        </w:tc>
      </w:tr>
      <w:tr w:rsidR="000F6636" w:rsidRPr="00741F8C" w14:paraId="02B72BF2" w14:textId="77777777" w:rsidTr="00484DB0">
        <w:trPr>
          <w:trHeight w:val="199"/>
        </w:trPr>
        <w:tc>
          <w:tcPr>
            <w:tcW w:w="2420" w:type="dxa"/>
            <w:tcBorders>
              <w:top w:val="nil"/>
              <w:left w:val="nil"/>
              <w:bottom w:val="nil"/>
              <w:right w:val="nil"/>
            </w:tcBorders>
            <w:shd w:val="clear" w:color="auto" w:fill="auto"/>
            <w:noWrap/>
            <w:vAlign w:val="center"/>
            <w:hideMark/>
          </w:tcPr>
          <w:p w14:paraId="783C83A7" w14:textId="77777777" w:rsidR="000F6636" w:rsidRPr="00741F8C" w:rsidRDefault="000F6636" w:rsidP="00484DB0">
            <w:pPr>
              <w:rPr>
                <w:rFonts w:cs="Times New Roman"/>
                <w:color w:val="000000"/>
                <w:sz w:val="18"/>
                <w:szCs w:val="18"/>
              </w:rPr>
            </w:pPr>
            <w:r w:rsidRPr="00741F8C">
              <w:rPr>
                <w:rFonts w:cs="Times New Roman"/>
                <w:color w:val="000000"/>
                <w:sz w:val="18"/>
                <w:szCs w:val="18"/>
              </w:rPr>
              <w:t>Výdavky financované RRF grantami</w:t>
            </w:r>
          </w:p>
        </w:tc>
        <w:tc>
          <w:tcPr>
            <w:tcW w:w="851" w:type="dxa"/>
            <w:tcBorders>
              <w:top w:val="nil"/>
              <w:left w:val="nil"/>
              <w:bottom w:val="nil"/>
              <w:right w:val="nil"/>
            </w:tcBorders>
            <w:shd w:val="clear" w:color="auto" w:fill="auto"/>
            <w:vAlign w:val="center"/>
            <w:hideMark/>
          </w:tcPr>
          <w:p w14:paraId="44938B4A" w14:textId="77777777" w:rsidR="000F6636" w:rsidRPr="00741F8C" w:rsidRDefault="000F6636" w:rsidP="00484DB0">
            <w:pPr>
              <w:jc w:val="center"/>
              <w:rPr>
                <w:rFonts w:cs="Times New Roman"/>
                <w:sz w:val="18"/>
                <w:szCs w:val="18"/>
              </w:rPr>
            </w:pPr>
          </w:p>
        </w:tc>
        <w:tc>
          <w:tcPr>
            <w:tcW w:w="765" w:type="dxa"/>
            <w:gridSpan w:val="2"/>
            <w:tcBorders>
              <w:top w:val="nil"/>
              <w:left w:val="nil"/>
              <w:bottom w:val="nil"/>
              <w:right w:val="nil"/>
            </w:tcBorders>
            <w:vAlign w:val="center"/>
          </w:tcPr>
          <w:p w14:paraId="6B5365D4" w14:textId="77777777" w:rsidR="000F6636" w:rsidRPr="00741F8C" w:rsidRDefault="000F6636" w:rsidP="00484DB0">
            <w:pPr>
              <w:pStyle w:val="Bezriadkovania"/>
              <w:jc w:val="center"/>
              <w:rPr>
                <w:b/>
                <w:sz w:val="18"/>
                <w:szCs w:val="18"/>
              </w:rPr>
            </w:pPr>
          </w:p>
        </w:tc>
        <w:tc>
          <w:tcPr>
            <w:tcW w:w="1033" w:type="dxa"/>
            <w:tcBorders>
              <w:top w:val="nil"/>
              <w:left w:val="nil"/>
              <w:bottom w:val="nil"/>
              <w:right w:val="nil"/>
            </w:tcBorders>
            <w:shd w:val="clear" w:color="auto" w:fill="auto"/>
            <w:noWrap/>
            <w:vAlign w:val="center"/>
          </w:tcPr>
          <w:p w14:paraId="79766EF2" w14:textId="77777777" w:rsidR="000F6636" w:rsidRPr="00741F8C" w:rsidRDefault="000F6636" w:rsidP="00484DB0">
            <w:pPr>
              <w:pStyle w:val="Bezriadkovania"/>
              <w:jc w:val="center"/>
              <w:rPr>
                <w:b/>
                <w:sz w:val="18"/>
                <w:szCs w:val="18"/>
              </w:rPr>
            </w:pPr>
          </w:p>
        </w:tc>
        <w:tc>
          <w:tcPr>
            <w:tcW w:w="997" w:type="dxa"/>
            <w:tcBorders>
              <w:top w:val="nil"/>
              <w:left w:val="nil"/>
              <w:bottom w:val="nil"/>
              <w:right w:val="nil"/>
            </w:tcBorders>
            <w:shd w:val="clear" w:color="auto" w:fill="auto"/>
            <w:noWrap/>
            <w:vAlign w:val="center"/>
          </w:tcPr>
          <w:p w14:paraId="4F8B40B6" w14:textId="77777777" w:rsidR="000F6636" w:rsidRPr="00741F8C" w:rsidRDefault="000F6636" w:rsidP="00484DB0">
            <w:pPr>
              <w:pStyle w:val="Bezriadkovania"/>
              <w:jc w:val="center"/>
              <w:rPr>
                <w:sz w:val="18"/>
                <w:szCs w:val="18"/>
              </w:rPr>
            </w:pPr>
          </w:p>
        </w:tc>
        <w:tc>
          <w:tcPr>
            <w:tcW w:w="997" w:type="dxa"/>
            <w:tcBorders>
              <w:top w:val="nil"/>
              <w:left w:val="nil"/>
              <w:bottom w:val="nil"/>
              <w:right w:val="nil"/>
            </w:tcBorders>
            <w:shd w:val="clear" w:color="auto" w:fill="auto"/>
            <w:noWrap/>
            <w:vAlign w:val="center"/>
          </w:tcPr>
          <w:p w14:paraId="2C3E5744" w14:textId="77777777" w:rsidR="000F6636" w:rsidRPr="00741F8C" w:rsidRDefault="000F6636" w:rsidP="00484DB0">
            <w:pPr>
              <w:pStyle w:val="Bezriadkovania"/>
              <w:jc w:val="center"/>
              <w:rPr>
                <w:sz w:val="18"/>
                <w:szCs w:val="18"/>
              </w:rPr>
            </w:pPr>
          </w:p>
        </w:tc>
        <w:tc>
          <w:tcPr>
            <w:tcW w:w="1003" w:type="dxa"/>
            <w:tcBorders>
              <w:top w:val="nil"/>
              <w:left w:val="nil"/>
              <w:bottom w:val="nil"/>
              <w:right w:val="nil"/>
            </w:tcBorders>
            <w:vAlign w:val="center"/>
          </w:tcPr>
          <w:p w14:paraId="6EA69AAD" w14:textId="77777777" w:rsidR="000F6636" w:rsidRPr="00741F8C" w:rsidRDefault="000F6636" w:rsidP="00484DB0">
            <w:pPr>
              <w:pStyle w:val="Bezriadkovania"/>
              <w:jc w:val="center"/>
              <w:rPr>
                <w:sz w:val="18"/>
                <w:szCs w:val="18"/>
              </w:rPr>
            </w:pPr>
          </w:p>
        </w:tc>
        <w:tc>
          <w:tcPr>
            <w:tcW w:w="1118" w:type="dxa"/>
            <w:gridSpan w:val="2"/>
            <w:tcBorders>
              <w:top w:val="nil"/>
              <w:left w:val="nil"/>
              <w:bottom w:val="nil"/>
              <w:right w:val="nil"/>
            </w:tcBorders>
            <w:shd w:val="clear" w:color="auto" w:fill="auto"/>
            <w:noWrap/>
            <w:vAlign w:val="center"/>
          </w:tcPr>
          <w:p w14:paraId="0888C9ED" w14:textId="77777777" w:rsidR="000F6636" w:rsidRPr="00741F8C" w:rsidRDefault="000F6636" w:rsidP="00484DB0">
            <w:pPr>
              <w:pStyle w:val="Bezriadkovania"/>
              <w:jc w:val="center"/>
              <w:rPr>
                <w:sz w:val="18"/>
                <w:szCs w:val="18"/>
              </w:rPr>
            </w:pPr>
          </w:p>
        </w:tc>
      </w:tr>
      <w:tr w:rsidR="000F6636" w:rsidRPr="00741F8C" w14:paraId="6DF3A36F" w14:textId="77777777" w:rsidTr="00484DB0">
        <w:trPr>
          <w:trHeight w:val="199"/>
        </w:trPr>
        <w:tc>
          <w:tcPr>
            <w:tcW w:w="2420" w:type="dxa"/>
            <w:tcBorders>
              <w:top w:val="nil"/>
              <w:left w:val="nil"/>
              <w:bottom w:val="nil"/>
              <w:right w:val="nil"/>
            </w:tcBorders>
            <w:shd w:val="clear" w:color="auto" w:fill="auto"/>
            <w:noWrap/>
            <w:vAlign w:val="center"/>
            <w:hideMark/>
          </w:tcPr>
          <w:p w14:paraId="481D81C9"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3.Celkové bežné výdavky</w:t>
            </w:r>
          </w:p>
        </w:tc>
        <w:tc>
          <w:tcPr>
            <w:tcW w:w="851" w:type="dxa"/>
            <w:tcBorders>
              <w:top w:val="nil"/>
              <w:left w:val="nil"/>
              <w:bottom w:val="nil"/>
              <w:right w:val="nil"/>
            </w:tcBorders>
            <w:shd w:val="clear" w:color="auto" w:fill="auto"/>
            <w:vAlign w:val="center"/>
            <w:hideMark/>
          </w:tcPr>
          <w:p w14:paraId="2F08CF91" w14:textId="77777777" w:rsidR="000F6636" w:rsidRPr="00741F8C" w:rsidRDefault="000F6636" w:rsidP="00484DB0">
            <w:pPr>
              <w:jc w:val="center"/>
              <w:rPr>
                <w:rFonts w:cs="Times New Roman"/>
                <w:b/>
                <w:sz w:val="18"/>
                <w:szCs w:val="18"/>
              </w:rPr>
            </w:pPr>
          </w:p>
        </w:tc>
        <w:tc>
          <w:tcPr>
            <w:tcW w:w="765" w:type="dxa"/>
            <w:gridSpan w:val="2"/>
            <w:tcBorders>
              <w:top w:val="nil"/>
              <w:left w:val="nil"/>
              <w:bottom w:val="nil"/>
              <w:right w:val="nil"/>
            </w:tcBorders>
            <w:vAlign w:val="center"/>
          </w:tcPr>
          <w:p w14:paraId="000FCC77" w14:textId="77777777" w:rsidR="000F6636" w:rsidRPr="00741F8C" w:rsidRDefault="000F6636" w:rsidP="00484DB0">
            <w:pPr>
              <w:pStyle w:val="Bezriadkovania"/>
              <w:jc w:val="center"/>
              <w:rPr>
                <w:b/>
                <w:sz w:val="18"/>
                <w:szCs w:val="18"/>
              </w:rPr>
            </w:pPr>
            <w:r w:rsidRPr="00741F8C">
              <w:rPr>
                <w:b/>
                <w:bCs/>
                <w:color w:val="000000"/>
                <w:sz w:val="18"/>
                <w:szCs w:val="18"/>
              </w:rPr>
              <w:t>0,0</w:t>
            </w:r>
          </w:p>
        </w:tc>
        <w:tc>
          <w:tcPr>
            <w:tcW w:w="1033" w:type="dxa"/>
            <w:tcBorders>
              <w:top w:val="nil"/>
              <w:left w:val="nil"/>
              <w:bottom w:val="nil"/>
              <w:right w:val="nil"/>
            </w:tcBorders>
            <w:shd w:val="clear" w:color="auto" w:fill="auto"/>
            <w:noWrap/>
            <w:vAlign w:val="center"/>
          </w:tcPr>
          <w:p w14:paraId="79239C16" w14:textId="77777777" w:rsidR="000F6636" w:rsidRPr="00741F8C" w:rsidRDefault="000F6636" w:rsidP="00484DB0">
            <w:pPr>
              <w:pStyle w:val="Bezriadkovania"/>
              <w:jc w:val="center"/>
              <w:rPr>
                <w:b/>
                <w:sz w:val="18"/>
                <w:szCs w:val="18"/>
              </w:rPr>
            </w:pPr>
            <w:r w:rsidRPr="00741F8C">
              <w:rPr>
                <w:b/>
                <w:bCs/>
                <w:color w:val="000000"/>
                <w:sz w:val="18"/>
                <w:szCs w:val="18"/>
              </w:rPr>
              <w:t>0,0</w:t>
            </w:r>
          </w:p>
        </w:tc>
        <w:tc>
          <w:tcPr>
            <w:tcW w:w="997" w:type="dxa"/>
            <w:tcBorders>
              <w:top w:val="nil"/>
              <w:left w:val="nil"/>
              <w:bottom w:val="nil"/>
              <w:right w:val="nil"/>
            </w:tcBorders>
            <w:shd w:val="clear" w:color="auto" w:fill="auto"/>
            <w:noWrap/>
            <w:vAlign w:val="center"/>
          </w:tcPr>
          <w:p w14:paraId="6627F44C" w14:textId="77777777" w:rsidR="000F6636" w:rsidRPr="00741F8C" w:rsidRDefault="000F6636" w:rsidP="00484DB0">
            <w:pPr>
              <w:pStyle w:val="Bezriadkovania"/>
              <w:jc w:val="center"/>
              <w:rPr>
                <w:b/>
                <w:sz w:val="18"/>
                <w:szCs w:val="18"/>
              </w:rPr>
            </w:pPr>
            <w:r w:rsidRPr="00741F8C">
              <w:rPr>
                <w:b/>
                <w:bCs/>
                <w:color w:val="000000"/>
                <w:sz w:val="18"/>
                <w:szCs w:val="18"/>
              </w:rPr>
              <w:t>0,1</w:t>
            </w:r>
          </w:p>
        </w:tc>
        <w:tc>
          <w:tcPr>
            <w:tcW w:w="997" w:type="dxa"/>
            <w:tcBorders>
              <w:top w:val="nil"/>
              <w:left w:val="nil"/>
              <w:bottom w:val="nil"/>
              <w:right w:val="nil"/>
            </w:tcBorders>
            <w:shd w:val="clear" w:color="auto" w:fill="auto"/>
            <w:noWrap/>
            <w:vAlign w:val="center"/>
          </w:tcPr>
          <w:p w14:paraId="25D3FC46" w14:textId="77777777" w:rsidR="000F6636" w:rsidRPr="00741F8C" w:rsidRDefault="000F6636" w:rsidP="00484DB0">
            <w:pPr>
              <w:pStyle w:val="Bezriadkovania"/>
              <w:jc w:val="center"/>
              <w:rPr>
                <w:b/>
                <w:sz w:val="18"/>
                <w:szCs w:val="18"/>
              </w:rPr>
            </w:pPr>
            <w:r w:rsidRPr="00741F8C">
              <w:rPr>
                <w:b/>
                <w:bCs/>
                <w:color w:val="000000"/>
                <w:sz w:val="18"/>
                <w:szCs w:val="18"/>
              </w:rPr>
              <w:t>0,3</w:t>
            </w:r>
          </w:p>
        </w:tc>
        <w:tc>
          <w:tcPr>
            <w:tcW w:w="1003" w:type="dxa"/>
            <w:tcBorders>
              <w:top w:val="nil"/>
              <w:left w:val="nil"/>
              <w:bottom w:val="nil"/>
              <w:right w:val="nil"/>
            </w:tcBorders>
            <w:vAlign w:val="center"/>
          </w:tcPr>
          <w:p w14:paraId="5081DC26" w14:textId="77777777" w:rsidR="000F6636" w:rsidRPr="00741F8C" w:rsidRDefault="000F6636" w:rsidP="00484DB0">
            <w:pPr>
              <w:pStyle w:val="Bezriadkovania"/>
              <w:jc w:val="center"/>
              <w:rPr>
                <w:b/>
                <w:sz w:val="18"/>
                <w:szCs w:val="18"/>
              </w:rPr>
            </w:pPr>
            <w:r w:rsidRPr="00741F8C">
              <w:rPr>
                <w:b/>
                <w:bCs/>
                <w:color w:val="000000"/>
                <w:sz w:val="18"/>
                <w:szCs w:val="18"/>
              </w:rPr>
              <w:t>0,2</w:t>
            </w:r>
          </w:p>
        </w:tc>
        <w:tc>
          <w:tcPr>
            <w:tcW w:w="1118" w:type="dxa"/>
            <w:gridSpan w:val="2"/>
            <w:tcBorders>
              <w:top w:val="nil"/>
              <w:left w:val="nil"/>
              <w:bottom w:val="nil"/>
              <w:right w:val="nil"/>
            </w:tcBorders>
            <w:shd w:val="clear" w:color="auto" w:fill="auto"/>
            <w:noWrap/>
            <w:vAlign w:val="center"/>
          </w:tcPr>
          <w:p w14:paraId="20E78C07" w14:textId="77777777" w:rsidR="000F6636" w:rsidRPr="00741F8C" w:rsidRDefault="000F6636" w:rsidP="00484DB0">
            <w:pPr>
              <w:pStyle w:val="Bezriadkovania"/>
              <w:jc w:val="center"/>
              <w:rPr>
                <w:b/>
                <w:sz w:val="18"/>
                <w:szCs w:val="18"/>
              </w:rPr>
            </w:pPr>
            <w:r w:rsidRPr="00741F8C">
              <w:rPr>
                <w:b/>
                <w:bCs/>
                <w:color w:val="000000"/>
                <w:sz w:val="18"/>
                <w:szCs w:val="18"/>
              </w:rPr>
              <w:t>0,1</w:t>
            </w:r>
          </w:p>
        </w:tc>
      </w:tr>
      <w:tr w:rsidR="000F6636" w:rsidRPr="00741F8C" w14:paraId="00BB469D" w14:textId="77777777" w:rsidTr="00484DB0">
        <w:trPr>
          <w:trHeight w:val="199"/>
        </w:trPr>
        <w:tc>
          <w:tcPr>
            <w:tcW w:w="2420" w:type="dxa"/>
            <w:tcBorders>
              <w:top w:val="nil"/>
              <w:left w:val="nil"/>
              <w:bottom w:val="nil"/>
              <w:right w:val="nil"/>
            </w:tcBorders>
            <w:shd w:val="clear" w:color="auto" w:fill="auto"/>
            <w:noWrap/>
            <w:vAlign w:val="center"/>
            <w:hideMark/>
          </w:tcPr>
          <w:p w14:paraId="36D1D0B0" w14:textId="77777777" w:rsidR="000F6636" w:rsidRPr="00741F8C" w:rsidRDefault="000F6636" w:rsidP="00484DB0">
            <w:pPr>
              <w:rPr>
                <w:rFonts w:cs="Times New Roman"/>
                <w:color w:val="000000"/>
                <w:sz w:val="18"/>
                <w:szCs w:val="18"/>
              </w:rPr>
            </w:pPr>
            <w:r w:rsidRPr="00741F8C">
              <w:rPr>
                <w:rFonts w:cs="Times New Roman"/>
                <w:color w:val="000000"/>
                <w:sz w:val="18"/>
                <w:szCs w:val="18"/>
              </w:rPr>
              <w:t>Z toho:</w:t>
            </w:r>
          </w:p>
        </w:tc>
        <w:tc>
          <w:tcPr>
            <w:tcW w:w="851" w:type="dxa"/>
            <w:tcBorders>
              <w:top w:val="nil"/>
              <w:left w:val="nil"/>
              <w:bottom w:val="nil"/>
              <w:right w:val="nil"/>
            </w:tcBorders>
            <w:shd w:val="clear" w:color="auto" w:fill="auto"/>
            <w:vAlign w:val="center"/>
            <w:hideMark/>
          </w:tcPr>
          <w:p w14:paraId="2A3FB10D" w14:textId="77777777" w:rsidR="000F6636" w:rsidRPr="00741F8C" w:rsidRDefault="000F6636" w:rsidP="00484DB0">
            <w:pPr>
              <w:jc w:val="center"/>
              <w:rPr>
                <w:rFonts w:cs="Times New Roman"/>
                <w:sz w:val="18"/>
                <w:szCs w:val="18"/>
              </w:rPr>
            </w:pPr>
          </w:p>
        </w:tc>
        <w:tc>
          <w:tcPr>
            <w:tcW w:w="765" w:type="dxa"/>
            <w:gridSpan w:val="2"/>
            <w:tcBorders>
              <w:top w:val="nil"/>
              <w:left w:val="nil"/>
              <w:bottom w:val="nil"/>
              <w:right w:val="nil"/>
            </w:tcBorders>
            <w:vAlign w:val="center"/>
          </w:tcPr>
          <w:p w14:paraId="687813A4" w14:textId="77777777" w:rsidR="000F6636" w:rsidRPr="00741F8C" w:rsidRDefault="000F6636" w:rsidP="00484DB0">
            <w:pPr>
              <w:pStyle w:val="Bezriadkovania"/>
              <w:jc w:val="center"/>
              <w:rPr>
                <w:sz w:val="18"/>
                <w:szCs w:val="18"/>
              </w:rPr>
            </w:pPr>
          </w:p>
        </w:tc>
        <w:tc>
          <w:tcPr>
            <w:tcW w:w="1033" w:type="dxa"/>
            <w:tcBorders>
              <w:top w:val="nil"/>
              <w:left w:val="nil"/>
              <w:bottom w:val="nil"/>
              <w:right w:val="nil"/>
            </w:tcBorders>
            <w:shd w:val="clear" w:color="auto" w:fill="auto"/>
            <w:noWrap/>
            <w:vAlign w:val="center"/>
          </w:tcPr>
          <w:p w14:paraId="61966533" w14:textId="77777777" w:rsidR="000F6636" w:rsidRPr="00741F8C" w:rsidRDefault="000F6636" w:rsidP="00484DB0">
            <w:pPr>
              <w:pStyle w:val="Bezriadkovania"/>
              <w:jc w:val="center"/>
              <w:rPr>
                <w:sz w:val="18"/>
                <w:szCs w:val="18"/>
              </w:rPr>
            </w:pPr>
          </w:p>
        </w:tc>
        <w:tc>
          <w:tcPr>
            <w:tcW w:w="997" w:type="dxa"/>
            <w:tcBorders>
              <w:top w:val="nil"/>
              <w:left w:val="nil"/>
              <w:bottom w:val="nil"/>
              <w:right w:val="nil"/>
            </w:tcBorders>
            <w:shd w:val="clear" w:color="auto" w:fill="auto"/>
            <w:noWrap/>
            <w:vAlign w:val="center"/>
          </w:tcPr>
          <w:p w14:paraId="61B54192" w14:textId="77777777" w:rsidR="000F6636" w:rsidRPr="00741F8C" w:rsidRDefault="000F6636" w:rsidP="00484DB0">
            <w:pPr>
              <w:pStyle w:val="Bezriadkovania"/>
              <w:jc w:val="center"/>
              <w:rPr>
                <w:sz w:val="18"/>
                <w:szCs w:val="18"/>
              </w:rPr>
            </w:pPr>
          </w:p>
        </w:tc>
        <w:tc>
          <w:tcPr>
            <w:tcW w:w="997" w:type="dxa"/>
            <w:tcBorders>
              <w:top w:val="nil"/>
              <w:left w:val="nil"/>
              <w:bottom w:val="nil"/>
              <w:right w:val="nil"/>
            </w:tcBorders>
            <w:shd w:val="clear" w:color="auto" w:fill="auto"/>
            <w:noWrap/>
            <w:vAlign w:val="center"/>
          </w:tcPr>
          <w:p w14:paraId="01A17B66" w14:textId="77777777" w:rsidR="000F6636" w:rsidRPr="00741F8C" w:rsidRDefault="000F6636" w:rsidP="00484DB0">
            <w:pPr>
              <w:pStyle w:val="Bezriadkovania"/>
              <w:jc w:val="center"/>
              <w:rPr>
                <w:sz w:val="18"/>
                <w:szCs w:val="18"/>
              </w:rPr>
            </w:pPr>
          </w:p>
        </w:tc>
        <w:tc>
          <w:tcPr>
            <w:tcW w:w="1003" w:type="dxa"/>
            <w:tcBorders>
              <w:top w:val="nil"/>
              <w:left w:val="nil"/>
              <w:bottom w:val="nil"/>
              <w:right w:val="nil"/>
            </w:tcBorders>
            <w:vAlign w:val="center"/>
          </w:tcPr>
          <w:p w14:paraId="2B07A71C" w14:textId="77777777" w:rsidR="000F6636" w:rsidRPr="00741F8C" w:rsidRDefault="000F6636" w:rsidP="00484DB0">
            <w:pPr>
              <w:pStyle w:val="Bezriadkovania"/>
              <w:jc w:val="center"/>
              <w:rPr>
                <w:sz w:val="18"/>
                <w:szCs w:val="18"/>
              </w:rPr>
            </w:pPr>
          </w:p>
        </w:tc>
        <w:tc>
          <w:tcPr>
            <w:tcW w:w="1118" w:type="dxa"/>
            <w:gridSpan w:val="2"/>
            <w:tcBorders>
              <w:top w:val="nil"/>
              <w:left w:val="nil"/>
              <w:bottom w:val="nil"/>
              <w:right w:val="nil"/>
            </w:tcBorders>
            <w:shd w:val="clear" w:color="auto" w:fill="auto"/>
            <w:noWrap/>
            <w:vAlign w:val="center"/>
          </w:tcPr>
          <w:p w14:paraId="5FA2B9B5" w14:textId="77777777" w:rsidR="000F6636" w:rsidRPr="00741F8C" w:rsidRDefault="000F6636" w:rsidP="00484DB0">
            <w:pPr>
              <w:pStyle w:val="Bezriadkovania"/>
              <w:jc w:val="center"/>
              <w:rPr>
                <w:sz w:val="18"/>
                <w:szCs w:val="18"/>
              </w:rPr>
            </w:pPr>
          </w:p>
        </w:tc>
      </w:tr>
      <w:tr w:rsidR="000F6636" w:rsidRPr="00741F8C" w14:paraId="3C3FC6D3" w14:textId="77777777" w:rsidTr="00484DB0">
        <w:trPr>
          <w:trHeight w:val="199"/>
        </w:trPr>
        <w:tc>
          <w:tcPr>
            <w:tcW w:w="2420" w:type="dxa"/>
            <w:tcBorders>
              <w:top w:val="nil"/>
              <w:left w:val="nil"/>
              <w:bottom w:val="nil"/>
              <w:right w:val="nil"/>
            </w:tcBorders>
            <w:shd w:val="clear" w:color="auto" w:fill="auto"/>
            <w:noWrap/>
            <w:vAlign w:val="center"/>
            <w:hideMark/>
          </w:tcPr>
          <w:p w14:paraId="2B909568" w14:textId="77777777" w:rsidR="000F6636" w:rsidRPr="00741F8C" w:rsidRDefault="000F6636" w:rsidP="00484DB0">
            <w:pPr>
              <w:rPr>
                <w:rFonts w:cs="Times New Roman"/>
                <w:color w:val="000000"/>
                <w:sz w:val="18"/>
                <w:szCs w:val="18"/>
              </w:rPr>
            </w:pPr>
            <w:r w:rsidRPr="00741F8C">
              <w:rPr>
                <w:rFonts w:cs="Times New Roman"/>
                <w:color w:val="000000"/>
                <w:sz w:val="18"/>
                <w:szCs w:val="18"/>
              </w:rPr>
              <w:t>- Odmeny zamestnancov</w:t>
            </w:r>
          </w:p>
        </w:tc>
        <w:tc>
          <w:tcPr>
            <w:tcW w:w="851" w:type="dxa"/>
            <w:tcBorders>
              <w:top w:val="nil"/>
              <w:left w:val="nil"/>
              <w:bottom w:val="nil"/>
              <w:right w:val="nil"/>
            </w:tcBorders>
            <w:shd w:val="clear" w:color="auto" w:fill="auto"/>
            <w:vAlign w:val="center"/>
            <w:hideMark/>
          </w:tcPr>
          <w:p w14:paraId="64C07C3D" w14:textId="77777777" w:rsidR="000F6636" w:rsidRPr="00741F8C" w:rsidRDefault="000F6636" w:rsidP="00484DB0">
            <w:pPr>
              <w:jc w:val="center"/>
              <w:rPr>
                <w:rFonts w:cs="Times New Roman"/>
                <w:sz w:val="18"/>
                <w:szCs w:val="18"/>
              </w:rPr>
            </w:pPr>
            <w:r w:rsidRPr="00741F8C">
              <w:rPr>
                <w:rFonts w:cs="Times New Roman"/>
                <w:sz w:val="18"/>
                <w:szCs w:val="18"/>
              </w:rPr>
              <w:t>D.1</w:t>
            </w:r>
          </w:p>
        </w:tc>
        <w:tc>
          <w:tcPr>
            <w:tcW w:w="765" w:type="dxa"/>
            <w:gridSpan w:val="2"/>
            <w:tcBorders>
              <w:top w:val="nil"/>
              <w:left w:val="nil"/>
              <w:bottom w:val="nil"/>
              <w:right w:val="nil"/>
            </w:tcBorders>
            <w:vAlign w:val="center"/>
          </w:tcPr>
          <w:p w14:paraId="476B241D"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33" w:type="dxa"/>
            <w:tcBorders>
              <w:top w:val="nil"/>
              <w:left w:val="nil"/>
              <w:bottom w:val="nil"/>
              <w:right w:val="nil"/>
            </w:tcBorders>
            <w:shd w:val="clear" w:color="auto" w:fill="auto"/>
            <w:noWrap/>
            <w:vAlign w:val="center"/>
          </w:tcPr>
          <w:p w14:paraId="74553690"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bottom w:val="nil"/>
              <w:right w:val="nil"/>
            </w:tcBorders>
            <w:shd w:val="clear" w:color="auto" w:fill="auto"/>
            <w:noWrap/>
            <w:vAlign w:val="center"/>
          </w:tcPr>
          <w:p w14:paraId="041B1DD7"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bottom w:val="nil"/>
              <w:right w:val="nil"/>
            </w:tcBorders>
            <w:shd w:val="clear" w:color="auto" w:fill="auto"/>
            <w:noWrap/>
            <w:vAlign w:val="center"/>
          </w:tcPr>
          <w:p w14:paraId="1F546765"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03" w:type="dxa"/>
            <w:tcBorders>
              <w:top w:val="nil"/>
              <w:left w:val="nil"/>
              <w:bottom w:val="nil"/>
              <w:right w:val="nil"/>
            </w:tcBorders>
            <w:vAlign w:val="center"/>
          </w:tcPr>
          <w:p w14:paraId="040F6091"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118" w:type="dxa"/>
            <w:gridSpan w:val="2"/>
            <w:tcBorders>
              <w:top w:val="nil"/>
              <w:left w:val="nil"/>
              <w:bottom w:val="nil"/>
              <w:right w:val="nil"/>
            </w:tcBorders>
            <w:shd w:val="clear" w:color="auto" w:fill="auto"/>
            <w:noWrap/>
            <w:vAlign w:val="center"/>
          </w:tcPr>
          <w:p w14:paraId="5CF84A1B" w14:textId="77777777" w:rsidR="000F6636" w:rsidRPr="00741F8C" w:rsidRDefault="000F6636" w:rsidP="00484DB0">
            <w:pPr>
              <w:pStyle w:val="Bezriadkovania"/>
              <w:jc w:val="center"/>
              <w:rPr>
                <w:sz w:val="18"/>
                <w:szCs w:val="18"/>
              </w:rPr>
            </w:pPr>
            <w:r w:rsidRPr="00741F8C">
              <w:rPr>
                <w:color w:val="000000"/>
                <w:sz w:val="18"/>
                <w:szCs w:val="18"/>
              </w:rPr>
              <w:t>0,0</w:t>
            </w:r>
          </w:p>
        </w:tc>
      </w:tr>
      <w:tr w:rsidR="000F6636" w:rsidRPr="00741F8C" w14:paraId="2A2717D0" w14:textId="77777777" w:rsidTr="00484DB0">
        <w:trPr>
          <w:trHeight w:val="199"/>
        </w:trPr>
        <w:tc>
          <w:tcPr>
            <w:tcW w:w="2420" w:type="dxa"/>
            <w:tcBorders>
              <w:top w:val="nil"/>
              <w:left w:val="nil"/>
              <w:bottom w:val="nil"/>
              <w:right w:val="nil"/>
            </w:tcBorders>
            <w:shd w:val="clear" w:color="auto" w:fill="auto"/>
            <w:noWrap/>
            <w:vAlign w:val="center"/>
            <w:hideMark/>
          </w:tcPr>
          <w:p w14:paraId="75BB5E65" w14:textId="77777777" w:rsidR="000F6636" w:rsidRPr="00741F8C" w:rsidRDefault="000F6636" w:rsidP="00484DB0">
            <w:pPr>
              <w:rPr>
                <w:rFonts w:cs="Times New Roman"/>
                <w:color w:val="000000"/>
                <w:sz w:val="18"/>
                <w:szCs w:val="18"/>
              </w:rPr>
            </w:pPr>
            <w:r w:rsidRPr="00741F8C">
              <w:rPr>
                <w:rFonts w:cs="Times New Roman"/>
                <w:color w:val="000000"/>
                <w:sz w:val="18"/>
                <w:szCs w:val="18"/>
              </w:rPr>
              <w:t>- Medzispotreba</w:t>
            </w:r>
          </w:p>
        </w:tc>
        <w:tc>
          <w:tcPr>
            <w:tcW w:w="851" w:type="dxa"/>
            <w:tcBorders>
              <w:top w:val="nil"/>
              <w:left w:val="nil"/>
              <w:bottom w:val="nil"/>
              <w:right w:val="nil"/>
            </w:tcBorders>
            <w:shd w:val="clear" w:color="auto" w:fill="auto"/>
            <w:vAlign w:val="center"/>
            <w:hideMark/>
          </w:tcPr>
          <w:p w14:paraId="30214F6A" w14:textId="77777777" w:rsidR="000F6636" w:rsidRPr="00741F8C" w:rsidRDefault="000F6636" w:rsidP="00484DB0">
            <w:pPr>
              <w:jc w:val="center"/>
              <w:rPr>
                <w:rFonts w:cs="Times New Roman"/>
                <w:sz w:val="18"/>
                <w:szCs w:val="18"/>
              </w:rPr>
            </w:pPr>
            <w:r w:rsidRPr="00741F8C">
              <w:rPr>
                <w:rFonts w:cs="Times New Roman"/>
                <w:sz w:val="18"/>
                <w:szCs w:val="18"/>
              </w:rPr>
              <w:t>P.2</w:t>
            </w:r>
          </w:p>
        </w:tc>
        <w:tc>
          <w:tcPr>
            <w:tcW w:w="765" w:type="dxa"/>
            <w:gridSpan w:val="2"/>
            <w:tcBorders>
              <w:top w:val="nil"/>
              <w:left w:val="nil"/>
              <w:bottom w:val="nil"/>
              <w:right w:val="nil"/>
            </w:tcBorders>
            <w:vAlign w:val="center"/>
          </w:tcPr>
          <w:p w14:paraId="08F05FC4"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33" w:type="dxa"/>
            <w:tcBorders>
              <w:top w:val="nil"/>
              <w:left w:val="nil"/>
              <w:bottom w:val="nil"/>
              <w:right w:val="nil"/>
            </w:tcBorders>
            <w:shd w:val="clear" w:color="auto" w:fill="auto"/>
            <w:noWrap/>
            <w:vAlign w:val="center"/>
          </w:tcPr>
          <w:p w14:paraId="089695E8"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bottom w:val="nil"/>
              <w:right w:val="nil"/>
            </w:tcBorders>
            <w:shd w:val="clear" w:color="auto" w:fill="auto"/>
            <w:noWrap/>
            <w:vAlign w:val="center"/>
          </w:tcPr>
          <w:p w14:paraId="1401A57F"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bottom w:val="nil"/>
              <w:right w:val="nil"/>
            </w:tcBorders>
            <w:shd w:val="clear" w:color="auto" w:fill="auto"/>
            <w:noWrap/>
            <w:vAlign w:val="center"/>
          </w:tcPr>
          <w:p w14:paraId="1E36C62A"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03" w:type="dxa"/>
            <w:tcBorders>
              <w:top w:val="nil"/>
              <w:left w:val="nil"/>
              <w:bottom w:val="nil"/>
              <w:right w:val="nil"/>
            </w:tcBorders>
            <w:vAlign w:val="center"/>
          </w:tcPr>
          <w:p w14:paraId="365D089C"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118" w:type="dxa"/>
            <w:gridSpan w:val="2"/>
            <w:tcBorders>
              <w:top w:val="nil"/>
              <w:left w:val="nil"/>
              <w:bottom w:val="nil"/>
              <w:right w:val="nil"/>
            </w:tcBorders>
            <w:shd w:val="clear" w:color="auto" w:fill="auto"/>
            <w:noWrap/>
            <w:vAlign w:val="center"/>
          </w:tcPr>
          <w:p w14:paraId="2A2009DC" w14:textId="77777777" w:rsidR="000F6636" w:rsidRPr="00741F8C" w:rsidRDefault="000F6636" w:rsidP="00484DB0">
            <w:pPr>
              <w:pStyle w:val="Bezriadkovania"/>
              <w:jc w:val="center"/>
              <w:rPr>
                <w:sz w:val="18"/>
                <w:szCs w:val="18"/>
              </w:rPr>
            </w:pPr>
            <w:r w:rsidRPr="00741F8C">
              <w:rPr>
                <w:color w:val="000000"/>
                <w:sz w:val="18"/>
                <w:szCs w:val="18"/>
              </w:rPr>
              <w:t>0,0</w:t>
            </w:r>
          </w:p>
        </w:tc>
      </w:tr>
      <w:tr w:rsidR="000F6636" w:rsidRPr="00741F8C" w14:paraId="66642849" w14:textId="77777777" w:rsidTr="00484DB0">
        <w:trPr>
          <w:trHeight w:val="199"/>
        </w:trPr>
        <w:tc>
          <w:tcPr>
            <w:tcW w:w="2420" w:type="dxa"/>
            <w:tcBorders>
              <w:top w:val="nil"/>
              <w:left w:val="nil"/>
              <w:bottom w:val="nil"/>
              <w:right w:val="nil"/>
            </w:tcBorders>
            <w:shd w:val="clear" w:color="auto" w:fill="auto"/>
            <w:noWrap/>
            <w:vAlign w:val="center"/>
            <w:hideMark/>
          </w:tcPr>
          <w:p w14:paraId="38C946B4" w14:textId="77777777" w:rsidR="000F6636" w:rsidRPr="00741F8C" w:rsidRDefault="000F6636" w:rsidP="00484DB0">
            <w:pPr>
              <w:rPr>
                <w:rFonts w:cs="Times New Roman"/>
                <w:color w:val="000000"/>
                <w:sz w:val="18"/>
                <w:szCs w:val="18"/>
              </w:rPr>
            </w:pPr>
            <w:r w:rsidRPr="00741F8C">
              <w:rPr>
                <w:rFonts w:cs="Times New Roman"/>
                <w:color w:val="000000"/>
                <w:sz w:val="18"/>
                <w:szCs w:val="18"/>
              </w:rPr>
              <w:t>- Sociálne dávky</w:t>
            </w:r>
          </w:p>
        </w:tc>
        <w:tc>
          <w:tcPr>
            <w:tcW w:w="851" w:type="dxa"/>
            <w:tcBorders>
              <w:top w:val="nil"/>
              <w:left w:val="nil"/>
              <w:bottom w:val="nil"/>
              <w:right w:val="nil"/>
            </w:tcBorders>
            <w:shd w:val="clear" w:color="auto" w:fill="auto"/>
            <w:vAlign w:val="center"/>
            <w:hideMark/>
          </w:tcPr>
          <w:p w14:paraId="1CAA2D73" w14:textId="77777777" w:rsidR="000F6636" w:rsidRPr="00741F8C" w:rsidRDefault="000F6636" w:rsidP="00484DB0">
            <w:pPr>
              <w:jc w:val="center"/>
              <w:rPr>
                <w:rFonts w:cs="Times New Roman"/>
                <w:sz w:val="18"/>
                <w:szCs w:val="18"/>
              </w:rPr>
            </w:pPr>
            <w:r w:rsidRPr="00741F8C">
              <w:rPr>
                <w:rFonts w:cs="Times New Roman"/>
                <w:sz w:val="18"/>
                <w:szCs w:val="18"/>
              </w:rPr>
              <w:t>D.62+D.632</w:t>
            </w:r>
          </w:p>
        </w:tc>
        <w:tc>
          <w:tcPr>
            <w:tcW w:w="765" w:type="dxa"/>
            <w:gridSpan w:val="2"/>
            <w:tcBorders>
              <w:top w:val="nil"/>
              <w:left w:val="nil"/>
              <w:bottom w:val="nil"/>
              <w:right w:val="nil"/>
            </w:tcBorders>
            <w:vAlign w:val="center"/>
          </w:tcPr>
          <w:p w14:paraId="479E683F" w14:textId="77777777" w:rsidR="000F6636" w:rsidRPr="00741F8C" w:rsidRDefault="000F6636" w:rsidP="00484DB0">
            <w:pPr>
              <w:pStyle w:val="Bezriadkovania"/>
              <w:jc w:val="center"/>
              <w:rPr>
                <w:sz w:val="18"/>
                <w:szCs w:val="18"/>
              </w:rPr>
            </w:pPr>
          </w:p>
        </w:tc>
        <w:tc>
          <w:tcPr>
            <w:tcW w:w="1033" w:type="dxa"/>
            <w:tcBorders>
              <w:top w:val="nil"/>
              <w:left w:val="nil"/>
              <w:bottom w:val="nil"/>
              <w:right w:val="nil"/>
            </w:tcBorders>
            <w:shd w:val="clear" w:color="auto" w:fill="auto"/>
            <w:noWrap/>
            <w:vAlign w:val="center"/>
          </w:tcPr>
          <w:p w14:paraId="23122011" w14:textId="77777777" w:rsidR="000F6636" w:rsidRPr="00741F8C" w:rsidRDefault="000F6636" w:rsidP="00484DB0">
            <w:pPr>
              <w:pStyle w:val="Bezriadkovania"/>
              <w:jc w:val="center"/>
              <w:rPr>
                <w:sz w:val="18"/>
                <w:szCs w:val="18"/>
              </w:rPr>
            </w:pPr>
          </w:p>
        </w:tc>
        <w:tc>
          <w:tcPr>
            <w:tcW w:w="997" w:type="dxa"/>
            <w:tcBorders>
              <w:top w:val="nil"/>
              <w:left w:val="nil"/>
              <w:bottom w:val="nil"/>
              <w:right w:val="nil"/>
            </w:tcBorders>
            <w:shd w:val="clear" w:color="auto" w:fill="auto"/>
            <w:noWrap/>
            <w:vAlign w:val="center"/>
          </w:tcPr>
          <w:p w14:paraId="0964E43A"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bottom w:val="nil"/>
              <w:right w:val="nil"/>
            </w:tcBorders>
            <w:shd w:val="clear" w:color="auto" w:fill="auto"/>
            <w:noWrap/>
            <w:vAlign w:val="center"/>
          </w:tcPr>
          <w:p w14:paraId="7E943373"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03" w:type="dxa"/>
            <w:tcBorders>
              <w:top w:val="nil"/>
              <w:left w:val="nil"/>
              <w:bottom w:val="nil"/>
              <w:right w:val="nil"/>
            </w:tcBorders>
            <w:vAlign w:val="center"/>
          </w:tcPr>
          <w:p w14:paraId="1686AD54"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118" w:type="dxa"/>
            <w:gridSpan w:val="2"/>
            <w:tcBorders>
              <w:top w:val="nil"/>
              <w:left w:val="nil"/>
              <w:bottom w:val="nil"/>
              <w:right w:val="nil"/>
            </w:tcBorders>
            <w:shd w:val="clear" w:color="auto" w:fill="auto"/>
            <w:noWrap/>
            <w:vAlign w:val="center"/>
          </w:tcPr>
          <w:p w14:paraId="47B42E61" w14:textId="77777777" w:rsidR="000F6636" w:rsidRPr="00741F8C" w:rsidRDefault="000F6636" w:rsidP="00484DB0">
            <w:pPr>
              <w:pStyle w:val="Bezriadkovania"/>
              <w:jc w:val="center"/>
              <w:rPr>
                <w:sz w:val="18"/>
                <w:szCs w:val="18"/>
              </w:rPr>
            </w:pPr>
            <w:r w:rsidRPr="00741F8C">
              <w:rPr>
                <w:color w:val="000000"/>
                <w:sz w:val="18"/>
                <w:szCs w:val="18"/>
              </w:rPr>
              <w:t>0,0</w:t>
            </w:r>
          </w:p>
        </w:tc>
      </w:tr>
      <w:tr w:rsidR="000F6636" w:rsidRPr="00741F8C" w14:paraId="620997F3" w14:textId="77777777" w:rsidTr="00484DB0">
        <w:trPr>
          <w:trHeight w:val="199"/>
        </w:trPr>
        <w:tc>
          <w:tcPr>
            <w:tcW w:w="2420" w:type="dxa"/>
            <w:tcBorders>
              <w:top w:val="nil"/>
              <w:left w:val="nil"/>
              <w:right w:val="nil"/>
            </w:tcBorders>
            <w:shd w:val="clear" w:color="auto" w:fill="auto"/>
            <w:noWrap/>
            <w:vAlign w:val="center"/>
            <w:hideMark/>
          </w:tcPr>
          <w:p w14:paraId="2B6A6BB0" w14:textId="77777777" w:rsidR="000F6636" w:rsidRPr="00741F8C" w:rsidRDefault="000F6636" w:rsidP="00484DB0">
            <w:pPr>
              <w:rPr>
                <w:rFonts w:cs="Times New Roman"/>
                <w:color w:val="000000"/>
                <w:sz w:val="18"/>
                <w:szCs w:val="18"/>
              </w:rPr>
            </w:pPr>
            <w:r w:rsidRPr="00741F8C">
              <w:rPr>
                <w:rFonts w:cs="Times New Roman"/>
                <w:color w:val="000000"/>
                <w:sz w:val="18"/>
                <w:szCs w:val="18"/>
              </w:rPr>
              <w:t>- Úrokové náklady</w:t>
            </w:r>
          </w:p>
        </w:tc>
        <w:tc>
          <w:tcPr>
            <w:tcW w:w="851" w:type="dxa"/>
            <w:tcBorders>
              <w:top w:val="nil"/>
              <w:left w:val="nil"/>
              <w:right w:val="nil"/>
            </w:tcBorders>
            <w:shd w:val="clear" w:color="auto" w:fill="auto"/>
            <w:vAlign w:val="center"/>
            <w:hideMark/>
          </w:tcPr>
          <w:p w14:paraId="2CB1F962" w14:textId="77777777" w:rsidR="000F6636" w:rsidRPr="00741F8C" w:rsidRDefault="000F6636" w:rsidP="00484DB0">
            <w:pPr>
              <w:jc w:val="center"/>
              <w:rPr>
                <w:rFonts w:cs="Times New Roman"/>
                <w:sz w:val="18"/>
                <w:szCs w:val="18"/>
              </w:rPr>
            </w:pPr>
            <w:r w:rsidRPr="00741F8C">
              <w:rPr>
                <w:rFonts w:cs="Times New Roman"/>
                <w:sz w:val="18"/>
                <w:szCs w:val="18"/>
              </w:rPr>
              <w:t>D.41</w:t>
            </w:r>
          </w:p>
        </w:tc>
        <w:tc>
          <w:tcPr>
            <w:tcW w:w="765" w:type="dxa"/>
            <w:gridSpan w:val="2"/>
            <w:tcBorders>
              <w:top w:val="nil"/>
              <w:left w:val="nil"/>
              <w:right w:val="nil"/>
            </w:tcBorders>
            <w:vAlign w:val="center"/>
          </w:tcPr>
          <w:p w14:paraId="42B8F227" w14:textId="77777777" w:rsidR="000F6636" w:rsidRPr="00741F8C" w:rsidRDefault="000F6636" w:rsidP="00484DB0">
            <w:pPr>
              <w:pStyle w:val="Bezriadkovania"/>
              <w:jc w:val="center"/>
              <w:rPr>
                <w:sz w:val="18"/>
                <w:szCs w:val="18"/>
              </w:rPr>
            </w:pPr>
          </w:p>
        </w:tc>
        <w:tc>
          <w:tcPr>
            <w:tcW w:w="1033" w:type="dxa"/>
            <w:tcBorders>
              <w:top w:val="nil"/>
              <w:left w:val="nil"/>
              <w:right w:val="nil"/>
            </w:tcBorders>
            <w:shd w:val="clear" w:color="auto" w:fill="auto"/>
            <w:noWrap/>
            <w:vAlign w:val="center"/>
          </w:tcPr>
          <w:p w14:paraId="4C2E9BEF"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3320EA87"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10D21A8F" w14:textId="77777777" w:rsidR="000F6636" w:rsidRPr="00741F8C" w:rsidRDefault="000F6636" w:rsidP="00484DB0">
            <w:pPr>
              <w:pStyle w:val="Bezriadkovania"/>
              <w:jc w:val="center"/>
              <w:rPr>
                <w:sz w:val="18"/>
                <w:szCs w:val="18"/>
              </w:rPr>
            </w:pPr>
          </w:p>
        </w:tc>
        <w:tc>
          <w:tcPr>
            <w:tcW w:w="1003" w:type="dxa"/>
            <w:tcBorders>
              <w:top w:val="nil"/>
              <w:left w:val="nil"/>
              <w:right w:val="nil"/>
            </w:tcBorders>
            <w:vAlign w:val="center"/>
          </w:tcPr>
          <w:p w14:paraId="6751876F" w14:textId="77777777" w:rsidR="000F6636" w:rsidRPr="00741F8C" w:rsidRDefault="000F6636" w:rsidP="00484DB0">
            <w:pPr>
              <w:pStyle w:val="Bezriadkovania"/>
              <w:jc w:val="center"/>
              <w:rPr>
                <w:sz w:val="18"/>
                <w:szCs w:val="18"/>
              </w:rPr>
            </w:pPr>
          </w:p>
        </w:tc>
        <w:tc>
          <w:tcPr>
            <w:tcW w:w="1118" w:type="dxa"/>
            <w:gridSpan w:val="2"/>
            <w:tcBorders>
              <w:top w:val="nil"/>
              <w:left w:val="nil"/>
              <w:right w:val="nil"/>
            </w:tcBorders>
            <w:shd w:val="clear" w:color="auto" w:fill="auto"/>
            <w:noWrap/>
            <w:vAlign w:val="center"/>
          </w:tcPr>
          <w:p w14:paraId="3DC5A2F6" w14:textId="77777777" w:rsidR="000F6636" w:rsidRPr="00741F8C" w:rsidRDefault="000F6636" w:rsidP="00484DB0">
            <w:pPr>
              <w:pStyle w:val="Bezriadkovania"/>
              <w:jc w:val="center"/>
              <w:rPr>
                <w:sz w:val="18"/>
                <w:szCs w:val="18"/>
              </w:rPr>
            </w:pPr>
          </w:p>
        </w:tc>
      </w:tr>
      <w:tr w:rsidR="000F6636" w:rsidRPr="00741F8C" w14:paraId="48545615" w14:textId="77777777" w:rsidTr="00484DB0">
        <w:trPr>
          <w:trHeight w:val="199"/>
        </w:trPr>
        <w:tc>
          <w:tcPr>
            <w:tcW w:w="2420" w:type="dxa"/>
            <w:tcBorders>
              <w:top w:val="nil"/>
              <w:left w:val="nil"/>
              <w:right w:val="nil"/>
            </w:tcBorders>
            <w:shd w:val="clear" w:color="auto" w:fill="auto"/>
            <w:noWrap/>
            <w:vAlign w:val="center"/>
            <w:hideMark/>
          </w:tcPr>
          <w:p w14:paraId="2517244A" w14:textId="77777777" w:rsidR="000F6636" w:rsidRPr="00741F8C" w:rsidRDefault="000F6636" w:rsidP="00484DB0">
            <w:pPr>
              <w:rPr>
                <w:rFonts w:cs="Times New Roman"/>
                <w:color w:val="000000"/>
                <w:sz w:val="18"/>
                <w:szCs w:val="18"/>
              </w:rPr>
            </w:pPr>
            <w:r w:rsidRPr="00741F8C">
              <w:rPr>
                <w:rFonts w:cs="Times New Roman"/>
                <w:color w:val="000000"/>
                <w:sz w:val="18"/>
                <w:szCs w:val="18"/>
              </w:rPr>
              <w:t>- Dotácie</w:t>
            </w:r>
          </w:p>
        </w:tc>
        <w:tc>
          <w:tcPr>
            <w:tcW w:w="851" w:type="dxa"/>
            <w:tcBorders>
              <w:top w:val="nil"/>
              <w:left w:val="nil"/>
              <w:right w:val="nil"/>
            </w:tcBorders>
            <w:shd w:val="clear" w:color="auto" w:fill="auto"/>
            <w:vAlign w:val="center"/>
            <w:hideMark/>
          </w:tcPr>
          <w:p w14:paraId="03D7EAA7" w14:textId="77777777" w:rsidR="000F6636" w:rsidRPr="00741F8C" w:rsidRDefault="000F6636" w:rsidP="00484DB0">
            <w:pPr>
              <w:jc w:val="center"/>
              <w:rPr>
                <w:rFonts w:cs="Times New Roman"/>
                <w:sz w:val="18"/>
                <w:szCs w:val="18"/>
              </w:rPr>
            </w:pPr>
            <w:r w:rsidRPr="00741F8C">
              <w:rPr>
                <w:rFonts w:cs="Times New Roman"/>
                <w:sz w:val="18"/>
                <w:szCs w:val="18"/>
              </w:rPr>
              <w:t>D.3</w:t>
            </w:r>
          </w:p>
        </w:tc>
        <w:tc>
          <w:tcPr>
            <w:tcW w:w="765" w:type="dxa"/>
            <w:gridSpan w:val="2"/>
            <w:tcBorders>
              <w:top w:val="nil"/>
              <w:left w:val="nil"/>
              <w:right w:val="nil"/>
            </w:tcBorders>
            <w:vAlign w:val="center"/>
          </w:tcPr>
          <w:p w14:paraId="0D51ABE3" w14:textId="77777777" w:rsidR="000F6636" w:rsidRPr="00741F8C" w:rsidRDefault="000F6636" w:rsidP="00484DB0">
            <w:pPr>
              <w:pStyle w:val="Bezriadkovania"/>
              <w:jc w:val="center"/>
              <w:rPr>
                <w:sz w:val="18"/>
                <w:szCs w:val="18"/>
              </w:rPr>
            </w:pPr>
          </w:p>
        </w:tc>
        <w:tc>
          <w:tcPr>
            <w:tcW w:w="1033" w:type="dxa"/>
            <w:tcBorders>
              <w:top w:val="nil"/>
              <w:left w:val="nil"/>
              <w:right w:val="nil"/>
            </w:tcBorders>
            <w:shd w:val="clear" w:color="auto" w:fill="auto"/>
            <w:noWrap/>
            <w:vAlign w:val="center"/>
          </w:tcPr>
          <w:p w14:paraId="113BE52E"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41D3D4A7"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right w:val="nil"/>
            </w:tcBorders>
            <w:shd w:val="clear" w:color="auto" w:fill="auto"/>
            <w:noWrap/>
            <w:vAlign w:val="center"/>
          </w:tcPr>
          <w:p w14:paraId="7691D452" w14:textId="77777777" w:rsidR="000F6636" w:rsidRPr="00741F8C" w:rsidRDefault="000F6636" w:rsidP="00484DB0">
            <w:pPr>
              <w:pStyle w:val="Bezriadkovania"/>
              <w:jc w:val="center"/>
              <w:rPr>
                <w:sz w:val="18"/>
                <w:szCs w:val="18"/>
              </w:rPr>
            </w:pPr>
            <w:r w:rsidRPr="00741F8C">
              <w:rPr>
                <w:color w:val="000000"/>
                <w:sz w:val="18"/>
                <w:szCs w:val="18"/>
              </w:rPr>
              <w:t>0,1</w:t>
            </w:r>
          </w:p>
        </w:tc>
        <w:tc>
          <w:tcPr>
            <w:tcW w:w="1003" w:type="dxa"/>
            <w:tcBorders>
              <w:top w:val="nil"/>
              <w:left w:val="nil"/>
              <w:right w:val="nil"/>
            </w:tcBorders>
            <w:vAlign w:val="center"/>
          </w:tcPr>
          <w:p w14:paraId="538B3CD5" w14:textId="77777777" w:rsidR="000F6636" w:rsidRPr="00741F8C" w:rsidRDefault="000F6636" w:rsidP="00484DB0">
            <w:pPr>
              <w:pStyle w:val="Bezriadkovania"/>
              <w:jc w:val="center"/>
              <w:rPr>
                <w:sz w:val="18"/>
                <w:szCs w:val="18"/>
              </w:rPr>
            </w:pPr>
            <w:r w:rsidRPr="00741F8C">
              <w:rPr>
                <w:color w:val="000000"/>
                <w:sz w:val="18"/>
                <w:szCs w:val="18"/>
              </w:rPr>
              <w:t>0,1</w:t>
            </w:r>
          </w:p>
        </w:tc>
        <w:tc>
          <w:tcPr>
            <w:tcW w:w="1118" w:type="dxa"/>
            <w:gridSpan w:val="2"/>
            <w:tcBorders>
              <w:top w:val="nil"/>
              <w:left w:val="nil"/>
              <w:right w:val="nil"/>
            </w:tcBorders>
            <w:shd w:val="clear" w:color="auto" w:fill="auto"/>
            <w:noWrap/>
            <w:vAlign w:val="center"/>
          </w:tcPr>
          <w:p w14:paraId="1FA998B7" w14:textId="77777777" w:rsidR="000F6636" w:rsidRPr="00741F8C" w:rsidRDefault="000F6636" w:rsidP="00484DB0">
            <w:pPr>
              <w:pStyle w:val="Bezriadkovania"/>
              <w:jc w:val="center"/>
              <w:rPr>
                <w:sz w:val="18"/>
                <w:szCs w:val="18"/>
              </w:rPr>
            </w:pPr>
            <w:r w:rsidRPr="00741F8C">
              <w:rPr>
                <w:color w:val="000000"/>
                <w:sz w:val="18"/>
                <w:szCs w:val="18"/>
              </w:rPr>
              <w:t>0,1</w:t>
            </w:r>
          </w:p>
        </w:tc>
      </w:tr>
      <w:tr w:rsidR="000F6636" w:rsidRPr="00741F8C" w14:paraId="5F56C76B" w14:textId="77777777" w:rsidTr="00484DB0">
        <w:trPr>
          <w:trHeight w:val="199"/>
        </w:trPr>
        <w:tc>
          <w:tcPr>
            <w:tcW w:w="2420" w:type="dxa"/>
            <w:tcBorders>
              <w:top w:val="nil"/>
              <w:left w:val="nil"/>
              <w:right w:val="nil"/>
            </w:tcBorders>
            <w:shd w:val="clear" w:color="auto" w:fill="auto"/>
            <w:noWrap/>
            <w:vAlign w:val="center"/>
          </w:tcPr>
          <w:p w14:paraId="667746E8" w14:textId="77777777" w:rsidR="000F6636" w:rsidRPr="00741F8C" w:rsidRDefault="000F6636" w:rsidP="00484DB0">
            <w:pPr>
              <w:rPr>
                <w:rFonts w:cs="Times New Roman"/>
                <w:color w:val="000000"/>
                <w:sz w:val="18"/>
                <w:szCs w:val="18"/>
              </w:rPr>
            </w:pPr>
            <w:r w:rsidRPr="00741F8C">
              <w:rPr>
                <w:rFonts w:cs="Times New Roman"/>
                <w:color w:val="000000"/>
                <w:sz w:val="18"/>
                <w:szCs w:val="18"/>
              </w:rPr>
              <w:t>- Bežné transfery</w:t>
            </w:r>
          </w:p>
        </w:tc>
        <w:tc>
          <w:tcPr>
            <w:tcW w:w="851" w:type="dxa"/>
            <w:tcBorders>
              <w:top w:val="nil"/>
              <w:left w:val="nil"/>
              <w:right w:val="nil"/>
            </w:tcBorders>
            <w:shd w:val="clear" w:color="auto" w:fill="auto"/>
            <w:vAlign w:val="center"/>
          </w:tcPr>
          <w:p w14:paraId="08E825F9" w14:textId="77777777" w:rsidR="000F6636" w:rsidRPr="00741F8C" w:rsidRDefault="000F6636" w:rsidP="00484DB0">
            <w:pPr>
              <w:jc w:val="center"/>
              <w:rPr>
                <w:rFonts w:cs="Times New Roman"/>
                <w:sz w:val="18"/>
                <w:szCs w:val="18"/>
              </w:rPr>
            </w:pPr>
            <w:r w:rsidRPr="00741F8C">
              <w:rPr>
                <w:rFonts w:cs="Times New Roman"/>
                <w:sz w:val="18"/>
                <w:szCs w:val="18"/>
              </w:rPr>
              <w:t>D.7</w:t>
            </w:r>
          </w:p>
        </w:tc>
        <w:tc>
          <w:tcPr>
            <w:tcW w:w="765" w:type="dxa"/>
            <w:gridSpan w:val="2"/>
            <w:tcBorders>
              <w:top w:val="nil"/>
              <w:left w:val="nil"/>
              <w:right w:val="nil"/>
            </w:tcBorders>
            <w:vAlign w:val="center"/>
          </w:tcPr>
          <w:p w14:paraId="4D058651"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33" w:type="dxa"/>
            <w:tcBorders>
              <w:top w:val="nil"/>
              <w:left w:val="nil"/>
              <w:right w:val="nil"/>
            </w:tcBorders>
            <w:shd w:val="clear" w:color="auto" w:fill="auto"/>
            <w:noWrap/>
            <w:vAlign w:val="center"/>
          </w:tcPr>
          <w:p w14:paraId="67FEA87E"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right w:val="nil"/>
            </w:tcBorders>
            <w:shd w:val="clear" w:color="auto" w:fill="auto"/>
            <w:noWrap/>
            <w:vAlign w:val="center"/>
          </w:tcPr>
          <w:p w14:paraId="2F92C629"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right w:val="nil"/>
            </w:tcBorders>
            <w:shd w:val="clear" w:color="auto" w:fill="auto"/>
            <w:noWrap/>
            <w:vAlign w:val="center"/>
          </w:tcPr>
          <w:p w14:paraId="2CC8EB50"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003" w:type="dxa"/>
            <w:tcBorders>
              <w:top w:val="nil"/>
              <w:left w:val="nil"/>
              <w:right w:val="nil"/>
            </w:tcBorders>
            <w:vAlign w:val="center"/>
          </w:tcPr>
          <w:p w14:paraId="32F81C6D"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1118" w:type="dxa"/>
            <w:gridSpan w:val="2"/>
            <w:tcBorders>
              <w:top w:val="nil"/>
              <w:left w:val="nil"/>
              <w:right w:val="nil"/>
            </w:tcBorders>
            <w:shd w:val="clear" w:color="auto" w:fill="auto"/>
            <w:noWrap/>
            <w:vAlign w:val="center"/>
          </w:tcPr>
          <w:p w14:paraId="73675C8F" w14:textId="77777777" w:rsidR="000F6636" w:rsidRPr="00741F8C" w:rsidRDefault="000F6636" w:rsidP="00484DB0">
            <w:pPr>
              <w:pStyle w:val="Bezriadkovania"/>
              <w:jc w:val="center"/>
              <w:rPr>
                <w:sz w:val="18"/>
                <w:szCs w:val="18"/>
              </w:rPr>
            </w:pPr>
            <w:r w:rsidRPr="00741F8C">
              <w:rPr>
                <w:color w:val="000000"/>
                <w:sz w:val="18"/>
                <w:szCs w:val="18"/>
              </w:rPr>
              <w:t>0,0</w:t>
            </w:r>
          </w:p>
        </w:tc>
      </w:tr>
      <w:tr w:rsidR="000F6636" w:rsidRPr="00741F8C" w14:paraId="0FFE88F2" w14:textId="77777777" w:rsidTr="00484DB0">
        <w:trPr>
          <w:trHeight w:val="199"/>
        </w:trPr>
        <w:tc>
          <w:tcPr>
            <w:tcW w:w="2420" w:type="dxa"/>
            <w:tcBorders>
              <w:top w:val="nil"/>
              <w:left w:val="nil"/>
              <w:right w:val="nil"/>
            </w:tcBorders>
            <w:shd w:val="clear" w:color="auto" w:fill="auto"/>
            <w:noWrap/>
            <w:vAlign w:val="center"/>
          </w:tcPr>
          <w:p w14:paraId="1F2D3C40"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4. Celkové kapitálové výdavky</w:t>
            </w:r>
          </w:p>
        </w:tc>
        <w:tc>
          <w:tcPr>
            <w:tcW w:w="851" w:type="dxa"/>
            <w:tcBorders>
              <w:top w:val="nil"/>
              <w:left w:val="nil"/>
              <w:right w:val="nil"/>
            </w:tcBorders>
            <w:shd w:val="clear" w:color="auto" w:fill="auto"/>
            <w:vAlign w:val="center"/>
          </w:tcPr>
          <w:p w14:paraId="256D17B4" w14:textId="77777777" w:rsidR="000F6636" w:rsidRPr="00741F8C" w:rsidRDefault="000F6636" w:rsidP="00484DB0">
            <w:pPr>
              <w:jc w:val="center"/>
              <w:rPr>
                <w:rFonts w:cs="Times New Roman"/>
                <w:b/>
                <w:sz w:val="18"/>
                <w:szCs w:val="18"/>
              </w:rPr>
            </w:pPr>
          </w:p>
        </w:tc>
        <w:tc>
          <w:tcPr>
            <w:tcW w:w="765" w:type="dxa"/>
            <w:gridSpan w:val="2"/>
            <w:tcBorders>
              <w:top w:val="nil"/>
              <w:left w:val="nil"/>
              <w:right w:val="nil"/>
            </w:tcBorders>
            <w:vAlign w:val="center"/>
          </w:tcPr>
          <w:p w14:paraId="65330D8F" w14:textId="77777777" w:rsidR="000F6636" w:rsidRPr="00741F8C" w:rsidRDefault="000F6636" w:rsidP="00484DB0">
            <w:pPr>
              <w:pStyle w:val="Bezriadkovania"/>
              <w:jc w:val="center"/>
              <w:rPr>
                <w:b/>
                <w:sz w:val="18"/>
                <w:szCs w:val="18"/>
              </w:rPr>
            </w:pPr>
            <w:r w:rsidRPr="00741F8C">
              <w:rPr>
                <w:b/>
                <w:bCs/>
                <w:color w:val="000000"/>
                <w:sz w:val="18"/>
                <w:szCs w:val="18"/>
              </w:rPr>
              <w:t>0,0</w:t>
            </w:r>
          </w:p>
        </w:tc>
        <w:tc>
          <w:tcPr>
            <w:tcW w:w="1033" w:type="dxa"/>
            <w:tcBorders>
              <w:top w:val="nil"/>
              <w:left w:val="nil"/>
              <w:right w:val="nil"/>
            </w:tcBorders>
            <w:shd w:val="clear" w:color="auto" w:fill="auto"/>
            <w:noWrap/>
            <w:vAlign w:val="center"/>
          </w:tcPr>
          <w:p w14:paraId="729C177D" w14:textId="77777777" w:rsidR="000F6636" w:rsidRPr="00741F8C" w:rsidRDefault="000F6636" w:rsidP="00484DB0">
            <w:pPr>
              <w:pStyle w:val="Bezriadkovania"/>
              <w:jc w:val="center"/>
              <w:rPr>
                <w:b/>
                <w:sz w:val="18"/>
                <w:szCs w:val="18"/>
              </w:rPr>
            </w:pPr>
            <w:r w:rsidRPr="00741F8C">
              <w:rPr>
                <w:b/>
                <w:bCs/>
                <w:color w:val="000000"/>
                <w:sz w:val="18"/>
                <w:szCs w:val="18"/>
              </w:rPr>
              <w:t>0,0</w:t>
            </w:r>
          </w:p>
        </w:tc>
        <w:tc>
          <w:tcPr>
            <w:tcW w:w="997" w:type="dxa"/>
            <w:tcBorders>
              <w:top w:val="nil"/>
              <w:left w:val="nil"/>
              <w:right w:val="nil"/>
            </w:tcBorders>
            <w:shd w:val="clear" w:color="auto" w:fill="auto"/>
            <w:noWrap/>
            <w:vAlign w:val="center"/>
          </w:tcPr>
          <w:p w14:paraId="693E0FDE" w14:textId="77777777" w:rsidR="000F6636" w:rsidRPr="00741F8C" w:rsidRDefault="000F6636" w:rsidP="00484DB0">
            <w:pPr>
              <w:pStyle w:val="Bezriadkovania"/>
              <w:jc w:val="center"/>
              <w:rPr>
                <w:b/>
                <w:sz w:val="18"/>
                <w:szCs w:val="18"/>
              </w:rPr>
            </w:pPr>
            <w:r w:rsidRPr="00741F8C">
              <w:rPr>
                <w:b/>
                <w:bCs/>
                <w:color w:val="000000"/>
                <w:sz w:val="18"/>
                <w:szCs w:val="18"/>
              </w:rPr>
              <w:t>0,2</w:t>
            </w:r>
          </w:p>
        </w:tc>
        <w:tc>
          <w:tcPr>
            <w:tcW w:w="997" w:type="dxa"/>
            <w:tcBorders>
              <w:top w:val="nil"/>
              <w:left w:val="nil"/>
              <w:right w:val="nil"/>
            </w:tcBorders>
            <w:shd w:val="clear" w:color="auto" w:fill="auto"/>
            <w:noWrap/>
            <w:vAlign w:val="center"/>
          </w:tcPr>
          <w:p w14:paraId="0CF3A26D" w14:textId="77777777" w:rsidR="000F6636" w:rsidRPr="00741F8C" w:rsidRDefault="000F6636" w:rsidP="00484DB0">
            <w:pPr>
              <w:pStyle w:val="Bezriadkovania"/>
              <w:jc w:val="center"/>
              <w:rPr>
                <w:b/>
                <w:sz w:val="18"/>
                <w:szCs w:val="18"/>
              </w:rPr>
            </w:pPr>
            <w:r w:rsidRPr="00741F8C">
              <w:rPr>
                <w:b/>
                <w:bCs/>
                <w:color w:val="000000"/>
                <w:sz w:val="18"/>
                <w:szCs w:val="18"/>
              </w:rPr>
              <w:t>0,6</w:t>
            </w:r>
          </w:p>
        </w:tc>
        <w:tc>
          <w:tcPr>
            <w:tcW w:w="1003" w:type="dxa"/>
            <w:tcBorders>
              <w:top w:val="nil"/>
              <w:left w:val="nil"/>
              <w:right w:val="nil"/>
            </w:tcBorders>
            <w:vAlign w:val="center"/>
          </w:tcPr>
          <w:p w14:paraId="79AADCDA" w14:textId="77777777" w:rsidR="000F6636" w:rsidRPr="00741F8C" w:rsidRDefault="000F6636" w:rsidP="00484DB0">
            <w:pPr>
              <w:pStyle w:val="Bezriadkovania"/>
              <w:jc w:val="center"/>
              <w:rPr>
                <w:b/>
                <w:sz w:val="18"/>
                <w:szCs w:val="18"/>
              </w:rPr>
            </w:pPr>
            <w:r w:rsidRPr="00741F8C">
              <w:rPr>
                <w:b/>
                <w:bCs/>
                <w:color w:val="000000"/>
                <w:sz w:val="18"/>
                <w:szCs w:val="18"/>
              </w:rPr>
              <w:t>0,6</w:t>
            </w:r>
          </w:p>
        </w:tc>
        <w:tc>
          <w:tcPr>
            <w:tcW w:w="1118" w:type="dxa"/>
            <w:gridSpan w:val="2"/>
            <w:tcBorders>
              <w:top w:val="nil"/>
              <w:left w:val="nil"/>
              <w:right w:val="nil"/>
            </w:tcBorders>
            <w:shd w:val="clear" w:color="auto" w:fill="auto"/>
            <w:noWrap/>
            <w:vAlign w:val="center"/>
          </w:tcPr>
          <w:p w14:paraId="2AE78C4F" w14:textId="77777777" w:rsidR="000F6636" w:rsidRPr="00741F8C" w:rsidRDefault="000F6636" w:rsidP="00484DB0">
            <w:pPr>
              <w:pStyle w:val="Bezriadkovania"/>
              <w:jc w:val="center"/>
              <w:rPr>
                <w:b/>
                <w:sz w:val="18"/>
                <w:szCs w:val="18"/>
              </w:rPr>
            </w:pPr>
            <w:r w:rsidRPr="00741F8C">
              <w:rPr>
                <w:b/>
                <w:bCs/>
                <w:color w:val="000000"/>
                <w:sz w:val="18"/>
                <w:szCs w:val="18"/>
              </w:rPr>
              <w:t>0,3</w:t>
            </w:r>
          </w:p>
        </w:tc>
      </w:tr>
      <w:tr w:rsidR="000F6636" w:rsidRPr="00741F8C" w14:paraId="13128D3F" w14:textId="77777777" w:rsidTr="00484DB0">
        <w:trPr>
          <w:trHeight w:val="199"/>
        </w:trPr>
        <w:tc>
          <w:tcPr>
            <w:tcW w:w="2420" w:type="dxa"/>
            <w:tcBorders>
              <w:top w:val="nil"/>
              <w:left w:val="nil"/>
              <w:right w:val="nil"/>
            </w:tcBorders>
            <w:shd w:val="clear" w:color="auto" w:fill="auto"/>
            <w:noWrap/>
            <w:vAlign w:val="center"/>
          </w:tcPr>
          <w:p w14:paraId="32D86203" w14:textId="77777777" w:rsidR="000F6636" w:rsidRPr="00741F8C" w:rsidRDefault="000F6636" w:rsidP="00484DB0">
            <w:pPr>
              <w:rPr>
                <w:rFonts w:cs="Times New Roman"/>
                <w:color w:val="000000"/>
                <w:sz w:val="18"/>
                <w:szCs w:val="18"/>
              </w:rPr>
            </w:pPr>
            <w:r w:rsidRPr="00741F8C">
              <w:rPr>
                <w:rFonts w:cs="Times New Roman"/>
                <w:color w:val="000000"/>
                <w:sz w:val="18"/>
                <w:szCs w:val="18"/>
              </w:rPr>
              <w:t>z toho:</w:t>
            </w:r>
          </w:p>
        </w:tc>
        <w:tc>
          <w:tcPr>
            <w:tcW w:w="851" w:type="dxa"/>
            <w:tcBorders>
              <w:top w:val="nil"/>
              <w:left w:val="nil"/>
              <w:right w:val="nil"/>
            </w:tcBorders>
            <w:shd w:val="clear" w:color="auto" w:fill="auto"/>
            <w:vAlign w:val="center"/>
          </w:tcPr>
          <w:p w14:paraId="3234EC7A" w14:textId="77777777" w:rsidR="000F6636" w:rsidRPr="00741F8C" w:rsidRDefault="000F6636" w:rsidP="00484DB0">
            <w:pPr>
              <w:jc w:val="center"/>
              <w:rPr>
                <w:rFonts w:cs="Times New Roman"/>
                <w:sz w:val="18"/>
                <w:szCs w:val="18"/>
              </w:rPr>
            </w:pPr>
          </w:p>
        </w:tc>
        <w:tc>
          <w:tcPr>
            <w:tcW w:w="765" w:type="dxa"/>
            <w:gridSpan w:val="2"/>
            <w:tcBorders>
              <w:top w:val="nil"/>
              <w:left w:val="nil"/>
              <w:right w:val="nil"/>
            </w:tcBorders>
            <w:vAlign w:val="center"/>
          </w:tcPr>
          <w:p w14:paraId="3360C090" w14:textId="77777777" w:rsidR="000F6636" w:rsidRPr="00741F8C" w:rsidRDefault="000F6636" w:rsidP="00484DB0">
            <w:pPr>
              <w:pStyle w:val="Bezriadkovania"/>
              <w:jc w:val="center"/>
              <w:rPr>
                <w:sz w:val="18"/>
                <w:szCs w:val="18"/>
              </w:rPr>
            </w:pPr>
          </w:p>
        </w:tc>
        <w:tc>
          <w:tcPr>
            <w:tcW w:w="1033" w:type="dxa"/>
            <w:tcBorders>
              <w:top w:val="nil"/>
              <w:left w:val="nil"/>
              <w:right w:val="nil"/>
            </w:tcBorders>
            <w:shd w:val="clear" w:color="auto" w:fill="auto"/>
            <w:noWrap/>
            <w:vAlign w:val="center"/>
          </w:tcPr>
          <w:p w14:paraId="21C82FA7"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17D8DD42"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75ACDA4E" w14:textId="77777777" w:rsidR="000F6636" w:rsidRPr="00741F8C" w:rsidRDefault="000F6636" w:rsidP="00484DB0">
            <w:pPr>
              <w:pStyle w:val="Bezriadkovania"/>
              <w:jc w:val="center"/>
              <w:rPr>
                <w:sz w:val="18"/>
                <w:szCs w:val="18"/>
              </w:rPr>
            </w:pPr>
          </w:p>
        </w:tc>
        <w:tc>
          <w:tcPr>
            <w:tcW w:w="1003" w:type="dxa"/>
            <w:tcBorders>
              <w:top w:val="nil"/>
              <w:left w:val="nil"/>
              <w:right w:val="nil"/>
            </w:tcBorders>
            <w:vAlign w:val="center"/>
          </w:tcPr>
          <w:p w14:paraId="033FDE6C" w14:textId="77777777" w:rsidR="000F6636" w:rsidRPr="00741F8C" w:rsidRDefault="000F6636" w:rsidP="00484DB0">
            <w:pPr>
              <w:pStyle w:val="Bezriadkovania"/>
              <w:jc w:val="center"/>
              <w:rPr>
                <w:sz w:val="18"/>
                <w:szCs w:val="18"/>
              </w:rPr>
            </w:pPr>
          </w:p>
        </w:tc>
        <w:tc>
          <w:tcPr>
            <w:tcW w:w="1118" w:type="dxa"/>
            <w:gridSpan w:val="2"/>
            <w:tcBorders>
              <w:top w:val="nil"/>
              <w:left w:val="nil"/>
              <w:right w:val="nil"/>
            </w:tcBorders>
            <w:shd w:val="clear" w:color="auto" w:fill="auto"/>
            <w:noWrap/>
            <w:vAlign w:val="center"/>
          </w:tcPr>
          <w:p w14:paraId="444480EB" w14:textId="77777777" w:rsidR="000F6636" w:rsidRPr="00741F8C" w:rsidRDefault="000F6636" w:rsidP="00484DB0">
            <w:pPr>
              <w:pStyle w:val="Bezriadkovania"/>
              <w:jc w:val="center"/>
              <w:rPr>
                <w:sz w:val="18"/>
                <w:szCs w:val="18"/>
              </w:rPr>
            </w:pPr>
          </w:p>
        </w:tc>
      </w:tr>
      <w:tr w:rsidR="000F6636" w:rsidRPr="00741F8C" w14:paraId="01C34206" w14:textId="77777777" w:rsidTr="00484DB0">
        <w:trPr>
          <w:trHeight w:val="199"/>
        </w:trPr>
        <w:tc>
          <w:tcPr>
            <w:tcW w:w="2420" w:type="dxa"/>
            <w:tcBorders>
              <w:top w:val="nil"/>
              <w:left w:val="nil"/>
              <w:right w:val="nil"/>
            </w:tcBorders>
            <w:shd w:val="clear" w:color="auto" w:fill="auto"/>
            <w:noWrap/>
            <w:vAlign w:val="center"/>
          </w:tcPr>
          <w:p w14:paraId="49C15425" w14:textId="77777777" w:rsidR="000F6636" w:rsidRPr="00741F8C" w:rsidRDefault="000F6636" w:rsidP="00484DB0">
            <w:pPr>
              <w:rPr>
                <w:rFonts w:cs="Times New Roman"/>
                <w:color w:val="000000"/>
                <w:sz w:val="18"/>
                <w:szCs w:val="18"/>
              </w:rPr>
            </w:pPr>
            <w:r w:rsidRPr="00741F8C">
              <w:rPr>
                <w:rFonts w:cs="Times New Roman"/>
                <w:color w:val="000000"/>
                <w:sz w:val="18"/>
                <w:szCs w:val="18"/>
              </w:rPr>
              <w:t>- Tvorba hrubého fixného kapitálu</w:t>
            </w:r>
          </w:p>
        </w:tc>
        <w:tc>
          <w:tcPr>
            <w:tcW w:w="851" w:type="dxa"/>
            <w:tcBorders>
              <w:top w:val="nil"/>
              <w:left w:val="nil"/>
              <w:right w:val="nil"/>
            </w:tcBorders>
            <w:shd w:val="clear" w:color="auto" w:fill="auto"/>
            <w:vAlign w:val="center"/>
          </w:tcPr>
          <w:p w14:paraId="18C5FA5E" w14:textId="77777777" w:rsidR="000F6636" w:rsidRPr="00741F8C" w:rsidRDefault="000F6636" w:rsidP="00484DB0">
            <w:pPr>
              <w:jc w:val="center"/>
              <w:rPr>
                <w:rFonts w:cs="Times New Roman"/>
                <w:sz w:val="18"/>
                <w:szCs w:val="18"/>
              </w:rPr>
            </w:pPr>
            <w:r w:rsidRPr="00741F8C">
              <w:rPr>
                <w:rFonts w:cs="Times New Roman"/>
                <w:sz w:val="18"/>
                <w:szCs w:val="18"/>
              </w:rPr>
              <w:t>P.51g</w:t>
            </w:r>
          </w:p>
        </w:tc>
        <w:tc>
          <w:tcPr>
            <w:tcW w:w="765" w:type="dxa"/>
            <w:gridSpan w:val="2"/>
            <w:tcBorders>
              <w:top w:val="nil"/>
              <w:left w:val="nil"/>
              <w:right w:val="nil"/>
            </w:tcBorders>
            <w:vAlign w:val="center"/>
          </w:tcPr>
          <w:p w14:paraId="7E22A357" w14:textId="77777777" w:rsidR="000F6636" w:rsidRPr="00741F8C" w:rsidRDefault="000F6636" w:rsidP="00484DB0">
            <w:pPr>
              <w:pStyle w:val="Bezriadkovania"/>
              <w:jc w:val="center"/>
              <w:rPr>
                <w:sz w:val="18"/>
                <w:szCs w:val="18"/>
              </w:rPr>
            </w:pPr>
          </w:p>
        </w:tc>
        <w:tc>
          <w:tcPr>
            <w:tcW w:w="1033" w:type="dxa"/>
            <w:tcBorders>
              <w:top w:val="nil"/>
              <w:left w:val="nil"/>
              <w:right w:val="nil"/>
            </w:tcBorders>
            <w:shd w:val="clear" w:color="auto" w:fill="auto"/>
            <w:noWrap/>
            <w:vAlign w:val="center"/>
          </w:tcPr>
          <w:p w14:paraId="11E12D7B"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069A7851" w14:textId="77777777" w:rsidR="000F6636" w:rsidRPr="00741F8C" w:rsidRDefault="000F6636" w:rsidP="00484DB0">
            <w:pPr>
              <w:pStyle w:val="Bezriadkovania"/>
              <w:jc w:val="center"/>
              <w:rPr>
                <w:sz w:val="18"/>
                <w:szCs w:val="18"/>
              </w:rPr>
            </w:pPr>
            <w:r w:rsidRPr="00741F8C">
              <w:rPr>
                <w:color w:val="000000"/>
                <w:sz w:val="18"/>
                <w:szCs w:val="18"/>
              </w:rPr>
              <w:t>0,2</w:t>
            </w:r>
          </w:p>
        </w:tc>
        <w:tc>
          <w:tcPr>
            <w:tcW w:w="997" w:type="dxa"/>
            <w:tcBorders>
              <w:top w:val="nil"/>
              <w:left w:val="nil"/>
              <w:right w:val="nil"/>
            </w:tcBorders>
            <w:shd w:val="clear" w:color="auto" w:fill="auto"/>
            <w:noWrap/>
            <w:vAlign w:val="center"/>
          </w:tcPr>
          <w:p w14:paraId="6F066A7A" w14:textId="77777777" w:rsidR="000F6636" w:rsidRPr="00741F8C" w:rsidRDefault="000F6636" w:rsidP="00484DB0">
            <w:pPr>
              <w:pStyle w:val="Bezriadkovania"/>
              <w:jc w:val="center"/>
              <w:rPr>
                <w:sz w:val="18"/>
                <w:szCs w:val="18"/>
              </w:rPr>
            </w:pPr>
            <w:r w:rsidRPr="00741F8C">
              <w:rPr>
                <w:color w:val="000000"/>
                <w:sz w:val="18"/>
                <w:szCs w:val="18"/>
              </w:rPr>
              <w:t>0,3</w:t>
            </w:r>
          </w:p>
        </w:tc>
        <w:tc>
          <w:tcPr>
            <w:tcW w:w="1003" w:type="dxa"/>
            <w:tcBorders>
              <w:top w:val="nil"/>
              <w:left w:val="nil"/>
              <w:right w:val="nil"/>
            </w:tcBorders>
            <w:vAlign w:val="center"/>
          </w:tcPr>
          <w:p w14:paraId="642FCD38" w14:textId="77777777" w:rsidR="000F6636" w:rsidRPr="00741F8C" w:rsidRDefault="000F6636" w:rsidP="00484DB0">
            <w:pPr>
              <w:pStyle w:val="Bezriadkovania"/>
              <w:jc w:val="center"/>
              <w:rPr>
                <w:sz w:val="18"/>
                <w:szCs w:val="18"/>
              </w:rPr>
            </w:pPr>
            <w:r w:rsidRPr="00741F8C">
              <w:rPr>
                <w:color w:val="000000"/>
                <w:sz w:val="18"/>
                <w:szCs w:val="18"/>
              </w:rPr>
              <w:t>0,4</w:t>
            </w:r>
          </w:p>
        </w:tc>
        <w:tc>
          <w:tcPr>
            <w:tcW w:w="1118" w:type="dxa"/>
            <w:gridSpan w:val="2"/>
            <w:tcBorders>
              <w:top w:val="nil"/>
              <w:left w:val="nil"/>
              <w:right w:val="nil"/>
            </w:tcBorders>
            <w:shd w:val="clear" w:color="auto" w:fill="auto"/>
            <w:noWrap/>
            <w:vAlign w:val="center"/>
          </w:tcPr>
          <w:p w14:paraId="18E0C3C6" w14:textId="77777777" w:rsidR="000F6636" w:rsidRPr="00741F8C" w:rsidRDefault="000F6636" w:rsidP="00484DB0">
            <w:pPr>
              <w:pStyle w:val="Bezriadkovania"/>
              <w:jc w:val="center"/>
              <w:rPr>
                <w:sz w:val="18"/>
                <w:szCs w:val="18"/>
              </w:rPr>
            </w:pPr>
            <w:r w:rsidRPr="00741F8C">
              <w:rPr>
                <w:color w:val="000000"/>
                <w:sz w:val="18"/>
                <w:szCs w:val="18"/>
              </w:rPr>
              <w:t>0,3</w:t>
            </w:r>
          </w:p>
        </w:tc>
      </w:tr>
      <w:tr w:rsidR="000F6636" w:rsidRPr="00741F8C" w14:paraId="0F2CE2A4" w14:textId="77777777" w:rsidTr="00484DB0">
        <w:trPr>
          <w:trHeight w:val="199"/>
        </w:trPr>
        <w:tc>
          <w:tcPr>
            <w:tcW w:w="2420" w:type="dxa"/>
            <w:tcBorders>
              <w:top w:val="nil"/>
              <w:left w:val="nil"/>
              <w:right w:val="nil"/>
            </w:tcBorders>
            <w:shd w:val="clear" w:color="auto" w:fill="auto"/>
            <w:noWrap/>
            <w:vAlign w:val="center"/>
          </w:tcPr>
          <w:p w14:paraId="3AC89169" w14:textId="77777777" w:rsidR="000F6636" w:rsidRPr="00741F8C" w:rsidRDefault="000F6636" w:rsidP="00484DB0">
            <w:pPr>
              <w:rPr>
                <w:rFonts w:cs="Times New Roman"/>
                <w:color w:val="000000"/>
                <w:sz w:val="18"/>
                <w:szCs w:val="18"/>
              </w:rPr>
            </w:pPr>
            <w:r w:rsidRPr="00741F8C">
              <w:rPr>
                <w:rFonts w:cs="Times New Roman"/>
                <w:color w:val="000000"/>
                <w:sz w:val="18"/>
                <w:szCs w:val="18"/>
              </w:rPr>
              <w:t>- Kapitálové transfery</w:t>
            </w:r>
          </w:p>
        </w:tc>
        <w:tc>
          <w:tcPr>
            <w:tcW w:w="851" w:type="dxa"/>
            <w:tcBorders>
              <w:top w:val="nil"/>
              <w:left w:val="nil"/>
              <w:right w:val="nil"/>
            </w:tcBorders>
            <w:shd w:val="clear" w:color="auto" w:fill="auto"/>
            <w:vAlign w:val="center"/>
          </w:tcPr>
          <w:p w14:paraId="3B7F2996" w14:textId="77777777" w:rsidR="000F6636" w:rsidRPr="00741F8C" w:rsidRDefault="000F6636" w:rsidP="00484DB0">
            <w:pPr>
              <w:jc w:val="center"/>
              <w:rPr>
                <w:rFonts w:cs="Times New Roman"/>
                <w:sz w:val="18"/>
                <w:szCs w:val="18"/>
              </w:rPr>
            </w:pPr>
            <w:r w:rsidRPr="00741F8C">
              <w:rPr>
                <w:rFonts w:cs="Times New Roman"/>
                <w:sz w:val="18"/>
                <w:szCs w:val="18"/>
              </w:rPr>
              <w:t>D.9</w:t>
            </w:r>
          </w:p>
        </w:tc>
        <w:tc>
          <w:tcPr>
            <w:tcW w:w="765" w:type="dxa"/>
            <w:gridSpan w:val="2"/>
            <w:tcBorders>
              <w:top w:val="nil"/>
              <w:left w:val="nil"/>
              <w:right w:val="nil"/>
            </w:tcBorders>
            <w:vAlign w:val="center"/>
          </w:tcPr>
          <w:p w14:paraId="186B3211" w14:textId="77777777" w:rsidR="000F6636" w:rsidRPr="00741F8C" w:rsidRDefault="000F6636" w:rsidP="00484DB0">
            <w:pPr>
              <w:pStyle w:val="Bezriadkovania"/>
              <w:jc w:val="center"/>
              <w:rPr>
                <w:sz w:val="18"/>
                <w:szCs w:val="18"/>
              </w:rPr>
            </w:pPr>
          </w:p>
        </w:tc>
        <w:tc>
          <w:tcPr>
            <w:tcW w:w="1033" w:type="dxa"/>
            <w:tcBorders>
              <w:top w:val="nil"/>
              <w:left w:val="nil"/>
              <w:right w:val="nil"/>
            </w:tcBorders>
            <w:shd w:val="clear" w:color="auto" w:fill="auto"/>
            <w:noWrap/>
            <w:vAlign w:val="center"/>
          </w:tcPr>
          <w:p w14:paraId="636C7018" w14:textId="77777777" w:rsidR="000F6636" w:rsidRPr="00741F8C" w:rsidRDefault="000F6636" w:rsidP="00484DB0">
            <w:pPr>
              <w:pStyle w:val="Bezriadkovania"/>
              <w:jc w:val="center"/>
              <w:rPr>
                <w:sz w:val="18"/>
                <w:szCs w:val="18"/>
              </w:rPr>
            </w:pPr>
          </w:p>
        </w:tc>
        <w:tc>
          <w:tcPr>
            <w:tcW w:w="997" w:type="dxa"/>
            <w:tcBorders>
              <w:top w:val="nil"/>
              <w:left w:val="nil"/>
              <w:right w:val="nil"/>
            </w:tcBorders>
            <w:shd w:val="clear" w:color="auto" w:fill="auto"/>
            <w:noWrap/>
            <w:vAlign w:val="center"/>
          </w:tcPr>
          <w:p w14:paraId="52153238" w14:textId="77777777" w:rsidR="000F6636" w:rsidRPr="00741F8C" w:rsidRDefault="000F6636" w:rsidP="00484DB0">
            <w:pPr>
              <w:pStyle w:val="Bezriadkovania"/>
              <w:jc w:val="center"/>
              <w:rPr>
                <w:sz w:val="18"/>
                <w:szCs w:val="18"/>
              </w:rPr>
            </w:pPr>
            <w:r w:rsidRPr="00741F8C">
              <w:rPr>
                <w:color w:val="000000"/>
                <w:sz w:val="18"/>
                <w:szCs w:val="18"/>
              </w:rPr>
              <w:t>0,0</w:t>
            </w:r>
          </w:p>
        </w:tc>
        <w:tc>
          <w:tcPr>
            <w:tcW w:w="997" w:type="dxa"/>
            <w:tcBorders>
              <w:top w:val="nil"/>
              <w:left w:val="nil"/>
              <w:right w:val="nil"/>
            </w:tcBorders>
            <w:shd w:val="clear" w:color="auto" w:fill="auto"/>
            <w:noWrap/>
            <w:vAlign w:val="center"/>
          </w:tcPr>
          <w:p w14:paraId="12345E98" w14:textId="77777777" w:rsidR="000F6636" w:rsidRPr="00741F8C" w:rsidRDefault="000F6636" w:rsidP="00484DB0">
            <w:pPr>
              <w:pStyle w:val="Bezriadkovania"/>
              <w:jc w:val="center"/>
              <w:rPr>
                <w:sz w:val="18"/>
                <w:szCs w:val="18"/>
              </w:rPr>
            </w:pPr>
            <w:r w:rsidRPr="00741F8C">
              <w:rPr>
                <w:color w:val="000000"/>
                <w:sz w:val="18"/>
                <w:szCs w:val="18"/>
              </w:rPr>
              <w:t>0,3</w:t>
            </w:r>
          </w:p>
        </w:tc>
        <w:tc>
          <w:tcPr>
            <w:tcW w:w="1003" w:type="dxa"/>
            <w:tcBorders>
              <w:top w:val="nil"/>
              <w:left w:val="nil"/>
              <w:right w:val="nil"/>
            </w:tcBorders>
            <w:vAlign w:val="center"/>
          </w:tcPr>
          <w:p w14:paraId="7E1DB54C" w14:textId="77777777" w:rsidR="000F6636" w:rsidRPr="00741F8C" w:rsidRDefault="000F6636" w:rsidP="00484DB0">
            <w:pPr>
              <w:pStyle w:val="Bezriadkovania"/>
              <w:jc w:val="center"/>
              <w:rPr>
                <w:sz w:val="18"/>
                <w:szCs w:val="18"/>
              </w:rPr>
            </w:pPr>
            <w:r w:rsidRPr="00741F8C">
              <w:rPr>
                <w:color w:val="000000"/>
                <w:sz w:val="18"/>
                <w:szCs w:val="18"/>
              </w:rPr>
              <w:t>0,2</w:t>
            </w:r>
          </w:p>
        </w:tc>
        <w:tc>
          <w:tcPr>
            <w:tcW w:w="1118" w:type="dxa"/>
            <w:gridSpan w:val="2"/>
            <w:tcBorders>
              <w:top w:val="nil"/>
              <w:left w:val="nil"/>
              <w:right w:val="nil"/>
            </w:tcBorders>
            <w:shd w:val="clear" w:color="auto" w:fill="auto"/>
            <w:noWrap/>
            <w:vAlign w:val="center"/>
          </w:tcPr>
          <w:p w14:paraId="54C11AC5" w14:textId="77777777" w:rsidR="000F6636" w:rsidRPr="00741F8C" w:rsidRDefault="000F6636" w:rsidP="00484DB0">
            <w:pPr>
              <w:pStyle w:val="Bezriadkovania"/>
              <w:jc w:val="center"/>
              <w:rPr>
                <w:sz w:val="18"/>
                <w:szCs w:val="18"/>
              </w:rPr>
            </w:pPr>
            <w:r w:rsidRPr="00741F8C">
              <w:rPr>
                <w:color w:val="000000"/>
                <w:sz w:val="18"/>
                <w:szCs w:val="18"/>
              </w:rPr>
              <w:t>0,0</w:t>
            </w:r>
          </w:p>
        </w:tc>
      </w:tr>
      <w:tr w:rsidR="000F6636" w:rsidRPr="00741F8C" w14:paraId="204809CE" w14:textId="77777777" w:rsidTr="00484DB0">
        <w:trPr>
          <w:trHeight w:val="199"/>
        </w:trPr>
        <w:tc>
          <w:tcPr>
            <w:tcW w:w="2420" w:type="dxa"/>
            <w:tcBorders>
              <w:top w:val="nil"/>
              <w:left w:val="nil"/>
              <w:right w:val="nil"/>
            </w:tcBorders>
            <w:shd w:val="clear" w:color="auto" w:fill="auto"/>
            <w:noWrap/>
            <w:vAlign w:val="center"/>
          </w:tcPr>
          <w:p w14:paraId="47FF76B5" w14:textId="77777777" w:rsidR="000F6636" w:rsidRPr="00741F8C" w:rsidRDefault="000F6636" w:rsidP="00484DB0">
            <w:pPr>
              <w:rPr>
                <w:rFonts w:cs="Times New Roman"/>
                <w:color w:val="000000"/>
                <w:sz w:val="18"/>
                <w:szCs w:val="18"/>
              </w:rPr>
            </w:pPr>
            <w:r w:rsidRPr="00741F8C">
              <w:rPr>
                <w:rFonts w:cs="Times New Roman"/>
                <w:color w:val="000000"/>
                <w:sz w:val="18"/>
                <w:szCs w:val="18"/>
              </w:rPr>
              <w:t>Iné výdavky financované z grantu</w:t>
            </w:r>
          </w:p>
        </w:tc>
        <w:tc>
          <w:tcPr>
            <w:tcW w:w="851" w:type="dxa"/>
            <w:tcBorders>
              <w:top w:val="nil"/>
              <w:left w:val="nil"/>
              <w:right w:val="nil"/>
            </w:tcBorders>
            <w:shd w:val="clear" w:color="auto" w:fill="auto"/>
            <w:vAlign w:val="center"/>
          </w:tcPr>
          <w:p w14:paraId="2E79E262" w14:textId="77777777" w:rsidR="000F6636" w:rsidRPr="00741F8C" w:rsidRDefault="000F6636" w:rsidP="00484DB0">
            <w:pPr>
              <w:jc w:val="center"/>
              <w:rPr>
                <w:rFonts w:cs="Times New Roman"/>
                <w:sz w:val="18"/>
                <w:szCs w:val="18"/>
              </w:rPr>
            </w:pPr>
          </w:p>
        </w:tc>
        <w:tc>
          <w:tcPr>
            <w:tcW w:w="765" w:type="dxa"/>
            <w:gridSpan w:val="2"/>
            <w:tcBorders>
              <w:top w:val="nil"/>
              <w:left w:val="nil"/>
              <w:right w:val="nil"/>
            </w:tcBorders>
            <w:vAlign w:val="center"/>
          </w:tcPr>
          <w:p w14:paraId="14EEA145" w14:textId="77777777" w:rsidR="000F6636" w:rsidRPr="00741F8C" w:rsidRDefault="000F6636" w:rsidP="00484DB0">
            <w:pPr>
              <w:jc w:val="center"/>
              <w:rPr>
                <w:rFonts w:cs="Times New Roman"/>
                <w:sz w:val="18"/>
                <w:szCs w:val="18"/>
              </w:rPr>
            </w:pPr>
          </w:p>
        </w:tc>
        <w:tc>
          <w:tcPr>
            <w:tcW w:w="1033" w:type="dxa"/>
            <w:tcBorders>
              <w:top w:val="nil"/>
              <w:left w:val="nil"/>
              <w:right w:val="nil"/>
            </w:tcBorders>
            <w:shd w:val="clear" w:color="auto" w:fill="auto"/>
            <w:noWrap/>
            <w:vAlign w:val="center"/>
          </w:tcPr>
          <w:p w14:paraId="21AD9B7A" w14:textId="77777777" w:rsidR="000F6636" w:rsidRPr="00741F8C" w:rsidRDefault="000F6636" w:rsidP="00484DB0">
            <w:pPr>
              <w:jc w:val="center"/>
              <w:rPr>
                <w:rFonts w:cs="Times New Roman"/>
                <w:sz w:val="18"/>
                <w:szCs w:val="18"/>
              </w:rPr>
            </w:pPr>
          </w:p>
        </w:tc>
        <w:tc>
          <w:tcPr>
            <w:tcW w:w="997" w:type="dxa"/>
            <w:tcBorders>
              <w:top w:val="nil"/>
              <w:left w:val="nil"/>
              <w:right w:val="nil"/>
            </w:tcBorders>
            <w:shd w:val="clear" w:color="auto" w:fill="auto"/>
            <w:noWrap/>
            <w:vAlign w:val="center"/>
          </w:tcPr>
          <w:p w14:paraId="1C324EC5" w14:textId="77777777" w:rsidR="000F6636" w:rsidRPr="00741F8C" w:rsidRDefault="000F6636" w:rsidP="00484DB0">
            <w:pPr>
              <w:jc w:val="center"/>
              <w:rPr>
                <w:rFonts w:cs="Times New Roman"/>
                <w:sz w:val="18"/>
                <w:szCs w:val="18"/>
              </w:rPr>
            </w:pPr>
          </w:p>
        </w:tc>
        <w:tc>
          <w:tcPr>
            <w:tcW w:w="997" w:type="dxa"/>
            <w:tcBorders>
              <w:top w:val="nil"/>
              <w:left w:val="nil"/>
              <w:right w:val="nil"/>
            </w:tcBorders>
            <w:shd w:val="clear" w:color="auto" w:fill="auto"/>
            <w:noWrap/>
            <w:vAlign w:val="center"/>
          </w:tcPr>
          <w:p w14:paraId="51049EED" w14:textId="77777777" w:rsidR="000F6636" w:rsidRPr="00741F8C" w:rsidRDefault="000F6636" w:rsidP="00484DB0">
            <w:pPr>
              <w:jc w:val="center"/>
              <w:rPr>
                <w:rFonts w:cs="Times New Roman"/>
                <w:sz w:val="18"/>
                <w:szCs w:val="18"/>
              </w:rPr>
            </w:pPr>
          </w:p>
        </w:tc>
        <w:tc>
          <w:tcPr>
            <w:tcW w:w="1003" w:type="dxa"/>
            <w:tcBorders>
              <w:top w:val="nil"/>
              <w:left w:val="nil"/>
              <w:right w:val="nil"/>
            </w:tcBorders>
            <w:vAlign w:val="center"/>
          </w:tcPr>
          <w:p w14:paraId="3951CF40" w14:textId="77777777" w:rsidR="000F6636" w:rsidRPr="00741F8C" w:rsidRDefault="000F6636" w:rsidP="00484DB0">
            <w:pPr>
              <w:jc w:val="center"/>
              <w:rPr>
                <w:rFonts w:cs="Times New Roman"/>
                <w:sz w:val="18"/>
                <w:szCs w:val="18"/>
              </w:rPr>
            </w:pPr>
          </w:p>
        </w:tc>
        <w:tc>
          <w:tcPr>
            <w:tcW w:w="1118" w:type="dxa"/>
            <w:gridSpan w:val="2"/>
            <w:tcBorders>
              <w:top w:val="nil"/>
              <w:left w:val="nil"/>
              <w:right w:val="nil"/>
            </w:tcBorders>
            <w:shd w:val="clear" w:color="auto" w:fill="auto"/>
            <w:noWrap/>
            <w:vAlign w:val="center"/>
          </w:tcPr>
          <w:p w14:paraId="1288AC56" w14:textId="77777777" w:rsidR="000F6636" w:rsidRPr="00741F8C" w:rsidRDefault="000F6636" w:rsidP="00484DB0">
            <w:pPr>
              <w:jc w:val="center"/>
              <w:rPr>
                <w:rFonts w:cs="Times New Roman"/>
                <w:sz w:val="18"/>
                <w:szCs w:val="18"/>
              </w:rPr>
            </w:pPr>
          </w:p>
        </w:tc>
      </w:tr>
      <w:tr w:rsidR="000F6636" w:rsidRPr="00741F8C" w14:paraId="3DB57FBA" w14:textId="77777777" w:rsidTr="00484DB0">
        <w:trPr>
          <w:trHeight w:val="199"/>
        </w:trPr>
        <w:tc>
          <w:tcPr>
            <w:tcW w:w="2420" w:type="dxa"/>
            <w:tcBorders>
              <w:top w:val="nil"/>
              <w:left w:val="nil"/>
              <w:right w:val="nil"/>
            </w:tcBorders>
            <w:shd w:val="clear" w:color="auto" w:fill="auto"/>
            <w:noWrap/>
            <w:vAlign w:val="center"/>
          </w:tcPr>
          <w:p w14:paraId="06ACDDE9"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5. Zníženie daňových príjmov</w:t>
            </w:r>
          </w:p>
        </w:tc>
        <w:tc>
          <w:tcPr>
            <w:tcW w:w="851" w:type="dxa"/>
            <w:tcBorders>
              <w:top w:val="nil"/>
              <w:left w:val="nil"/>
              <w:right w:val="nil"/>
            </w:tcBorders>
            <w:shd w:val="clear" w:color="auto" w:fill="auto"/>
            <w:vAlign w:val="center"/>
          </w:tcPr>
          <w:p w14:paraId="30C9DE5B" w14:textId="77777777" w:rsidR="000F6636" w:rsidRPr="00741F8C" w:rsidRDefault="000F6636" w:rsidP="00484DB0">
            <w:pPr>
              <w:jc w:val="center"/>
              <w:rPr>
                <w:rFonts w:cs="Times New Roman"/>
                <w:sz w:val="18"/>
                <w:szCs w:val="18"/>
              </w:rPr>
            </w:pPr>
          </w:p>
        </w:tc>
        <w:tc>
          <w:tcPr>
            <w:tcW w:w="765" w:type="dxa"/>
            <w:gridSpan w:val="2"/>
            <w:tcBorders>
              <w:top w:val="nil"/>
              <w:left w:val="nil"/>
              <w:right w:val="nil"/>
            </w:tcBorders>
            <w:vAlign w:val="center"/>
          </w:tcPr>
          <w:p w14:paraId="4B641110" w14:textId="77777777" w:rsidR="000F6636" w:rsidRPr="00741F8C" w:rsidRDefault="000F6636" w:rsidP="00484DB0">
            <w:pPr>
              <w:jc w:val="center"/>
              <w:rPr>
                <w:rFonts w:cs="Times New Roman"/>
                <w:sz w:val="18"/>
                <w:szCs w:val="18"/>
              </w:rPr>
            </w:pPr>
          </w:p>
        </w:tc>
        <w:tc>
          <w:tcPr>
            <w:tcW w:w="1033" w:type="dxa"/>
            <w:tcBorders>
              <w:top w:val="nil"/>
              <w:left w:val="nil"/>
              <w:right w:val="nil"/>
            </w:tcBorders>
            <w:shd w:val="clear" w:color="auto" w:fill="auto"/>
            <w:noWrap/>
            <w:vAlign w:val="center"/>
          </w:tcPr>
          <w:p w14:paraId="58EF8201"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997" w:type="dxa"/>
            <w:tcBorders>
              <w:top w:val="nil"/>
              <w:left w:val="nil"/>
              <w:right w:val="nil"/>
            </w:tcBorders>
            <w:shd w:val="clear" w:color="auto" w:fill="auto"/>
            <w:noWrap/>
            <w:vAlign w:val="center"/>
          </w:tcPr>
          <w:p w14:paraId="775B4F7B"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997" w:type="dxa"/>
            <w:tcBorders>
              <w:top w:val="nil"/>
              <w:left w:val="nil"/>
              <w:right w:val="nil"/>
            </w:tcBorders>
            <w:shd w:val="clear" w:color="auto" w:fill="auto"/>
            <w:noWrap/>
            <w:vAlign w:val="center"/>
          </w:tcPr>
          <w:p w14:paraId="050509D6"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1003" w:type="dxa"/>
            <w:tcBorders>
              <w:top w:val="nil"/>
              <w:left w:val="nil"/>
              <w:right w:val="nil"/>
            </w:tcBorders>
            <w:vAlign w:val="center"/>
          </w:tcPr>
          <w:p w14:paraId="2D571CCD"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1118" w:type="dxa"/>
            <w:gridSpan w:val="2"/>
            <w:tcBorders>
              <w:top w:val="nil"/>
              <w:left w:val="nil"/>
              <w:right w:val="nil"/>
            </w:tcBorders>
            <w:shd w:val="clear" w:color="auto" w:fill="auto"/>
            <w:noWrap/>
            <w:vAlign w:val="center"/>
          </w:tcPr>
          <w:p w14:paraId="01F8B7F2" w14:textId="77777777" w:rsidR="000F6636" w:rsidRPr="00741F8C" w:rsidRDefault="000F6636" w:rsidP="00484DB0">
            <w:pPr>
              <w:jc w:val="center"/>
              <w:rPr>
                <w:rFonts w:cs="Times New Roman"/>
                <w:sz w:val="18"/>
                <w:szCs w:val="18"/>
              </w:rPr>
            </w:pPr>
            <w:r w:rsidRPr="00741F8C">
              <w:rPr>
                <w:b/>
                <w:bCs/>
                <w:color w:val="000000"/>
                <w:sz w:val="18"/>
                <w:szCs w:val="18"/>
              </w:rPr>
              <w:t>0,0</w:t>
            </w:r>
          </w:p>
        </w:tc>
      </w:tr>
      <w:tr w:rsidR="000F6636" w:rsidRPr="00741F8C" w14:paraId="6DB89BD3" w14:textId="77777777" w:rsidTr="00484DB0">
        <w:trPr>
          <w:trHeight w:val="199"/>
        </w:trPr>
        <w:tc>
          <w:tcPr>
            <w:tcW w:w="2420" w:type="dxa"/>
            <w:tcBorders>
              <w:top w:val="nil"/>
              <w:left w:val="nil"/>
              <w:right w:val="nil"/>
            </w:tcBorders>
            <w:shd w:val="clear" w:color="auto" w:fill="auto"/>
            <w:noWrap/>
            <w:vAlign w:val="center"/>
          </w:tcPr>
          <w:p w14:paraId="76F1E0FB"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6. Iné výdavky s vplyvom na príjmy</w:t>
            </w:r>
          </w:p>
        </w:tc>
        <w:tc>
          <w:tcPr>
            <w:tcW w:w="851" w:type="dxa"/>
            <w:tcBorders>
              <w:top w:val="nil"/>
              <w:left w:val="nil"/>
              <w:right w:val="nil"/>
            </w:tcBorders>
            <w:shd w:val="clear" w:color="auto" w:fill="auto"/>
            <w:vAlign w:val="center"/>
          </w:tcPr>
          <w:p w14:paraId="3850E8EE" w14:textId="77777777" w:rsidR="000F6636" w:rsidRPr="00741F8C" w:rsidRDefault="000F6636" w:rsidP="00484DB0">
            <w:pPr>
              <w:jc w:val="center"/>
              <w:rPr>
                <w:rFonts w:cs="Times New Roman"/>
                <w:sz w:val="18"/>
                <w:szCs w:val="18"/>
              </w:rPr>
            </w:pPr>
          </w:p>
        </w:tc>
        <w:tc>
          <w:tcPr>
            <w:tcW w:w="765" w:type="dxa"/>
            <w:gridSpan w:val="2"/>
            <w:tcBorders>
              <w:top w:val="nil"/>
              <w:left w:val="nil"/>
              <w:right w:val="nil"/>
            </w:tcBorders>
            <w:vAlign w:val="center"/>
          </w:tcPr>
          <w:p w14:paraId="1304D418" w14:textId="77777777" w:rsidR="000F6636" w:rsidRPr="00741F8C" w:rsidRDefault="000F6636" w:rsidP="00484DB0">
            <w:pPr>
              <w:jc w:val="center"/>
              <w:rPr>
                <w:rFonts w:cs="Times New Roman"/>
                <w:sz w:val="18"/>
                <w:szCs w:val="18"/>
              </w:rPr>
            </w:pPr>
          </w:p>
        </w:tc>
        <w:tc>
          <w:tcPr>
            <w:tcW w:w="1033" w:type="dxa"/>
            <w:tcBorders>
              <w:top w:val="nil"/>
              <w:left w:val="nil"/>
              <w:right w:val="nil"/>
            </w:tcBorders>
            <w:shd w:val="clear" w:color="auto" w:fill="auto"/>
            <w:noWrap/>
            <w:vAlign w:val="center"/>
          </w:tcPr>
          <w:p w14:paraId="3B496A32"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997" w:type="dxa"/>
            <w:tcBorders>
              <w:top w:val="nil"/>
              <w:left w:val="nil"/>
              <w:right w:val="nil"/>
            </w:tcBorders>
            <w:shd w:val="clear" w:color="auto" w:fill="auto"/>
            <w:noWrap/>
            <w:vAlign w:val="center"/>
          </w:tcPr>
          <w:p w14:paraId="0A7BD2F7"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997" w:type="dxa"/>
            <w:tcBorders>
              <w:top w:val="nil"/>
              <w:left w:val="nil"/>
              <w:right w:val="nil"/>
            </w:tcBorders>
            <w:shd w:val="clear" w:color="auto" w:fill="auto"/>
            <w:noWrap/>
            <w:vAlign w:val="center"/>
          </w:tcPr>
          <w:p w14:paraId="4B58F631"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1003" w:type="dxa"/>
            <w:tcBorders>
              <w:top w:val="nil"/>
              <w:left w:val="nil"/>
              <w:right w:val="nil"/>
            </w:tcBorders>
            <w:vAlign w:val="center"/>
          </w:tcPr>
          <w:p w14:paraId="2EE992F0"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1118" w:type="dxa"/>
            <w:gridSpan w:val="2"/>
            <w:tcBorders>
              <w:top w:val="nil"/>
              <w:left w:val="nil"/>
              <w:right w:val="nil"/>
            </w:tcBorders>
            <w:shd w:val="clear" w:color="auto" w:fill="auto"/>
            <w:noWrap/>
            <w:vAlign w:val="center"/>
          </w:tcPr>
          <w:p w14:paraId="51B6D28F" w14:textId="77777777" w:rsidR="000F6636" w:rsidRPr="00741F8C" w:rsidRDefault="000F6636" w:rsidP="00484DB0">
            <w:pPr>
              <w:jc w:val="center"/>
              <w:rPr>
                <w:rFonts w:cs="Times New Roman"/>
                <w:sz w:val="18"/>
                <w:szCs w:val="18"/>
              </w:rPr>
            </w:pPr>
            <w:r w:rsidRPr="00741F8C">
              <w:rPr>
                <w:b/>
                <w:bCs/>
                <w:color w:val="000000"/>
                <w:sz w:val="18"/>
                <w:szCs w:val="18"/>
              </w:rPr>
              <w:t>0,0</w:t>
            </w:r>
          </w:p>
        </w:tc>
      </w:tr>
      <w:tr w:rsidR="000F6636" w:rsidRPr="00741F8C" w14:paraId="320E3BC2" w14:textId="77777777" w:rsidTr="00484DB0">
        <w:trPr>
          <w:trHeight w:val="199"/>
        </w:trPr>
        <w:tc>
          <w:tcPr>
            <w:tcW w:w="2420" w:type="dxa"/>
            <w:tcBorders>
              <w:top w:val="nil"/>
              <w:left w:val="nil"/>
              <w:bottom w:val="single" w:sz="4" w:space="0" w:color="auto"/>
              <w:right w:val="nil"/>
            </w:tcBorders>
            <w:shd w:val="clear" w:color="auto" w:fill="auto"/>
            <w:noWrap/>
            <w:vAlign w:val="center"/>
          </w:tcPr>
          <w:p w14:paraId="5E3EF2B9" w14:textId="77777777" w:rsidR="000F6636" w:rsidRPr="00741F8C" w:rsidRDefault="000F6636" w:rsidP="00484DB0">
            <w:pPr>
              <w:rPr>
                <w:rFonts w:cs="Times New Roman"/>
                <w:b/>
                <w:color w:val="000000"/>
                <w:sz w:val="18"/>
                <w:szCs w:val="18"/>
              </w:rPr>
            </w:pPr>
            <w:r w:rsidRPr="00741F8C">
              <w:rPr>
                <w:rFonts w:cs="Times New Roman"/>
                <w:b/>
                <w:color w:val="000000"/>
                <w:sz w:val="18"/>
                <w:szCs w:val="18"/>
              </w:rPr>
              <w:t>7. Finančné transakcie</w:t>
            </w:r>
          </w:p>
        </w:tc>
        <w:tc>
          <w:tcPr>
            <w:tcW w:w="851" w:type="dxa"/>
            <w:tcBorders>
              <w:top w:val="nil"/>
              <w:left w:val="nil"/>
              <w:bottom w:val="single" w:sz="4" w:space="0" w:color="auto"/>
              <w:right w:val="nil"/>
            </w:tcBorders>
            <w:shd w:val="clear" w:color="auto" w:fill="auto"/>
            <w:vAlign w:val="center"/>
          </w:tcPr>
          <w:p w14:paraId="2FF293D3" w14:textId="77777777" w:rsidR="000F6636" w:rsidRPr="00741F8C" w:rsidRDefault="000F6636" w:rsidP="00484DB0">
            <w:pPr>
              <w:jc w:val="center"/>
              <w:rPr>
                <w:rFonts w:cs="Times New Roman"/>
                <w:sz w:val="18"/>
                <w:szCs w:val="18"/>
              </w:rPr>
            </w:pPr>
          </w:p>
        </w:tc>
        <w:tc>
          <w:tcPr>
            <w:tcW w:w="765" w:type="dxa"/>
            <w:gridSpan w:val="2"/>
            <w:tcBorders>
              <w:top w:val="nil"/>
              <w:left w:val="nil"/>
              <w:bottom w:val="single" w:sz="4" w:space="0" w:color="auto"/>
              <w:right w:val="nil"/>
            </w:tcBorders>
            <w:vAlign w:val="center"/>
          </w:tcPr>
          <w:p w14:paraId="081DDFB8" w14:textId="77777777" w:rsidR="000F6636" w:rsidRPr="00741F8C" w:rsidRDefault="000F6636" w:rsidP="00484DB0">
            <w:pPr>
              <w:jc w:val="center"/>
              <w:rPr>
                <w:rFonts w:cs="Times New Roman"/>
                <w:sz w:val="18"/>
                <w:szCs w:val="18"/>
              </w:rPr>
            </w:pPr>
          </w:p>
        </w:tc>
        <w:tc>
          <w:tcPr>
            <w:tcW w:w="1033" w:type="dxa"/>
            <w:tcBorders>
              <w:top w:val="nil"/>
              <w:left w:val="nil"/>
              <w:bottom w:val="single" w:sz="4" w:space="0" w:color="auto"/>
              <w:right w:val="nil"/>
            </w:tcBorders>
            <w:shd w:val="clear" w:color="auto" w:fill="auto"/>
            <w:noWrap/>
            <w:vAlign w:val="center"/>
          </w:tcPr>
          <w:p w14:paraId="7D1C560E"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997" w:type="dxa"/>
            <w:tcBorders>
              <w:top w:val="nil"/>
              <w:left w:val="nil"/>
              <w:bottom w:val="single" w:sz="4" w:space="0" w:color="auto"/>
              <w:right w:val="nil"/>
            </w:tcBorders>
            <w:shd w:val="clear" w:color="auto" w:fill="auto"/>
            <w:noWrap/>
            <w:vAlign w:val="center"/>
          </w:tcPr>
          <w:p w14:paraId="431E4A7A"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997" w:type="dxa"/>
            <w:tcBorders>
              <w:top w:val="nil"/>
              <w:left w:val="nil"/>
              <w:bottom w:val="single" w:sz="4" w:space="0" w:color="auto"/>
              <w:right w:val="nil"/>
            </w:tcBorders>
            <w:shd w:val="clear" w:color="auto" w:fill="auto"/>
            <w:noWrap/>
            <w:vAlign w:val="center"/>
          </w:tcPr>
          <w:p w14:paraId="7C1BF9AB"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1003" w:type="dxa"/>
            <w:tcBorders>
              <w:top w:val="nil"/>
              <w:left w:val="nil"/>
              <w:bottom w:val="single" w:sz="4" w:space="0" w:color="auto"/>
              <w:right w:val="nil"/>
            </w:tcBorders>
            <w:vAlign w:val="center"/>
          </w:tcPr>
          <w:p w14:paraId="5845FCAC" w14:textId="77777777" w:rsidR="000F6636" w:rsidRPr="00741F8C" w:rsidRDefault="000F6636" w:rsidP="00484DB0">
            <w:pPr>
              <w:jc w:val="center"/>
              <w:rPr>
                <w:rFonts w:cs="Times New Roman"/>
                <w:sz w:val="18"/>
                <w:szCs w:val="18"/>
              </w:rPr>
            </w:pPr>
            <w:r w:rsidRPr="00741F8C">
              <w:rPr>
                <w:b/>
                <w:bCs/>
                <w:color w:val="000000"/>
                <w:sz w:val="18"/>
                <w:szCs w:val="18"/>
              </w:rPr>
              <w:t>0,0</w:t>
            </w:r>
          </w:p>
        </w:tc>
        <w:tc>
          <w:tcPr>
            <w:tcW w:w="1118" w:type="dxa"/>
            <w:gridSpan w:val="2"/>
            <w:tcBorders>
              <w:top w:val="nil"/>
              <w:left w:val="nil"/>
              <w:bottom w:val="single" w:sz="4" w:space="0" w:color="auto"/>
              <w:right w:val="nil"/>
            </w:tcBorders>
            <w:shd w:val="clear" w:color="auto" w:fill="auto"/>
            <w:noWrap/>
            <w:vAlign w:val="center"/>
          </w:tcPr>
          <w:p w14:paraId="0FFB2D87" w14:textId="77777777" w:rsidR="000F6636" w:rsidRPr="00741F8C" w:rsidRDefault="000F6636" w:rsidP="00484DB0">
            <w:pPr>
              <w:jc w:val="center"/>
              <w:rPr>
                <w:rFonts w:cs="Times New Roman"/>
                <w:sz w:val="18"/>
                <w:szCs w:val="18"/>
              </w:rPr>
            </w:pPr>
            <w:r w:rsidRPr="00741F8C">
              <w:rPr>
                <w:b/>
                <w:bCs/>
                <w:color w:val="000000"/>
                <w:sz w:val="18"/>
                <w:szCs w:val="18"/>
              </w:rPr>
              <w:t>0,0</w:t>
            </w:r>
          </w:p>
        </w:tc>
      </w:tr>
      <w:tr w:rsidR="000F6636" w:rsidRPr="00741F8C" w14:paraId="2126595E" w14:textId="77777777" w:rsidTr="00484DB0">
        <w:tblPrEx>
          <w:tblCellMar>
            <w:left w:w="0" w:type="dxa"/>
            <w:right w:w="0" w:type="dxa"/>
          </w:tblCellMar>
        </w:tblPrEx>
        <w:trPr>
          <w:gridAfter w:val="1"/>
          <w:wAfter w:w="225" w:type="dxa"/>
          <w:trHeight w:val="164"/>
        </w:trPr>
        <w:tc>
          <w:tcPr>
            <w:tcW w:w="3412" w:type="dxa"/>
            <w:gridSpan w:val="3"/>
            <w:tcBorders>
              <w:top w:val="nil"/>
              <w:left w:val="nil"/>
              <w:right w:val="nil"/>
            </w:tcBorders>
            <w:shd w:val="clear" w:color="000000" w:fill="FFFFFF"/>
          </w:tcPr>
          <w:p w14:paraId="67173F4A" w14:textId="77777777" w:rsidR="000F6636" w:rsidRPr="00741F8C" w:rsidRDefault="000F6636" w:rsidP="00484DB0">
            <w:pPr>
              <w:jc w:val="right"/>
              <w:rPr>
                <w:rFonts w:cs="Times New Roman"/>
                <w:i/>
                <w:color w:val="000000"/>
                <w:sz w:val="18"/>
                <w:szCs w:val="18"/>
              </w:rPr>
            </w:pPr>
          </w:p>
        </w:tc>
        <w:tc>
          <w:tcPr>
            <w:tcW w:w="5547" w:type="dxa"/>
            <w:gridSpan w:val="6"/>
            <w:tcBorders>
              <w:top w:val="nil"/>
              <w:left w:val="nil"/>
              <w:right w:val="nil"/>
            </w:tcBorders>
            <w:shd w:val="clear" w:color="000000" w:fill="FFFFFF"/>
            <w:noWrap/>
            <w:tcMar>
              <w:top w:w="15" w:type="dxa"/>
              <w:left w:w="15" w:type="dxa"/>
              <w:bottom w:w="0" w:type="dxa"/>
              <w:right w:w="15" w:type="dxa"/>
            </w:tcMar>
            <w:vAlign w:val="bottom"/>
            <w:hideMark/>
          </w:tcPr>
          <w:p w14:paraId="01E3F478" w14:textId="77777777" w:rsidR="000F6636" w:rsidRPr="00741F8C" w:rsidRDefault="000F6636" w:rsidP="00484DB0">
            <w:pPr>
              <w:jc w:val="right"/>
              <w:rPr>
                <w:b/>
                <w:color w:val="2C9ADC"/>
                <w:sz w:val="18"/>
                <w:szCs w:val="18"/>
              </w:rPr>
            </w:pPr>
            <w:r w:rsidRPr="00741F8C">
              <w:rPr>
                <w:rFonts w:cs="Times New Roman"/>
                <w:i/>
                <w:color w:val="000000"/>
                <w:sz w:val="18"/>
                <w:szCs w:val="18"/>
              </w:rPr>
              <w:t>Zdroj: MF SR</w:t>
            </w:r>
          </w:p>
        </w:tc>
      </w:tr>
    </w:tbl>
    <w:p w14:paraId="573F2059" w14:textId="77777777" w:rsidR="000F6636" w:rsidRDefault="000F6636" w:rsidP="000F6636"/>
    <w:p w14:paraId="30DE91FC" w14:textId="16015979" w:rsidR="0043462C" w:rsidRDefault="0043462C" w:rsidP="0043462C">
      <w:pPr>
        <w:jc w:val="both"/>
        <w:rPr>
          <w:rFonts w:eastAsia="Calibri" w:cs="Arial"/>
        </w:rPr>
      </w:pPr>
    </w:p>
    <w:p w14:paraId="4CD232AD" w14:textId="41823721" w:rsidR="0043462C" w:rsidRDefault="0043462C" w:rsidP="0043462C">
      <w:pPr>
        <w:jc w:val="both"/>
        <w:rPr>
          <w:rFonts w:eastAsia="Calibri" w:cs="Arial"/>
        </w:rPr>
      </w:pPr>
    </w:p>
    <w:p w14:paraId="3B89B9DE" w14:textId="65010D19" w:rsidR="0043462C" w:rsidRDefault="0043462C" w:rsidP="0043462C">
      <w:pPr>
        <w:jc w:val="both"/>
        <w:rPr>
          <w:rFonts w:eastAsia="Calibri" w:cs="Arial"/>
        </w:rPr>
      </w:pPr>
    </w:p>
    <w:p w14:paraId="1DDC64D8" w14:textId="68B0A4E5" w:rsidR="0043462C" w:rsidRDefault="0043462C" w:rsidP="0043462C">
      <w:pPr>
        <w:jc w:val="both"/>
        <w:rPr>
          <w:rFonts w:eastAsia="Calibri" w:cs="Arial"/>
        </w:rPr>
      </w:pPr>
    </w:p>
    <w:p w14:paraId="5BB2D090" w14:textId="447C3ADD" w:rsidR="0043462C" w:rsidRDefault="0043462C" w:rsidP="0043462C">
      <w:pPr>
        <w:jc w:val="both"/>
        <w:rPr>
          <w:rFonts w:eastAsia="Calibri" w:cs="Arial"/>
        </w:rPr>
      </w:pPr>
    </w:p>
    <w:sectPr w:rsidR="0043462C" w:rsidSect="00C16E36">
      <w:headerReference w:type="default" r:id="rId32"/>
      <w:footerReference w:type="default" r:id="rId33"/>
      <w:headerReference w:type="first" r:id="rId34"/>
      <w:pgSz w:w="11906" w:h="16838" w:code="9"/>
      <w:pgMar w:top="1276" w:right="1418" w:bottom="1418" w:left="1418"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4E90A" w14:textId="77777777" w:rsidR="00BC482A" w:rsidRDefault="00BC482A" w:rsidP="001543E7">
      <w:r>
        <w:separator/>
      </w:r>
    </w:p>
  </w:endnote>
  <w:endnote w:type="continuationSeparator" w:id="0">
    <w:p w14:paraId="0B61B7F8" w14:textId="77777777" w:rsidR="00BC482A" w:rsidRDefault="00BC482A" w:rsidP="001543E7">
      <w:r>
        <w:continuationSeparator/>
      </w:r>
    </w:p>
  </w:endnote>
  <w:endnote w:type="continuationNotice" w:id="1">
    <w:p w14:paraId="7E88BA3A" w14:textId="77777777" w:rsidR="00BC482A" w:rsidRDefault="00BC4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Malgun Gothic"/>
    <w:charset w:val="00"/>
    <w:family w:val="auto"/>
    <w:pitch w:val="variable"/>
    <w:sig w:usb0="00000003" w:usb1="500079DB" w:usb2="00000010" w:usb3="00000000" w:csb0="00000001" w:csb1="00000000"/>
  </w:font>
  <w:font w:name="Segoe UI">
    <w:altName w:val="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Narrow,Bold">
    <w:panose1 w:val="00000000000000000000"/>
    <w:charset w:val="EE"/>
    <w:family w:val="auto"/>
    <w:notTrueType/>
    <w:pitch w:val="default"/>
    <w:sig w:usb0="00000005" w:usb1="00000000" w:usb2="00000000" w:usb3="00000000" w:csb0="00000002" w:csb1="00000000"/>
  </w:font>
  <w:font w:name="NeueHaasGroteskText W02">
    <w:charset w:val="EE"/>
    <w:family w:val="swiss"/>
    <w:pitch w:val="variable"/>
    <w:sig w:usb0="800000AF" w:usb1="4000204A" w:usb2="00000000" w:usb3="00000000" w:csb0="00000093" w:csb1="00000000"/>
  </w:font>
  <w:font w:name="Garamond">
    <w:panose1 w:val="02020404030301010803"/>
    <w:charset w:val="EE"/>
    <w:family w:val="roman"/>
    <w:pitch w:val="variable"/>
    <w:sig w:usb0="00000287" w:usb1="00000000" w:usb2="00000000" w:usb3="00000000" w:csb0="0000009F" w:csb1="00000000"/>
  </w:font>
  <w:font w:name="ArialNarrow">
    <w:altName w:val="Arial"/>
    <w:panose1 w:val="00000000000000000000"/>
    <w:charset w:val="EE"/>
    <w:family w:val="auto"/>
    <w:notTrueType/>
    <w:pitch w:val="default"/>
    <w:sig w:usb0="00000005" w:usb1="00000000" w:usb2="00000000" w:usb3="00000000" w:csb0="00000002" w:csb1="00000000"/>
  </w:font>
  <w:font w:name="BookAntiqu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739428"/>
      <w:docPartObj>
        <w:docPartGallery w:val="Page Numbers (Bottom of Page)"/>
        <w:docPartUnique/>
      </w:docPartObj>
    </w:sdtPr>
    <w:sdtEndPr/>
    <w:sdtContent>
      <w:p w14:paraId="6F4C93DD" w14:textId="3D50A9CA" w:rsidR="00CF774B" w:rsidRDefault="00CF774B">
        <w:pPr>
          <w:pStyle w:val="Pta"/>
          <w:jc w:val="center"/>
        </w:pPr>
        <w:r>
          <w:fldChar w:fldCharType="begin"/>
        </w:r>
        <w:r>
          <w:instrText>PAGE   \* MERGEFORMAT</w:instrText>
        </w:r>
        <w:r>
          <w:fldChar w:fldCharType="separate"/>
        </w:r>
        <w:r w:rsidR="007435E9">
          <w:rPr>
            <w:noProof/>
          </w:rPr>
          <w:t>22</w:t>
        </w:r>
        <w:r>
          <w:fldChar w:fldCharType="end"/>
        </w:r>
      </w:p>
    </w:sdtContent>
  </w:sdt>
  <w:p w14:paraId="67D16664" w14:textId="77777777" w:rsidR="00CF774B" w:rsidRPr="008D4615" w:rsidRDefault="00CF774B" w:rsidP="008D461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4CE00" w14:textId="77777777" w:rsidR="00BC482A" w:rsidRDefault="00BC482A" w:rsidP="001543E7">
      <w:r>
        <w:separator/>
      </w:r>
    </w:p>
  </w:footnote>
  <w:footnote w:type="continuationSeparator" w:id="0">
    <w:p w14:paraId="52F1A50E" w14:textId="77777777" w:rsidR="00BC482A" w:rsidRDefault="00BC482A" w:rsidP="001543E7">
      <w:r>
        <w:continuationSeparator/>
      </w:r>
    </w:p>
  </w:footnote>
  <w:footnote w:type="continuationNotice" w:id="1">
    <w:p w14:paraId="484C95D2" w14:textId="77777777" w:rsidR="00BC482A" w:rsidRDefault="00BC482A"/>
  </w:footnote>
  <w:footnote w:id="2">
    <w:p w14:paraId="2111B946" w14:textId="77777777" w:rsidR="00330ADF" w:rsidRPr="0037115A" w:rsidRDefault="00330ADF" w:rsidP="00330ADF">
      <w:pPr>
        <w:pStyle w:val="Textpoznmkypodiarou"/>
        <w:ind w:left="142" w:hanging="142"/>
        <w:jc w:val="both"/>
        <w:rPr>
          <w:sz w:val="16"/>
        </w:rPr>
      </w:pPr>
      <w:r w:rsidRPr="00C709CA">
        <w:rPr>
          <w:rStyle w:val="Odkaznapoznmkupodiarou"/>
        </w:rPr>
        <w:footnoteRef/>
      </w:r>
      <w:r w:rsidRPr="00C709CA">
        <w:rPr>
          <w:sz w:val="16"/>
        </w:rPr>
        <w:t xml:space="preserve">  </w:t>
      </w:r>
      <w:r w:rsidRPr="00D3094A">
        <w:rPr>
          <w:sz w:val="16"/>
          <w:szCs w:val="16"/>
        </w:rPr>
        <w:t>Prognóza zahŕňa predpoklad znižovania štrukturálneho deficitu verejných fi</w:t>
      </w:r>
      <w:r>
        <w:rPr>
          <w:sz w:val="16"/>
          <w:szCs w:val="16"/>
        </w:rPr>
        <w:t>nancií o 0,7 % HDP v rokoch 2024-2028.</w:t>
      </w:r>
    </w:p>
  </w:footnote>
  <w:footnote w:id="3">
    <w:p w14:paraId="34561663" w14:textId="77777777" w:rsidR="009A2A34" w:rsidRPr="00200128" w:rsidRDefault="009A2A34" w:rsidP="009A2A34">
      <w:pPr>
        <w:pStyle w:val="Textpoznmkypodiarou"/>
        <w:rPr>
          <w:sz w:val="16"/>
          <w:szCs w:val="16"/>
        </w:rPr>
      </w:pPr>
      <w:r w:rsidRPr="00200128">
        <w:rPr>
          <w:rStyle w:val="Odkaznapoznmkupodiarou"/>
          <w:sz w:val="16"/>
          <w:szCs w:val="16"/>
        </w:rPr>
        <w:footnoteRef/>
      </w:r>
      <w:r w:rsidRPr="00200128">
        <w:rPr>
          <w:sz w:val="16"/>
          <w:szCs w:val="16"/>
        </w:rPr>
        <w:t xml:space="preserve"> V roku 2023 boli skupinou SPP zaplatené dividendy do štátneho rozpočtu vo výške 220 mil. eur, ktoré sa však akruálne započítali do roku 2022.</w:t>
      </w:r>
    </w:p>
  </w:footnote>
  <w:footnote w:id="4">
    <w:p w14:paraId="65A5A33D" w14:textId="77777777" w:rsidR="009A2A34" w:rsidRPr="00127332" w:rsidRDefault="009A2A34" w:rsidP="009A2A34">
      <w:pPr>
        <w:pStyle w:val="Textpoznmkypodiarou"/>
        <w:jc w:val="both"/>
        <w:rPr>
          <w:sz w:val="16"/>
          <w:szCs w:val="16"/>
        </w:rPr>
      </w:pPr>
      <w:r w:rsidRPr="00127332">
        <w:rPr>
          <w:rStyle w:val="Odkaznapoznmkupodiarou"/>
          <w:sz w:val="16"/>
          <w:szCs w:val="16"/>
        </w:rPr>
        <w:footnoteRef/>
      </w:r>
      <w:r w:rsidRPr="00127332">
        <w:rPr>
          <w:sz w:val="16"/>
          <w:szCs w:val="16"/>
        </w:rPr>
        <w:t xml:space="preserve"> Zamestnanosť sa vo verejnom sektore medziročne zvýšila o 0,6 %, čo predstavuje nárast o približne 2,5 tisíc zamestnancov. Najviac rástla zamestnanosť v samosprávach a štátnych zdravotníckych zariadeniach.</w:t>
      </w:r>
    </w:p>
  </w:footnote>
  <w:footnote w:id="5">
    <w:p w14:paraId="6C24C708" w14:textId="547E3C32" w:rsidR="009A2A34" w:rsidRPr="00B47EC2" w:rsidRDefault="009A2A34" w:rsidP="00B47EC2">
      <w:pPr>
        <w:autoSpaceDE w:val="0"/>
        <w:autoSpaceDN w:val="0"/>
        <w:adjustRightInd w:val="0"/>
        <w:jc w:val="both"/>
        <w:rPr>
          <w:rFonts w:cs="ArialNarrow"/>
          <w:sz w:val="16"/>
          <w:szCs w:val="16"/>
          <w:highlight w:val="yellow"/>
        </w:rPr>
      </w:pPr>
      <w:r w:rsidRPr="003D5ED6">
        <w:rPr>
          <w:rStyle w:val="Odkaznapoznmkupodiarou"/>
          <w:sz w:val="16"/>
          <w:szCs w:val="16"/>
        </w:rPr>
        <w:footnoteRef/>
      </w:r>
      <w:r w:rsidRPr="003D5ED6">
        <w:rPr>
          <w:sz w:val="16"/>
          <w:szCs w:val="16"/>
        </w:rPr>
        <w:t xml:space="preserve"> </w:t>
      </w:r>
      <w:r w:rsidRPr="003D5ED6">
        <w:rPr>
          <w:rFonts w:cs="ArialNarrow,Bold"/>
          <w:sz w:val="16"/>
          <w:szCs w:val="16"/>
        </w:rPr>
        <w:t>Zo štátneho rozpočtu boli</w:t>
      </w:r>
      <w:r w:rsidRPr="003D5ED6">
        <w:rPr>
          <w:rFonts w:cs="ArialNarrow"/>
          <w:sz w:val="16"/>
          <w:szCs w:val="16"/>
        </w:rPr>
        <w:t xml:space="preserve"> preplatené samosprávam zvýšené náklady na energie v školách, ktoré nie sú v originálnej kompetencii obcí, teda základné a stredné školy. Zároveň pre samosprávy platila rovnaká schéma podpory ako pre neregulované podniky. Vláda preplatila samosprávam 80 % nákladov nad stanovený strop 199 eur za MWh pri elektrine, resp. 99 eur za MWh pri plyne. Štátny rozpočet mal dodatočné náklady aj so zvýšenými cenami energií, ktoré platili subjekty štátnej správy. Dofinancované boli najmä štátne podniky pod Ministerstvom dopravy (ŽSSK a ŽSR), ako aj Ministerstvo vnútra a Ministerstvo spravodlivosti.</w:t>
      </w:r>
    </w:p>
  </w:footnote>
  <w:footnote w:id="6">
    <w:p w14:paraId="2BFE2715" w14:textId="77777777" w:rsidR="00BD6E6C" w:rsidRPr="0061333E" w:rsidRDefault="00BD6E6C" w:rsidP="00BD6E6C">
      <w:pPr>
        <w:pStyle w:val="Textpoznmkypodiarou"/>
        <w:rPr>
          <w:sz w:val="16"/>
          <w:szCs w:val="16"/>
        </w:rPr>
      </w:pPr>
      <w:r w:rsidRPr="0061333E">
        <w:rPr>
          <w:rStyle w:val="Odkaznapoznmkupodiarou"/>
          <w:sz w:val="16"/>
          <w:szCs w:val="16"/>
        </w:rPr>
        <w:footnoteRef/>
      </w:r>
      <w:r w:rsidRPr="0061333E">
        <w:rPr>
          <w:sz w:val="16"/>
          <w:szCs w:val="16"/>
        </w:rPr>
        <w:t xml:space="preserve"> Ide o výdavky súvisiace s dopravnými nákladmi v EKRK klasifikácii pod kategóriou 630.</w:t>
      </w:r>
    </w:p>
  </w:footnote>
  <w:footnote w:id="7">
    <w:p w14:paraId="59F46408" w14:textId="77777777" w:rsidR="009A2A34" w:rsidRPr="009F6C64" w:rsidRDefault="009A2A34" w:rsidP="009A2A34">
      <w:pPr>
        <w:pStyle w:val="Textpoznmkypodiarou"/>
        <w:jc w:val="both"/>
        <w:rPr>
          <w:sz w:val="16"/>
          <w:szCs w:val="16"/>
        </w:rPr>
      </w:pPr>
      <w:r w:rsidRPr="009F6C64">
        <w:rPr>
          <w:rStyle w:val="Odkaznapoznmkupodiarou"/>
          <w:sz w:val="16"/>
          <w:szCs w:val="16"/>
        </w:rPr>
        <w:footnoteRef/>
      </w:r>
      <w:r w:rsidRPr="009F6C64">
        <w:rPr>
          <w:sz w:val="16"/>
          <w:szCs w:val="16"/>
        </w:rPr>
        <w:t xml:space="preserve"> </w:t>
      </w:r>
      <w:r w:rsidRPr="009F6C64">
        <w:rPr>
          <w:rFonts w:cs="ArialNarrow"/>
          <w:sz w:val="16"/>
          <w:szCs w:val="16"/>
        </w:rPr>
        <w:t>Solidárny príspevok sa vzťahuje na firmy v odvetviach spracovania ropy, zemného plynu a uhlia, kde takéto činnosti musia predstavovať minimálne 75 % ich obratu.</w:t>
      </w:r>
    </w:p>
  </w:footnote>
  <w:footnote w:id="8">
    <w:p w14:paraId="0FAE76ED" w14:textId="77777777" w:rsidR="009A2A34" w:rsidRPr="008E3713" w:rsidRDefault="009A2A34" w:rsidP="009A2A34">
      <w:pPr>
        <w:pStyle w:val="Textpoznmkypodiarou"/>
      </w:pPr>
      <w:r w:rsidRPr="008E3713">
        <w:rPr>
          <w:rStyle w:val="Odkaznapoznmkupodiarou"/>
          <w:sz w:val="16"/>
        </w:rPr>
        <w:footnoteRef/>
      </w:r>
      <w:r w:rsidRPr="008E3713">
        <w:rPr>
          <w:sz w:val="16"/>
        </w:rPr>
        <w:t xml:space="preserve"> Vo výške 1,5 % hrubej mzdy pre každého rodiča, maximálne z 1,2 násobku priemernej mzdy spred dvoch rokov.</w:t>
      </w:r>
    </w:p>
  </w:footnote>
  <w:footnote w:id="9">
    <w:p w14:paraId="33152AC7" w14:textId="77777777" w:rsidR="009A2A34" w:rsidRPr="008E3713" w:rsidRDefault="009A2A34" w:rsidP="009A2A34">
      <w:pPr>
        <w:pStyle w:val="Textpoznmkypodiarou"/>
        <w:jc w:val="both"/>
        <w:rPr>
          <w:sz w:val="16"/>
        </w:rPr>
      </w:pPr>
      <w:r w:rsidRPr="008E3713">
        <w:rPr>
          <w:rStyle w:val="Odkaznapoznmkupodiarou"/>
          <w:sz w:val="16"/>
        </w:rPr>
        <w:footnoteRef/>
      </w:r>
      <w:r w:rsidRPr="008E3713">
        <w:rPr>
          <w:sz w:val="16"/>
        </w:rPr>
        <w:t xml:space="preserve"> Štandardne vzniká nárok na PSD 2 roky pred dovŕšením dôchodkového veku, kedy sa osobám kráti dôchodok o 0,5 % za každých začatých 30 dní. Pri 40</w:t>
      </w:r>
      <w:r>
        <w:rPr>
          <w:sz w:val="16"/>
        </w:rPr>
        <w:t xml:space="preserve"> </w:t>
      </w:r>
      <w:r w:rsidRPr="008E3713">
        <w:rPr>
          <w:sz w:val="16"/>
        </w:rPr>
        <w:t>odpracovaných rokoch je krátenie len 0,3 % za každých začatých 30 dní. V minulosti priznané dôchodky spĺňajúce podmienku 40 odpracovaných rokov sa v</w:t>
      </w:r>
    </w:p>
    <w:p w14:paraId="4E16F579" w14:textId="77777777" w:rsidR="009A2A34" w:rsidRPr="00B535A3" w:rsidRDefault="009A2A34" w:rsidP="009A2A34">
      <w:pPr>
        <w:pStyle w:val="Textpoznmkypodiarou"/>
        <w:jc w:val="both"/>
        <w:rPr>
          <w:sz w:val="16"/>
          <w:szCs w:val="16"/>
        </w:rPr>
      </w:pPr>
      <w:r w:rsidRPr="00B535A3">
        <w:rPr>
          <w:sz w:val="16"/>
          <w:szCs w:val="16"/>
        </w:rPr>
        <w:t>súlade s týmto opatrením budú prepočítavať do konca roka 2025 a týmto osobám sa tiež vyplatia doplatky za ušlé obdobie.</w:t>
      </w:r>
    </w:p>
  </w:footnote>
  <w:footnote w:id="10">
    <w:p w14:paraId="61D41359" w14:textId="77777777" w:rsidR="009A2A34" w:rsidRPr="0070342C" w:rsidRDefault="009A2A34" w:rsidP="009A2A34">
      <w:pPr>
        <w:pStyle w:val="Textpoznmkypodiarou"/>
        <w:jc w:val="both"/>
      </w:pPr>
      <w:r w:rsidRPr="0070342C">
        <w:rPr>
          <w:rStyle w:val="Odkaznapoznmkupodiarou"/>
          <w:sz w:val="16"/>
          <w:szCs w:val="16"/>
        </w:rPr>
        <w:footnoteRef/>
      </w:r>
      <w:r w:rsidRPr="0070342C">
        <w:rPr>
          <w:sz w:val="16"/>
          <w:szCs w:val="16"/>
        </w:rPr>
        <w:t xml:space="preserve"> Daňový bonus narástol na deti do 18 rokov na 140 eur (pre deti do 15 rokov bol </w:t>
      </w:r>
      <w:r>
        <w:rPr>
          <w:sz w:val="16"/>
          <w:szCs w:val="16"/>
        </w:rPr>
        <w:t xml:space="preserve">po júli 2022 </w:t>
      </w:r>
      <w:r w:rsidRPr="0070342C">
        <w:rPr>
          <w:sz w:val="16"/>
          <w:szCs w:val="16"/>
        </w:rPr>
        <w:t>pôvodne 70 eur a pre deti medzi 15 – 18 rokmi 50 eur), pre deti nad 18 rokov narástol z pôvodných 40 eur na aktuálnych 50 eur.</w:t>
      </w:r>
    </w:p>
  </w:footnote>
  <w:footnote w:id="11">
    <w:p w14:paraId="1FF728DB" w14:textId="77777777" w:rsidR="009A2A34" w:rsidRPr="008626C3" w:rsidRDefault="009A2A34" w:rsidP="009A2A34">
      <w:pPr>
        <w:pStyle w:val="Textpoznmkypodiarou"/>
      </w:pPr>
      <w:r w:rsidRPr="008626C3">
        <w:rPr>
          <w:rStyle w:val="Odkaznapoznmkupodiarou"/>
          <w:sz w:val="16"/>
        </w:rPr>
        <w:footnoteRef/>
      </w:r>
      <w:r w:rsidRPr="008626C3">
        <w:rPr>
          <w:sz w:val="16"/>
        </w:rPr>
        <w:t xml:space="preserve"> Od januára 2023 dosahujú tieto dávky 75 % úrovne dávok poberateľov v produktívnom veku, 100 % dosiahnu od júla 2024.</w:t>
      </w:r>
    </w:p>
  </w:footnote>
  <w:footnote w:id="12">
    <w:p w14:paraId="2F76BAFA" w14:textId="74BBCDFB" w:rsidR="009A2A34" w:rsidRPr="00F0094B" w:rsidRDefault="009A2A34" w:rsidP="009A2A34">
      <w:pPr>
        <w:pStyle w:val="Textpoznmkypodiarou"/>
        <w:jc w:val="both"/>
        <w:rPr>
          <w:sz w:val="16"/>
          <w:szCs w:val="16"/>
        </w:rPr>
      </w:pPr>
      <w:r w:rsidRPr="00F0094B">
        <w:rPr>
          <w:rStyle w:val="Odkaznapoznmkupodiarou"/>
          <w:sz w:val="16"/>
          <w:szCs w:val="16"/>
        </w:rPr>
        <w:footnoteRef/>
      </w:r>
      <w:r w:rsidRPr="00F0094B">
        <w:rPr>
          <w:sz w:val="16"/>
          <w:szCs w:val="16"/>
        </w:rPr>
        <w:t xml:space="preserve"> </w:t>
      </w:r>
      <w:r>
        <w:rPr>
          <w:sz w:val="16"/>
          <w:szCs w:val="16"/>
        </w:rPr>
        <w:t>Ide najmä o</w:t>
      </w:r>
      <w:r w:rsidRPr="00F0094B">
        <w:rPr>
          <w:sz w:val="16"/>
          <w:szCs w:val="16"/>
        </w:rPr>
        <w:t xml:space="preserve"> zavedenie tzv. bankovej dan</w:t>
      </w:r>
      <w:r w:rsidR="003F0435">
        <w:rPr>
          <w:sz w:val="16"/>
          <w:szCs w:val="16"/>
        </w:rPr>
        <w:t>e</w:t>
      </w:r>
      <w:r w:rsidRPr="00F0094B">
        <w:rPr>
          <w:sz w:val="16"/>
          <w:szCs w:val="16"/>
        </w:rPr>
        <w:t>, zavedenie minimálnej dane pre právnické osoby, zvýšenie sadzby zdravotných odvodov platených zamestnávateľmi o 1 p. b., zvýšenie sadzieb spotrebných daní z tabakových výrobkov a zníženie odvodov do II. piliera.</w:t>
      </w:r>
      <w:r>
        <w:rPr>
          <w:sz w:val="16"/>
          <w:szCs w:val="16"/>
        </w:rPr>
        <w:t xml:space="preserve"> </w:t>
      </w:r>
      <w:r w:rsidRPr="00EF78A8">
        <w:rPr>
          <w:sz w:val="16"/>
          <w:szCs w:val="16"/>
        </w:rPr>
        <w:t>Zvýšenie sadzieb daní z nehnuteľností a špecifických služieb pozitívne vplýva na príjmy samospráv.</w:t>
      </w:r>
    </w:p>
  </w:footnote>
  <w:footnote w:id="13">
    <w:p w14:paraId="78EFE5A7" w14:textId="77777777" w:rsidR="009A2A34" w:rsidRPr="0051168E" w:rsidRDefault="009A2A34" w:rsidP="009A2A34">
      <w:pPr>
        <w:pStyle w:val="Textpoznmkypodiarou"/>
        <w:jc w:val="both"/>
        <w:rPr>
          <w:sz w:val="16"/>
          <w:szCs w:val="16"/>
        </w:rPr>
      </w:pPr>
      <w:r w:rsidRPr="0051168E">
        <w:rPr>
          <w:rStyle w:val="Odkaznapoznmkupodiarou"/>
          <w:sz w:val="16"/>
          <w:szCs w:val="16"/>
        </w:rPr>
        <w:footnoteRef/>
      </w:r>
      <w:r w:rsidRPr="0051168E">
        <w:rPr>
          <w:sz w:val="16"/>
          <w:szCs w:val="16"/>
        </w:rPr>
        <w:t xml:space="preserve"> Príjmy DPH za rok 2023 boli pozitívne ovplyvnené odloženou splatnosťou dane vybraného subjektu.</w:t>
      </w:r>
      <w:r w:rsidRPr="001F00FE">
        <w:t xml:space="preserve"> </w:t>
      </w:r>
      <w:r w:rsidRPr="001F00FE">
        <w:rPr>
          <w:sz w:val="16"/>
          <w:szCs w:val="16"/>
        </w:rPr>
        <w:t>Podobne aj vplyv energo pomoci domácnostiam na DPH medziročne klesne o viac ako 50%.</w:t>
      </w:r>
    </w:p>
  </w:footnote>
  <w:footnote w:id="14">
    <w:p w14:paraId="264A39E5" w14:textId="77777777" w:rsidR="009A2A34" w:rsidRPr="0051168E" w:rsidRDefault="009A2A34" w:rsidP="009A2A34">
      <w:pPr>
        <w:pStyle w:val="Textpoznmkypodiarou"/>
        <w:rPr>
          <w:sz w:val="16"/>
          <w:szCs w:val="16"/>
        </w:rPr>
      </w:pPr>
      <w:r w:rsidRPr="0051168E">
        <w:rPr>
          <w:rStyle w:val="Odkaznapoznmkupodiarou"/>
          <w:sz w:val="16"/>
          <w:szCs w:val="16"/>
        </w:rPr>
        <w:footnoteRef/>
      </w:r>
      <w:r w:rsidRPr="0051168E">
        <w:rPr>
          <w:sz w:val="16"/>
          <w:szCs w:val="16"/>
        </w:rPr>
        <w:t xml:space="preserve"> Očakáva sa aj utlmenie z príjmov zo zdanenia nadziskov elektrární. Z príjmov vypadnú aj koncesionárske poplatky, ktoré boli zrušené k 30.6.2023.</w:t>
      </w:r>
    </w:p>
  </w:footnote>
  <w:footnote w:id="15">
    <w:p w14:paraId="5D2DF8C0" w14:textId="77777777" w:rsidR="009A2A34" w:rsidRPr="0051168E" w:rsidRDefault="009A2A34" w:rsidP="009A2A34">
      <w:pPr>
        <w:pStyle w:val="Textpoznmkypodiarou"/>
        <w:jc w:val="both"/>
        <w:rPr>
          <w:sz w:val="16"/>
          <w:szCs w:val="16"/>
        </w:rPr>
      </w:pPr>
      <w:r w:rsidRPr="0051168E">
        <w:rPr>
          <w:rStyle w:val="Odkaznapoznmkupodiarou"/>
          <w:sz w:val="16"/>
          <w:szCs w:val="16"/>
        </w:rPr>
        <w:footnoteRef/>
      </w:r>
      <w:r w:rsidRPr="0051168E">
        <w:rPr>
          <w:sz w:val="16"/>
          <w:szCs w:val="16"/>
        </w:rPr>
        <w:t xml:space="preserve"> Rast miezd následkom novely školského zákona účinnej od mája 2023. Súčasťou novely sú aj opatrenia, ako zvýšenie počtu sociálnych pracovníkov a supervízorov na školách, zatraktívnenie pozície pedagogického asistenta alebo zavedenie úvodných ročníkov. Okrem toho sa v tomto roku prijalo opatrenie znižujúce regionálne rozdiely medzi učiteľmi prostredníctvom príplatkov.</w:t>
      </w:r>
    </w:p>
  </w:footnote>
  <w:footnote w:id="16">
    <w:p w14:paraId="47ACD436" w14:textId="77777777" w:rsidR="009A2A34" w:rsidRDefault="009A2A34" w:rsidP="009A2A34">
      <w:pPr>
        <w:pStyle w:val="Textpoznmkypodiarou"/>
      </w:pPr>
      <w:r w:rsidRPr="0051168E">
        <w:rPr>
          <w:rStyle w:val="Odkaznapoznmkupodiarou"/>
          <w:sz w:val="16"/>
          <w:szCs w:val="16"/>
        </w:rPr>
        <w:footnoteRef/>
      </w:r>
      <w:r w:rsidRPr="0051168E">
        <w:rPr>
          <w:sz w:val="16"/>
          <w:szCs w:val="16"/>
        </w:rPr>
        <w:t xml:space="preserve"> V tomto roku sa zavádzajú výkonnostné zmluvy verejných vysokých škôl. Súčasťou opatrení sú diverzifikácia ich špecializácie a na to naviazané dotácie zo štátneho rozpočtu, zvýšenie podpory pre študentov, podpora kariérneho rozvoja a iné. Taktiež sa v tomto roku spúšťa nová stratégia pre vedu, výskum a inovácie.</w:t>
      </w:r>
    </w:p>
  </w:footnote>
  <w:footnote w:id="17">
    <w:p w14:paraId="07EF6E62" w14:textId="65E73C6D" w:rsidR="00BD6E6C" w:rsidRPr="00664E8C" w:rsidRDefault="00BD6E6C" w:rsidP="00664E8C">
      <w:pPr>
        <w:pStyle w:val="Textpoznmkypodiarou"/>
        <w:jc w:val="both"/>
        <w:rPr>
          <w:sz w:val="16"/>
          <w:szCs w:val="16"/>
        </w:rPr>
      </w:pPr>
      <w:r w:rsidRPr="00664E8C">
        <w:rPr>
          <w:rStyle w:val="Odkaznapoznmkupodiarou"/>
          <w:sz w:val="16"/>
          <w:szCs w:val="16"/>
        </w:rPr>
        <w:footnoteRef/>
      </w:r>
      <w:r w:rsidRPr="00664E8C">
        <w:rPr>
          <w:sz w:val="16"/>
          <w:szCs w:val="16"/>
        </w:rPr>
        <w:t xml:space="preserve"> </w:t>
      </w:r>
      <w:r w:rsidRPr="00664E8C">
        <w:rPr>
          <w:rStyle w:val="cf01"/>
          <w:rFonts w:ascii="Arial Narrow" w:hAnsi="Arial Narrow"/>
          <w:sz w:val="16"/>
          <w:szCs w:val="16"/>
        </w:rPr>
        <w:t>V konsolidačnom balíku na rok 2024 je zahrnuté viazanie výdavkov v ústrednej štátnej správe na úrovni 5 % z osobných výdavkov. Je však na rozhodnutí kapitol štátneho rozpočtu, na akých položkách výdavky viažu.</w:t>
      </w:r>
    </w:p>
  </w:footnote>
  <w:footnote w:id="18">
    <w:p w14:paraId="0ACCAA45" w14:textId="50219D06" w:rsidR="003E789E" w:rsidRPr="00E616B6" w:rsidRDefault="003E789E" w:rsidP="00E616B6">
      <w:pPr>
        <w:pStyle w:val="Textpoznmkypodiarou"/>
        <w:jc w:val="both"/>
        <w:rPr>
          <w:sz w:val="16"/>
          <w:szCs w:val="16"/>
        </w:rPr>
      </w:pPr>
      <w:r w:rsidRPr="00E616B6">
        <w:rPr>
          <w:rStyle w:val="Odkaznapoznmkupodiarou"/>
          <w:sz w:val="16"/>
          <w:szCs w:val="16"/>
        </w:rPr>
        <w:footnoteRef/>
      </w:r>
      <w:r w:rsidRPr="00E616B6">
        <w:rPr>
          <w:sz w:val="16"/>
          <w:szCs w:val="16"/>
        </w:rPr>
        <w:t xml:space="preserve"> Rozpočtové kapitoly si na položke medzispotreby okrem výdavkov ktoré sem vecne patria, rozpočtujú aj výdavky, ktoré v priebehu roka rozpočtovými opatreniami presúvajú na iné položky.</w:t>
      </w:r>
    </w:p>
  </w:footnote>
  <w:footnote w:id="19">
    <w:p w14:paraId="19B62FAB" w14:textId="46F33CF1" w:rsidR="009A2A34" w:rsidRPr="0051168E" w:rsidRDefault="009A2A34" w:rsidP="009A2A34">
      <w:pPr>
        <w:pStyle w:val="Textpoznmkypodiarou"/>
        <w:jc w:val="both"/>
        <w:rPr>
          <w:sz w:val="16"/>
          <w:szCs w:val="16"/>
        </w:rPr>
      </w:pPr>
      <w:r w:rsidRPr="0051168E">
        <w:rPr>
          <w:rStyle w:val="Odkaznapoznmkupodiarou"/>
          <w:sz w:val="16"/>
          <w:szCs w:val="16"/>
        </w:rPr>
        <w:footnoteRef/>
      </w:r>
      <w:r w:rsidRPr="0051168E">
        <w:rPr>
          <w:sz w:val="16"/>
          <w:szCs w:val="16"/>
        </w:rPr>
        <w:t xml:space="preserve"> </w:t>
      </w:r>
      <w:r w:rsidRPr="0051168E">
        <w:rPr>
          <w:rFonts w:cs="ArialNarrow,Bold"/>
          <w:sz w:val="16"/>
          <w:szCs w:val="16"/>
        </w:rPr>
        <w:t>Medziročný rast výdavkov z tohto opatrenia, po zarátaní jednorazovej dávky v hodnote 300 eur, je spôsobený nekrátením 13. dôchodku poberateľo</w:t>
      </w:r>
      <w:r w:rsidR="003A6ED6">
        <w:rPr>
          <w:rFonts w:cs="ArialNarrow,Bold"/>
          <w:sz w:val="16"/>
          <w:szCs w:val="16"/>
        </w:rPr>
        <w:t>m</w:t>
      </w:r>
      <w:r w:rsidRPr="0051168E">
        <w:rPr>
          <w:rFonts w:cs="ArialNarrow,Bold"/>
          <w:sz w:val="16"/>
          <w:szCs w:val="16"/>
        </w:rPr>
        <w:t xml:space="preserve"> s vyšším dôchodkom. Tým bol v minulom roku vyplatený nižší 13. dôchodok ako dôchodcom s nízkymi dôchodkami.</w:t>
      </w:r>
    </w:p>
  </w:footnote>
  <w:footnote w:id="20">
    <w:p w14:paraId="7D4F7701" w14:textId="490A98C2" w:rsidR="009A2A34" w:rsidRPr="0051168E" w:rsidRDefault="009A2A34" w:rsidP="009A2A34">
      <w:pPr>
        <w:pStyle w:val="Textpoznmkypodiarou"/>
        <w:jc w:val="both"/>
      </w:pPr>
      <w:r w:rsidRPr="0051168E">
        <w:rPr>
          <w:rStyle w:val="Odkaznapoznmkupodiarou"/>
          <w:sz w:val="16"/>
          <w:szCs w:val="16"/>
        </w:rPr>
        <w:footnoteRef/>
      </w:r>
      <w:r w:rsidRPr="0051168E">
        <w:rPr>
          <w:sz w:val="16"/>
          <w:szCs w:val="16"/>
        </w:rPr>
        <w:t xml:space="preserve"> Takými sú prijatá zmena klasifikácie druhu zdravotného postihnutia pre vyplácanie invalidných dôchodkov, pro-rodinne orientované opatrenia</w:t>
      </w:r>
      <w:r w:rsidR="003A6ED6">
        <w:rPr>
          <w:sz w:val="16"/>
          <w:szCs w:val="16"/>
        </w:rPr>
        <w:t>,</w:t>
      </w:r>
      <w:r w:rsidRPr="0051168E">
        <w:rPr>
          <w:sz w:val="16"/>
          <w:szCs w:val="16"/>
        </w:rPr>
        <w:t xml:space="preserve"> ako nový príspevok pre rodičov, ktorých deti neboli prijaté do materskej školy, ale aj pomoc so splátkami hypoték, zmeny v príspevku na bývanie v hmotnej núdzi alebo rozšírenie osobnej asistencie na školách.</w:t>
      </w:r>
    </w:p>
  </w:footnote>
  <w:footnote w:id="21">
    <w:p w14:paraId="6C9550EE" w14:textId="77777777" w:rsidR="009A2A34" w:rsidRPr="00B13B65" w:rsidRDefault="009A2A34" w:rsidP="009A2A34">
      <w:pPr>
        <w:pStyle w:val="Textpoznmkypodiarou"/>
        <w:jc w:val="both"/>
      </w:pPr>
      <w:r w:rsidRPr="00B13B65">
        <w:rPr>
          <w:rStyle w:val="Odkaznapoznmkupodiarou"/>
          <w:sz w:val="16"/>
          <w:szCs w:val="16"/>
        </w:rPr>
        <w:footnoteRef/>
      </w:r>
      <w:r w:rsidRPr="00B13B65">
        <w:rPr>
          <w:sz w:val="16"/>
          <w:szCs w:val="16"/>
        </w:rPr>
        <w:t xml:space="preserve"> </w:t>
      </w:r>
      <w:r>
        <w:rPr>
          <w:sz w:val="16"/>
          <w:szCs w:val="16"/>
        </w:rPr>
        <w:t>M</w:t>
      </w:r>
      <w:r w:rsidRPr="00B13B65">
        <w:rPr>
          <w:sz w:val="16"/>
          <w:szCs w:val="16"/>
        </w:rPr>
        <w:t>zdy v</w:t>
      </w:r>
      <w:r>
        <w:rPr>
          <w:sz w:val="16"/>
          <w:szCs w:val="16"/>
        </w:rPr>
        <w:t> </w:t>
      </w:r>
      <w:r w:rsidRPr="00B13B65">
        <w:rPr>
          <w:sz w:val="16"/>
          <w:szCs w:val="16"/>
        </w:rPr>
        <w:t>zdravotníctve</w:t>
      </w:r>
      <w:r>
        <w:rPr>
          <w:sz w:val="16"/>
          <w:szCs w:val="16"/>
        </w:rPr>
        <w:t xml:space="preserve"> sa</w:t>
      </w:r>
      <w:r w:rsidRPr="00B13B65">
        <w:rPr>
          <w:sz w:val="16"/>
          <w:szCs w:val="16"/>
        </w:rPr>
        <w:t xml:space="preserve"> indexujú na základe rastu miezd v </w:t>
      </w:r>
      <w:r>
        <w:rPr>
          <w:sz w:val="16"/>
          <w:szCs w:val="16"/>
        </w:rPr>
        <w:t>ekonomike</w:t>
      </w:r>
      <w:r w:rsidRPr="00B13B65">
        <w:rPr>
          <w:sz w:val="16"/>
          <w:szCs w:val="16"/>
        </w:rPr>
        <w:t xml:space="preserve"> spred dvoch rokov (teda aktuálne z roku 2022).</w:t>
      </w:r>
    </w:p>
  </w:footnote>
  <w:footnote w:id="22">
    <w:p w14:paraId="374EA622" w14:textId="77777777" w:rsidR="009A2A34" w:rsidRPr="00530805" w:rsidRDefault="009A2A34" w:rsidP="009A2A34">
      <w:pPr>
        <w:pStyle w:val="Textpoznmkypodiarou"/>
        <w:jc w:val="both"/>
      </w:pPr>
      <w:r w:rsidRPr="00530805">
        <w:rPr>
          <w:rStyle w:val="Odkaznapoznmkupodiarou"/>
          <w:sz w:val="16"/>
          <w:szCs w:val="16"/>
        </w:rPr>
        <w:footnoteRef/>
      </w:r>
      <w:r w:rsidRPr="00530805">
        <w:rPr>
          <w:sz w:val="16"/>
          <w:szCs w:val="16"/>
        </w:rPr>
        <w:t xml:space="preserve"> Proces prijatia nového</w:t>
      </w:r>
      <w:r>
        <w:rPr>
          <w:sz w:val="16"/>
          <w:szCs w:val="16"/>
        </w:rPr>
        <w:t xml:space="preserve"> inovatívneho</w:t>
      </w:r>
      <w:r w:rsidRPr="00530805">
        <w:rPr>
          <w:sz w:val="16"/>
          <w:szCs w:val="16"/>
        </w:rPr>
        <w:t xml:space="preserve"> lieku</w:t>
      </w:r>
      <w:r>
        <w:rPr>
          <w:sz w:val="16"/>
          <w:szCs w:val="16"/>
        </w:rPr>
        <w:t>, ktorý býva zvyčajne drahý</w:t>
      </w:r>
      <w:r w:rsidRPr="00530805">
        <w:rPr>
          <w:sz w:val="16"/>
          <w:szCs w:val="16"/>
        </w:rPr>
        <w:t xml:space="preserve"> môže trvať až dva roky, vyžaduje si to podávanie žiadostí, kontroly a následné vyjednávania. Vďaka kontinuite procesu sa postupne nahrádzajú staré lieky novšími, čím sa niektoré výdavky vykrývajú, zvýšený dopad na rast výdavkov na zdravotníctvo bude pretrvávať však aj v najbližších rokoch.</w:t>
      </w:r>
    </w:p>
  </w:footnote>
  <w:footnote w:id="23">
    <w:p w14:paraId="19C51919" w14:textId="0376ECFE" w:rsidR="009A2A34" w:rsidRPr="00557E7A" w:rsidRDefault="009A2A34" w:rsidP="009A2A34">
      <w:pPr>
        <w:pStyle w:val="Textpoznmkypodiarou"/>
        <w:jc w:val="both"/>
        <w:rPr>
          <w:sz w:val="16"/>
          <w:szCs w:val="16"/>
        </w:rPr>
      </w:pPr>
      <w:r w:rsidRPr="00557E7A">
        <w:rPr>
          <w:rStyle w:val="Odkaznapoznmkupodiarou"/>
        </w:rPr>
        <w:footnoteRef/>
      </w:r>
      <w:r w:rsidRPr="00557E7A">
        <w:rPr>
          <w:sz w:val="16"/>
          <w:szCs w:val="16"/>
        </w:rPr>
        <w:t xml:space="preserve"> V aktuálne zostavenom návrhu rozpočtu sú zapracované</w:t>
      </w:r>
      <w:r>
        <w:rPr>
          <w:sz w:val="16"/>
          <w:szCs w:val="16"/>
        </w:rPr>
        <w:t xml:space="preserve"> aj</w:t>
      </w:r>
      <w:r w:rsidRPr="00557E7A">
        <w:rPr>
          <w:sz w:val="16"/>
          <w:szCs w:val="16"/>
        </w:rPr>
        <w:t xml:space="preserve"> viaceré menšie opatrenia na výdavkovej strane</w:t>
      </w:r>
      <w:r w:rsidR="00E113A2">
        <w:rPr>
          <w:sz w:val="16"/>
          <w:szCs w:val="16"/>
        </w:rPr>
        <w:t>,</w:t>
      </w:r>
      <w:r w:rsidRPr="00557E7A">
        <w:rPr>
          <w:sz w:val="16"/>
          <w:szCs w:val="16"/>
        </w:rPr>
        <w:t xml:space="preserve"> ako zníženie transferu pre Štátny fond rozvoja bývania, zrušenie dotácií MDV SR na obnovu a výstavbu bytového fondu, zrušenie dotovania nočných vlakov, zníženie výdavkov určených na projekty pozemkových úprav, zníženie výdavkov spoločnosti Slovakia Travel (spolu 0,1 % HDP).</w:t>
      </w:r>
    </w:p>
  </w:footnote>
  <w:footnote w:id="24">
    <w:p w14:paraId="47852763" w14:textId="77777777" w:rsidR="009A2A34" w:rsidRPr="00D34903" w:rsidRDefault="009A2A34" w:rsidP="009A2A34">
      <w:pPr>
        <w:pStyle w:val="Textpoznmkypodiarou"/>
        <w:jc w:val="both"/>
        <w:rPr>
          <w:sz w:val="16"/>
          <w:szCs w:val="16"/>
        </w:rPr>
      </w:pPr>
      <w:r w:rsidRPr="00661655">
        <w:rPr>
          <w:rStyle w:val="Odkaznapoznmkupodiarou"/>
        </w:rPr>
        <w:footnoteRef/>
      </w:r>
      <w:r w:rsidRPr="00661655">
        <w:rPr>
          <w:sz w:val="16"/>
          <w:szCs w:val="16"/>
        </w:rPr>
        <w:t xml:space="preserve"> </w:t>
      </w:r>
      <w:r>
        <w:rPr>
          <w:sz w:val="16"/>
          <w:szCs w:val="16"/>
        </w:rPr>
        <w:t>Č</w:t>
      </w:r>
      <w:r w:rsidRPr="00661655">
        <w:rPr>
          <w:sz w:val="16"/>
          <w:szCs w:val="16"/>
        </w:rPr>
        <w:t>isté výdavky zodpovedajú celkovým výdavkom verejnej správy očisteným o úrokové náklady, cyklické výdavky v </w:t>
      </w:r>
      <w:r w:rsidRPr="00D34903">
        <w:rPr>
          <w:sz w:val="16"/>
          <w:szCs w:val="16"/>
        </w:rPr>
        <w:t>nezamestnanosti, európske štrukturálne fondy a zdroje z Plánu obnovy, zdroje na spolufinancovanie projektov EÚ, jednorazové opatrenia v zmysle metodiky EK a diskrečné príjmové opatrenia vlády.</w:t>
      </w:r>
    </w:p>
  </w:footnote>
  <w:footnote w:id="25">
    <w:p w14:paraId="5A44E66B" w14:textId="77777777" w:rsidR="009A2A34" w:rsidRPr="00D34903" w:rsidRDefault="009A2A34" w:rsidP="009A2A34">
      <w:pPr>
        <w:pStyle w:val="Textpoznmkypodiarou"/>
        <w:jc w:val="both"/>
        <w:rPr>
          <w:sz w:val="16"/>
          <w:szCs w:val="16"/>
        </w:rPr>
      </w:pPr>
      <w:r w:rsidRPr="00D34903">
        <w:rPr>
          <w:rStyle w:val="Odkaznapoznmkupodiarou"/>
        </w:rPr>
        <w:footnoteRef/>
      </w:r>
      <w:r w:rsidRPr="00D34903">
        <w:rPr>
          <w:sz w:val="16"/>
          <w:szCs w:val="16"/>
        </w:rPr>
        <w:t xml:space="preserve"> Vzhľadom na nezmenené zakladajúce Zmluvy definujúce kritérium deficitu a dlhu na 3 % a 60 % HDP ostávajú tieto referenčné hranice súčasťou nového rámca pravidiel.</w:t>
      </w:r>
    </w:p>
  </w:footnote>
  <w:footnote w:id="26">
    <w:p w14:paraId="20486E77" w14:textId="77777777" w:rsidR="009A2A34" w:rsidRPr="00CC1F9E" w:rsidRDefault="009A2A34" w:rsidP="009A2A34">
      <w:pPr>
        <w:pStyle w:val="Textpoznmkypodiarou"/>
        <w:jc w:val="both"/>
        <w:rPr>
          <w:sz w:val="16"/>
          <w:szCs w:val="16"/>
        </w:rPr>
      </w:pPr>
      <w:r w:rsidRPr="00CC1F9E">
        <w:rPr>
          <w:rStyle w:val="Odkaznapoznmkupodiarou"/>
        </w:rPr>
        <w:footnoteRef/>
      </w:r>
      <w:r w:rsidRPr="00CC1F9E">
        <w:rPr>
          <w:sz w:val="16"/>
          <w:szCs w:val="16"/>
        </w:rPr>
        <w:t xml:space="preserve"> Odporúčanie dostupné tu: </w:t>
      </w:r>
      <w:hyperlink r:id="rId1" w:history="1">
        <w:r w:rsidRPr="00CC1F9E">
          <w:rPr>
            <w:rStyle w:val="Hypertextovprepojenie"/>
            <w:sz w:val="16"/>
            <w:szCs w:val="16"/>
          </w:rPr>
          <w:t>https://economy-finance.ec.europa.eu/system/files/2024-01/C_2024_343_1_EN_ACT_part1_v3.pdf</w:t>
        </w:r>
      </w:hyperlink>
      <w:r>
        <w:rPr>
          <w:sz w:val="16"/>
          <w:szCs w:val="16"/>
        </w:rPr>
        <w:t>.</w:t>
      </w:r>
    </w:p>
  </w:footnote>
  <w:footnote w:id="27">
    <w:p w14:paraId="15C28BAC" w14:textId="72D63DD8" w:rsidR="009A2A34" w:rsidRPr="00CC1F9E" w:rsidRDefault="009A2A34" w:rsidP="009A2A34">
      <w:pPr>
        <w:pStyle w:val="Textpoznmkypodiarou"/>
        <w:jc w:val="both"/>
        <w:rPr>
          <w:sz w:val="16"/>
          <w:szCs w:val="16"/>
        </w:rPr>
      </w:pPr>
      <w:r w:rsidRPr="00CC1F9E">
        <w:rPr>
          <w:rStyle w:val="Odkaznapoznmkupodiarou"/>
        </w:rPr>
        <w:footnoteRef/>
      </w:r>
      <w:r w:rsidRPr="00CC1F9E">
        <w:rPr>
          <w:sz w:val="16"/>
          <w:szCs w:val="16"/>
        </w:rPr>
        <w:t xml:space="preserve"> </w:t>
      </w:r>
      <w:r w:rsidRPr="00CC1F9E">
        <w:rPr>
          <w:rStyle w:val="ui-provider"/>
          <w:sz w:val="16"/>
          <w:szCs w:val="16"/>
        </w:rPr>
        <w:t>P</w:t>
      </w:r>
      <w:r w:rsidRPr="00CC1F9E">
        <w:rPr>
          <w:rStyle w:val="ui-provider"/>
          <w:rFonts w:eastAsiaTheme="majorEastAsia"/>
          <w:sz w:val="16"/>
          <w:szCs w:val="16"/>
        </w:rPr>
        <w:t xml:space="preserve">ri porovnávaní medziročného rastu národne financovaných čistých primárnych výdavkov </w:t>
      </w:r>
      <w:r>
        <w:rPr>
          <w:rStyle w:val="ui-provider"/>
          <w:rFonts w:eastAsiaTheme="majorEastAsia"/>
          <w:sz w:val="16"/>
          <w:szCs w:val="16"/>
        </w:rPr>
        <w:t>existujú negatívne riziká vyplývajúce z </w:t>
      </w:r>
      <w:r w:rsidRPr="00CC1F9E">
        <w:rPr>
          <w:rStyle w:val="ui-provider"/>
          <w:rFonts w:eastAsiaTheme="majorEastAsia"/>
          <w:sz w:val="16"/>
          <w:szCs w:val="16"/>
        </w:rPr>
        <w:t>metodi</w:t>
      </w:r>
      <w:r w:rsidR="00C04AA0">
        <w:rPr>
          <w:rStyle w:val="ui-provider"/>
          <w:rFonts w:eastAsiaTheme="majorEastAsia"/>
          <w:sz w:val="16"/>
          <w:szCs w:val="16"/>
        </w:rPr>
        <w:t>ky</w:t>
      </w:r>
      <w:r>
        <w:rPr>
          <w:rStyle w:val="ui-provider"/>
          <w:rFonts w:eastAsiaTheme="majorEastAsia"/>
          <w:sz w:val="16"/>
          <w:szCs w:val="16"/>
        </w:rPr>
        <w:t xml:space="preserve"> pri</w:t>
      </w:r>
      <w:r w:rsidRPr="00CC1F9E">
        <w:rPr>
          <w:rStyle w:val="ui-provider"/>
          <w:rFonts w:eastAsiaTheme="majorEastAsia"/>
          <w:sz w:val="16"/>
          <w:szCs w:val="16"/>
        </w:rPr>
        <w:t xml:space="preserve"> zostavení skutočnosti (rok 2023) a</w:t>
      </w:r>
      <w:r>
        <w:rPr>
          <w:rStyle w:val="ui-provider"/>
          <w:rFonts w:eastAsiaTheme="majorEastAsia"/>
          <w:sz w:val="16"/>
          <w:szCs w:val="16"/>
        </w:rPr>
        <w:t> </w:t>
      </w:r>
      <w:r w:rsidRPr="00CC1F9E">
        <w:rPr>
          <w:rStyle w:val="ui-provider"/>
          <w:rFonts w:eastAsiaTheme="majorEastAsia"/>
          <w:sz w:val="16"/>
          <w:szCs w:val="16"/>
        </w:rPr>
        <w:t>aktuáln</w:t>
      </w:r>
      <w:r>
        <w:rPr>
          <w:rStyle w:val="ui-provider"/>
          <w:rFonts w:eastAsiaTheme="majorEastAsia"/>
          <w:sz w:val="16"/>
          <w:szCs w:val="16"/>
        </w:rPr>
        <w:t>ej</w:t>
      </w:r>
      <w:r w:rsidRPr="00CC1F9E">
        <w:rPr>
          <w:rStyle w:val="ui-provider"/>
          <w:rFonts w:eastAsiaTheme="majorEastAsia"/>
          <w:sz w:val="16"/>
          <w:szCs w:val="16"/>
        </w:rPr>
        <w:t xml:space="preserve"> očakávan</w:t>
      </w:r>
      <w:r>
        <w:rPr>
          <w:rStyle w:val="ui-provider"/>
          <w:rFonts w:eastAsiaTheme="majorEastAsia"/>
          <w:sz w:val="16"/>
          <w:szCs w:val="16"/>
        </w:rPr>
        <w:t>ej skutočnosti</w:t>
      </w:r>
      <w:r w:rsidRPr="00CC1F9E">
        <w:rPr>
          <w:rStyle w:val="ui-provider"/>
          <w:rFonts w:eastAsiaTheme="majorEastAsia"/>
          <w:sz w:val="16"/>
          <w:szCs w:val="16"/>
        </w:rPr>
        <w:t xml:space="preserve"> (rok 2024), ktoré môžu skresľovať výšku výdavkov</w:t>
      </w:r>
      <w:r>
        <w:rPr>
          <w:rStyle w:val="ui-provider"/>
          <w:rFonts w:eastAsiaTheme="majorEastAsia"/>
          <w:sz w:val="16"/>
          <w:szCs w:val="16"/>
        </w:rPr>
        <w:t xml:space="preserve"> v jednotlivých rokoch</w:t>
      </w:r>
      <w:r w:rsidRPr="00CC1F9E">
        <w:rPr>
          <w:rStyle w:val="ui-provider"/>
          <w:rFonts w:eastAsiaTheme="majorEastAsia"/>
          <w:sz w:val="16"/>
          <w:szCs w:val="16"/>
        </w:rPr>
        <w:t>.</w:t>
      </w:r>
    </w:p>
  </w:footnote>
  <w:footnote w:id="28">
    <w:p w14:paraId="4D8A391B" w14:textId="77777777" w:rsidR="00885665" w:rsidRDefault="00885665" w:rsidP="00885665">
      <w:pPr>
        <w:pStyle w:val="Textpoznmkypodiarou"/>
        <w:jc w:val="both"/>
      </w:pPr>
      <w:r w:rsidRPr="00D34903">
        <w:rPr>
          <w:rStyle w:val="Odkaznapoznmkupodiarou"/>
        </w:rPr>
        <w:footnoteRef/>
      </w:r>
      <w:r w:rsidRPr="00D34903">
        <w:rPr>
          <w:sz w:val="16"/>
          <w:szCs w:val="16"/>
        </w:rPr>
        <w:t xml:space="preserve"> Referenčná trajektória predstavuje také maximálne povolené medziročné rasty čistých výdavkov, aby na horizonte fiškálno-štrukturálneho plánu zabezpečili zníženie deficitu</w:t>
      </w:r>
      <w:r>
        <w:rPr>
          <w:sz w:val="16"/>
          <w:szCs w:val="16"/>
        </w:rPr>
        <w:t xml:space="preserve"> verejných financií na úroveň, ktorá po konci plánu počas 10-tich rokov za predpokladu bez zmeny politík zabezpečia hodnoverný trend klesajúceho dlhu smerom k 60 % HDP (resp. udržanie pod touto hranicou) a udržia deficit pod 3 % HDP.</w:t>
      </w:r>
    </w:p>
  </w:footnote>
  <w:footnote w:id="29">
    <w:p w14:paraId="4ABD9973" w14:textId="77777777" w:rsidR="00885665" w:rsidRPr="00D34903" w:rsidRDefault="00885665" w:rsidP="00885665">
      <w:pPr>
        <w:pStyle w:val="Textpoznmkypodiarou"/>
        <w:jc w:val="both"/>
        <w:rPr>
          <w:sz w:val="16"/>
          <w:szCs w:val="16"/>
        </w:rPr>
      </w:pPr>
      <w:r w:rsidRPr="00D34903">
        <w:rPr>
          <w:rStyle w:val="Odkaznapoznmkupodiarou"/>
        </w:rPr>
        <w:footnoteRef/>
      </w:r>
      <w:r w:rsidRPr="00D34903">
        <w:rPr>
          <w:sz w:val="16"/>
          <w:szCs w:val="16"/>
        </w:rPr>
        <w:t xml:space="preserve"> </w:t>
      </w:r>
      <w:r>
        <w:rPr>
          <w:sz w:val="16"/>
          <w:szCs w:val="16"/>
        </w:rPr>
        <w:t>Strednodobý národný fiškálno-štrukturálny plán je novým prvkom reformy fiškálneho rámca EÚ. Jeho cieľom je prezentovať záväzok vlády k fiškálnej stratégii krajiny a plánovaným reformám a investíciám</w:t>
      </w:r>
      <w:r w:rsidRPr="00D34903">
        <w:rPr>
          <w:sz w:val="16"/>
          <w:szCs w:val="16"/>
        </w:rPr>
        <w:t xml:space="preserve"> </w:t>
      </w:r>
      <w:r>
        <w:rPr>
          <w:sz w:val="16"/>
          <w:szCs w:val="16"/>
        </w:rPr>
        <w:t>na horizonte 4 až 7 rokov. Súčasťou plánu bude trajektória povoleného rastu upravených výdavkov, ktorý krajinám v roku 2024 zašle EK. Plán bude po schválení EK a Radou EÚ záväzný pre rozpočtový proces na celom horizonte 4 až 7 rokov.</w:t>
      </w:r>
    </w:p>
  </w:footnote>
  <w:footnote w:id="30">
    <w:p w14:paraId="66B4A60B" w14:textId="38320836" w:rsidR="00885665" w:rsidRPr="00CC1F9E" w:rsidRDefault="00885665" w:rsidP="00885665">
      <w:pPr>
        <w:pStyle w:val="Textpoznmkypodiarou"/>
        <w:jc w:val="both"/>
        <w:rPr>
          <w:sz w:val="16"/>
          <w:szCs w:val="16"/>
        </w:rPr>
      </w:pPr>
      <w:r w:rsidRPr="00CC1F9E">
        <w:rPr>
          <w:rStyle w:val="Odkaznapoznmkupodiarou"/>
        </w:rPr>
        <w:footnoteRef/>
      </w:r>
      <w:r w:rsidRPr="00CC1F9E">
        <w:rPr>
          <w:sz w:val="16"/>
          <w:szCs w:val="16"/>
        </w:rPr>
        <w:t xml:space="preserve"> Rozhodnutie o predĺžení fiškálno-štrukturálneho plánu zo 4 na 7 rokov a zmiernení konsolidačnej trajektórie bude závisieť od plnenia míľnikov Plánu obnovy</w:t>
      </w:r>
      <w:r w:rsidR="000A22C5">
        <w:rPr>
          <w:sz w:val="16"/>
          <w:szCs w:val="16"/>
        </w:rPr>
        <w:t>,</w:t>
      </w:r>
      <w:r w:rsidRPr="00CC1F9E">
        <w:rPr>
          <w:sz w:val="16"/>
          <w:szCs w:val="16"/>
        </w:rPr>
        <w:t> reforiem a investícií, ktorými chce Slovensko v budúcich rokoch reagovať na výzvy EÚ v oblasti zelenej a digitálnej transformácie, sociáln</w:t>
      </w:r>
      <w:r w:rsidR="00C04AA0">
        <w:rPr>
          <w:sz w:val="16"/>
          <w:szCs w:val="16"/>
        </w:rPr>
        <w:t>ej</w:t>
      </w:r>
      <w:r w:rsidRPr="00CC1F9E">
        <w:rPr>
          <w:sz w:val="16"/>
          <w:szCs w:val="16"/>
        </w:rPr>
        <w:t xml:space="preserve"> inklúzi</w:t>
      </w:r>
      <w:r w:rsidR="00C04AA0">
        <w:rPr>
          <w:sz w:val="16"/>
          <w:szCs w:val="16"/>
        </w:rPr>
        <w:t>e</w:t>
      </w:r>
      <w:r w:rsidRPr="00CC1F9E">
        <w:rPr>
          <w:sz w:val="16"/>
          <w:szCs w:val="16"/>
        </w:rPr>
        <w:t>, energetick</w:t>
      </w:r>
      <w:r w:rsidR="00C04AA0">
        <w:rPr>
          <w:sz w:val="16"/>
          <w:szCs w:val="16"/>
        </w:rPr>
        <w:t>ej</w:t>
      </w:r>
      <w:r w:rsidRPr="00CC1F9E">
        <w:rPr>
          <w:sz w:val="16"/>
          <w:szCs w:val="16"/>
        </w:rPr>
        <w:t xml:space="preserve"> bezpečnos</w:t>
      </w:r>
      <w:r w:rsidR="00C04AA0">
        <w:rPr>
          <w:sz w:val="16"/>
          <w:szCs w:val="16"/>
        </w:rPr>
        <w:t>ti</w:t>
      </w:r>
      <w:r w:rsidRPr="00CC1F9E">
        <w:rPr>
          <w:sz w:val="16"/>
          <w:szCs w:val="16"/>
        </w:rPr>
        <w:t>, či obrann</w:t>
      </w:r>
      <w:r w:rsidR="00C04AA0">
        <w:rPr>
          <w:sz w:val="16"/>
          <w:szCs w:val="16"/>
        </w:rPr>
        <w:t>ých</w:t>
      </w:r>
      <w:r w:rsidRPr="00CC1F9E">
        <w:rPr>
          <w:sz w:val="16"/>
          <w:szCs w:val="16"/>
        </w:rPr>
        <w:t xml:space="preserve"> kapac</w:t>
      </w:r>
      <w:r w:rsidR="00C04AA0">
        <w:rPr>
          <w:sz w:val="16"/>
          <w:szCs w:val="16"/>
        </w:rPr>
        <w:t>ít</w:t>
      </w:r>
      <w:r w:rsidRPr="00CC1F9E">
        <w:rPr>
          <w:sz w:val="16"/>
          <w:szCs w:val="16"/>
        </w:rPr>
        <w:t>. Podmienkou tiež je, aby bola do konca 7-ročného plánu zachovaná priemerná úroveň národných investícií z obdobia Plánu obnovy.</w:t>
      </w:r>
    </w:p>
  </w:footnote>
  <w:footnote w:id="31">
    <w:p w14:paraId="48EA1E4E" w14:textId="77777777" w:rsidR="009A2A34" w:rsidRPr="00CC0C7F" w:rsidRDefault="009A2A34" w:rsidP="009A2A34">
      <w:pPr>
        <w:pStyle w:val="Textpoznmkypodiarou"/>
        <w:jc w:val="both"/>
        <w:rPr>
          <w:sz w:val="16"/>
          <w:szCs w:val="16"/>
        </w:rPr>
      </w:pPr>
      <w:r w:rsidRPr="00CC0C7F">
        <w:rPr>
          <w:rStyle w:val="Odkaznapoznmkupodiarou"/>
        </w:rPr>
        <w:footnoteRef/>
      </w:r>
      <w:r w:rsidRPr="00CC0C7F">
        <w:rPr>
          <w:sz w:val="16"/>
          <w:szCs w:val="16"/>
        </w:rPr>
        <w:t xml:space="preserve"> Daň sa bude týkať nealkoholických nápojov s</w:t>
      </w:r>
      <w:r w:rsidRPr="00CC0C7F">
        <w:rPr>
          <w:rFonts w:ascii="Arial" w:hAnsi="Arial" w:cs="Arial"/>
          <w:sz w:val="16"/>
          <w:szCs w:val="16"/>
        </w:rPr>
        <w:t> </w:t>
      </w:r>
      <w:r w:rsidRPr="00CC0C7F">
        <w:rPr>
          <w:sz w:val="16"/>
          <w:szCs w:val="16"/>
        </w:rPr>
        <w:t>obsahom pridan</w:t>
      </w:r>
      <w:r w:rsidRPr="00CC0C7F">
        <w:rPr>
          <w:rFonts w:cs="Arial Narrow"/>
          <w:sz w:val="16"/>
          <w:szCs w:val="16"/>
        </w:rPr>
        <w:t>é</w:t>
      </w:r>
      <w:r w:rsidRPr="00CC0C7F">
        <w:rPr>
          <w:sz w:val="16"/>
          <w:szCs w:val="16"/>
        </w:rPr>
        <w:t>ho cukru alebo pridan</w:t>
      </w:r>
      <w:r w:rsidRPr="00CC0C7F">
        <w:rPr>
          <w:rFonts w:cs="Arial Narrow"/>
          <w:sz w:val="16"/>
          <w:szCs w:val="16"/>
        </w:rPr>
        <w:t>ý</w:t>
      </w:r>
      <w:r w:rsidRPr="00CC0C7F">
        <w:rPr>
          <w:sz w:val="16"/>
          <w:szCs w:val="16"/>
        </w:rPr>
        <w:t>ch sladidiel - vrátane sladených mliečnych nápojov, práškových, či tekutých koncentrátov.</w:t>
      </w:r>
    </w:p>
  </w:footnote>
  <w:footnote w:id="32">
    <w:p w14:paraId="4455287C" w14:textId="77777777" w:rsidR="009A2A34" w:rsidRPr="00BA79BF" w:rsidRDefault="009A2A34" w:rsidP="009A2A34">
      <w:pPr>
        <w:pStyle w:val="Textpoznmkypodiarou"/>
        <w:jc w:val="both"/>
        <w:rPr>
          <w:sz w:val="16"/>
          <w:szCs w:val="16"/>
        </w:rPr>
      </w:pPr>
      <w:r w:rsidRPr="00BA79BF">
        <w:rPr>
          <w:rStyle w:val="Odkaznapoznmkupodiarou"/>
          <w:sz w:val="16"/>
          <w:szCs w:val="16"/>
        </w:rPr>
        <w:footnoteRef/>
      </w:r>
      <w:r w:rsidRPr="00BA79BF">
        <w:rPr>
          <w:sz w:val="16"/>
          <w:szCs w:val="16"/>
        </w:rPr>
        <w:t xml:space="preserve"> Hodnota notifikovaná Eurostatom v apríli 2024. </w:t>
      </w:r>
    </w:p>
  </w:footnote>
  <w:footnote w:id="33">
    <w:p w14:paraId="11FEE488" w14:textId="77777777" w:rsidR="009A2A34" w:rsidRDefault="009A2A34" w:rsidP="009A2A34">
      <w:pPr>
        <w:pStyle w:val="Textpoznmkypodiarou"/>
        <w:jc w:val="both"/>
      </w:pPr>
      <w:r w:rsidRPr="00BA79BF">
        <w:rPr>
          <w:rStyle w:val="Odkaznapoznmkupodiarou"/>
          <w:sz w:val="16"/>
          <w:szCs w:val="16"/>
        </w:rPr>
        <w:footnoteRef/>
      </w:r>
      <w:r w:rsidRPr="00BA79BF">
        <w:rPr>
          <w:sz w:val="16"/>
          <w:szCs w:val="16"/>
        </w:rPr>
        <w:t xml:space="preserve"> V roku 2023 najvyššie sankčné pásmo dlhu </w:t>
      </w:r>
      <w:r>
        <w:rPr>
          <w:sz w:val="16"/>
          <w:szCs w:val="16"/>
        </w:rPr>
        <w:t>podľa</w:t>
      </w:r>
      <w:r w:rsidRPr="00BA79BF">
        <w:rPr>
          <w:sz w:val="16"/>
          <w:szCs w:val="16"/>
        </w:rPr>
        <w:t xml:space="preserve"> ústavného zákona o rozpočtovej zodpovednosti </w:t>
      </w:r>
      <w:r>
        <w:rPr>
          <w:sz w:val="16"/>
          <w:szCs w:val="16"/>
        </w:rPr>
        <w:t xml:space="preserve">predstavovalo </w:t>
      </w:r>
      <w:r w:rsidRPr="00BA79BF">
        <w:rPr>
          <w:sz w:val="16"/>
          <w:szCs w:val="16"/>
        </w:rPr>
        <w:t>úroveň 54 % HDP</w:t>
      </w:r>
      <w:r>
        <w:rPr>
          <w:sz w:val="16"/>
          <w:szCs w:val="16"/>
        </w:rPr>
        <w:t xml:space="preserve"> a viac</w:t>
      </w:r>
      <w:r w:rsidRPr="00BA79BF">
        <w:rPr>
          <w:sz w:val="16"/>
          <w:szCs w:val="16"/>
        </w:rPr>
        <w:t>.</w:t>
      </w:r>
    </w:p>
  </w:footnote>
  <w:footnote w:id="34">
    <w:p w14:paraId="7A91F3D1" w14:textId="77777777" w:rsidR="009A2A34" w:rsidRDefault="009A2A34" w:rsidP="009A2A34">
      <w:pPr>
        <w:pStyle w:val="Textpoznmkypodiarou"/>
        <w:jc w:val="both"/>
      </w:pPr>
      <w:r w:rsidRPr="00557A0F">
        <w:rPr>
          <w:rStyle w:val="Odkaznapoznmkupodiarou"/>
          <w:sz w:val="16"/>
          <w:szCs w:val="16"/>
        </w:rPr>
        <w:footnoteRef/>
      </w:r>
      <w:r w:rsidRPr="00557A0F">
        <w:rPr>
          <w:sz w:val="16"/>
          <w:szCs w:val="16"/>
        </w:rPr>
        <w:t xml:space="preserve"> S1 vyjadruje veľkosť okamžitej permanentnej konsolidácie potrebnej na to, aby dlh neprekročil úroveň 60% HDP do roku 2070 (konečný horizont). Indikátor je koncepčne podobný ukazovateľu dlhodobej udržateľnosti, ktorý používa RRZ.</w:t>
      </w:r>
      <w:r>
        <w:t xml:space="preserve"> </w:t>
      </w:r>
      <w:r w:rsidRPr="00557A0F">
        <w:rPr>
          <w:sz w:val="16"/>
          <w:szCs w:val="16"/>
        </w:rPr>
        <w:t>S2 vyjadruje veľkosť okamžitej permanentnej konsolidácie potrebnej na to, aby dlh zostal stabilný v dlhom období (na “nekonečnom“ horizonte).</w:t>
      </w:r>
    </w:p>
  </w:footnote>
  <w:footnote w:id="35">
    <w:p w14:paraId="4C43A4E4" w14:textId="77777777" w:rsidR="009A2A34" w:rsidRPr="00FD5FCF" w:rsidRDefault="009A2A34" w:rsidP="009A2A34">
      <w:pPr>
        <w:pStyle w:val="Textpoznmkypodiarou"/>
        <w:rPr>
          <w:sz w:val="16"/>
          <w:szCs w:val="16"/>
        </w:rPr>
      </w:pPr>
      <w:r w:rsidRPr="00FD5FCF">
        <w:rPr>
          <w:rStyle w:val="Odkaznapoznmkupodiarou"/>
          <w:sz w:val="16"/>
          <w:szCs w:val="16"/>
        </w:rPr>
        <w:footnoteRef/>
      </w:r>
      <w:r w:rsidRPr="00FD5FCF">
        <w:rPr>
          <w:sz w:val="16"/>
          <w:szCs w:val="16"/>
        </w:rPr>
        <w:t xml:space="preserve"> Scenár</w:t>
      </w:r>
      <w:r>
        <w:rPr>
          <w:sz w:val="16"/>
          <w:szCs w:val="16"/>
        </w:rPr>
        <w:t>e</w:t>
      </w:r>
      <w:r w:rsidRPr="00FD5FCF">
        <w:rPr>
          <w:sz w:val="16"/>
          <w:szCs w:val="16"/>
        </w:rPr>
        <w:t xml:space="preserve"> </w:t>
      </w:r>
      <w:r>
        <w:rPr>
          <w:sz w:val="16"/>
          <w:szCs w:val="16"/>
        </w:rPr>
        <w:t>rozpočtu a splnení cieľov obsahujú výdavky spojené s 13. dôchodkom, ktoré boli zapracované do indikátorov už v </w:t>
      </w:r>
      <w:hyperlink r:id="rId2" w:history="1">
        <w:r w:rsidRPr="00A37D2A">
          <w:rPr>
            <w:rStyle w:val="Hypertextovprepojenie"/>
            <w:sz w:val="16"/>
            <w:szCs w:val="16"/>
          </w:rPr>
          <w:t>Návrhu rozpočtového plánu na rok 2024</w:t>
        </w:r>
      </w:hyperlink>
      <w:r>
        <w:rPr>
          <w:sz w:val="16"/>
          <w:szCs w:val="16"/>
        </w:rPr>
        <w:t>.</w:t>
      </w:r>
    </w:p>
  </w:footnote>
  <w:footnote w:id="36">
    <w:p w14:paraId="5A19A45B" w14:textId="77777777" w:rsidR="009A2A34" w:rsidRPr="000877A2" w:rsidRDefault="009A2A34" w:rsidP="009A2A34">
      <w:pPr>
        <w:pStyle w:val="Textpoznmkypodiarou"/>
        <w:jc w:val="both"/>
        <w:rPr>
          <w:sz w:val="16"/>
          <w:szCs w:val="16"/>
        </w:rPr>
      </w:pPr>
      <w:r w:rsidRPr="00E6770A">
        <w:rPr>
          <w:rStyle w:val="Odkaznapoznmkupodiarou"/>
          <w:sz w:val="16"/>
          <w:szCs w:val="16"/>
        </w:rPr>
        <w:footnoteRef/>
      </w:r>
      <w:r w:rsidRPr="00E6770A">
        <w:rPr>
          <w:sz w:val="16"/>
          <w:szCs w:val="16"/>
        </w:rPr>
        <w:t xml:space="preserve"> </w:t>
      </w:r>
      <w:r>
        <w:rPr>
          <w:sz w:val="16"/>
          <w:szCs w:val="16"/>
        </w:rPr>
        <w:t>V metodike EK sa celkové riziko dlhodobej udržateľnosti považuje za stredné, iba ak hodnota indikátora S2 vykazuje stredné alebo nižšie riziko (hodnotu nižšiu ako 6</w:t>
      </w:r>
      <w:r w:rsidRPr="00664E8C">
        <w:rPr>
          <w:sz w:val="16"/>
          <w:szCs w:val="16"/>
        </w:rPr>
        <w:t xml:space="preserve">% HDP). </w:t>
      </w:r>
      <w:r>
        <w:rPr>
          <w:sz w:val="16"/>
          <w:szCs w:val="16"/>
        </w:rPr>
        <w:t>Presná kategorizácia rizík je dostupná v </w:t>
      </w:r>
      <w:hyperlink r:id="rId3" w:anchor="page=79" w:history="1">
        <w:r w:rsidRPr="00680895">
          <w:rPr>
            <w:rStyle w:val="Hypertextovprepojenie"/>
            <w:sz w:val="16"/>
            <w:szCs w:val="16"/>
          </w:rPr>
          <w:t>Tabuľke 1 Boxu I.3.1 najnovšieho vydania Debt Sustainability Monitoru</w:t>
        </w:r>
      </w:hyperlink>
      <w:r>
        <w:rPr>
          <w:sz w:val="16"/>
          <w:szCs w:val="16"/>
        </w:rPr>
        <w:t>.</w:t>
      </w:r>
    </w:p>
  </w:footnote>
  <w:footnote w:id="37">
    <w:p w14:paraId="24C3159F" w14:textId="77777777" w:rsidR="009A2A34" w:rsidRPr="00DC299B" w:rsidRDefault="009A2A34" w:rsidP="009A2A34">
      <w:pPr>
        <w:pStyle w:val="Textpoznmkypodiarou"/>
        <w:rPr>
          <w:sz w:val="16"/>
          <w:szCs w:val="16"/>
        </w:rPr>
      </w:pPr>
      <w:r w:rsidRPr="00DC299B">
        <w:rPr>
          <w:rStyle w:val="Odkaznapoznmkupodiarou"/>
          <w:sz w:val="16"/>
          <w:szCs w:val="16"/>
        </w:rPr>
        <w:footnoteRef/>
      </w:r>
      <w:r w:rsidRPr="00DC299B">
        <w:rPr>
          <w:sz w:val="16"/>
          <w:szCs w:val="16"/>
        </w:rPr>
        <w:t xml:space="preserve"> </w:t>
      </w:r>
      <w:r>
        <w:rPr>
          <w:sz w:val="16"/>
          <w:szCs w:val="16"/>
        </w:rPr>
        <w:t xml:space="preserve">Výpočty indikátorov S1 a S2 MF SR sa líšia od výpočtov Európskej komisie kvôli rozdielnym metodickým postupom. Pre bližšie informácie o metodických rozdieloch konzultujte </w:t>
      </w:r>
      <w:hyperlink r:id="rId4" w:anchor="page=30" w:history="1">
        <w:r w:rsidRPr="00680895">
          <w:rPr>
            <w:rStyle w:val="Hypertextovprepojenie"/>
            <w:sz w:val="16"/>
            <w:szCs w:val="16"/>
          </w:rPr>
          <w:t>Box 6 Programu Stability 2023</w:t>
        </w:r>
      </w:hyperlink>
      <w:r>
        <w:rPr>
          <w:sz w:val="16"/>
          <w:szCs w:val="16"/>
        </w:rPr>
        <w:t xml:space="preserve"> a pre metodické postupy komisie najnovšie vydanie </w:t>
      </w:r>
      <w:hyperlink r:id="rId5" w:anchor="page=77" w:history="1">
        <w:r w:rsidRPr="00680895">
          <w:rPr>
            <w:rStyle w:val="Hypertextovprepojenie"/>
            <w:sz w:val="16"/>
            <w:szCs w:val="16"/>
          </w:rPr>
          <w:t>Debt Sustainability Monitoru</w:t>
        </w:r>
      </w:hyperlink>
      <w:r>
        <w:rPr>
          <w:sz w:val="16"/>
          <w:szCs w:val="16"/>
        </w:rPr>
        <w:t>.</w:t>
      </w:r>
    </w:p>
  </w:footnote>
  <w:footnote w:id="38">
    <w:p w14:paraId="6B213114" w14:textId="77777777" w:rsidR="009A2A34" w:rsidRPr="00962D29" w:rsidRDefault="009A2A34" w:rsidP="009A2A34">
      <w:pPr>
        <w:pStyle w:val="Textpoznmkypodiarou"/>
        <w:jc w:val="both"/>
        <w:rPr>
          <w:sz w:val="16"/>
          <w:szCs w:val="16"/>
        </w:rPr>
      </w:pPr>
      <w:r w:rsidRPr="00962D29">
        <w:rPr>
          <w:rStyle w:val="Odkaznapoznmkupodiarou"/>
          <w:sz w:val="16"/>
          <w:szCs w:val="16"/>
        </w:rPr>
        <w:footnoteRef/>
      </w:r>
      <w:r w:rsidRPr="00962D29">
        <w:rPr>
          <w:sz w:val="16"/>
          <w:szCs w:val="16"/>
        </w:rPr>
        <w:t xml:space="preserve"> </w:t>
      </w:r>
      <w:hyperlink r:id="rId6" w:history="1">
        <w:r w:rsidRPr="00962D29">
          <w:rPr>
            <w:rStyle w:val="Hypertextovprepojenie"/>
            <w:rFonts w:cstheme="minorBidi"/>
            <w:sz w:val="16"/>
            <w:szCs w:val="16"/>
          </w:rPr>
          <w:t>Pozmeňujúci návrh poslancov NRSR Zdenky Mačicovej, Dagmar Kramplovej a Michala Stušku k vládnemu návrhu zákona, ktorým sa mení a dopĺňa zákon č. 461/2003 Z. z. o sociálnom poistení</w:t>
        </w:r>
      </w:hyperlink>
      <w:r w:rsidRPr="00962D29">
        <w:rPr>
          <w:sz w:val="16"/>
          <w:szCs w:val="16"/>
        </w:rPr>
        <w:t>.</w:t>
      </w:r>
    </w:p>
  </w:footnote>
  <w:footnote w:id="39">
    <w:p w14:paraId="7364AE92" w14:textId="77777777" w:rsidR="009A2A34" w:rsidRPr="00962D29" w:rsidRDefault="009A2A34" w:rsidP="009A2A34">
      <w:pPr>
        <w:pStyle w:val="Textpoznmkypodiarou"/>
        <w:jc w:val="both"/>
        <w:rPr>
          <w:sz w:val="16"/>
          <w:szCs w:val="16"/>
        </w:rPr>
      </w:pPr>
      <w:r w:rsidRPr="00962D29">
        <w:rPr>
          <w:rStyle w:val="Odkaznapoznmkupodiarou"/>
          <w:sz w:val="16"/>
          <w:szCs w:val="16"/>
        </w:rPr>
        <w:footnoteRef/>
      </w:r>
      <w:r w:rsidRPr="00962D29">
        <w:rPr>
          <w:sz w:val="16"/>
          <w:szCs w:val="16"/>
        </w:rPr>
        <w:t xml:space="preserve"> </w:t>
      </w:r>
      <w:hyperlink r:id="rId7" w:history="1">
        <w:r w:rsidRPr="00962D29">
          <w:rPr>
            <w:rStyle w:val="Hypertextovprepojenie"/>
            <w:rFonts w:cstheme="minorBidi"/>
            <w:sz w:val="16"/>
            <w:szCs w:val="16"/>
          </w:rPr>
          <w:t>Vládny návrh zákona</w:t>
        </w:r>
      </w:hyperlink>
      <w:r>
        <w:rPr>
          <w:sz w:val="16"/>
          <w:szCs w:val="16"/>
        </w:rPr>
        <w:t xml:space="preserve">, ktorý zvyšuje </w:t>
      </w:r>
      <w:r w:rsidRPr="00962D29">
        <w:rPr>
          <w:sz w:val="16"/>
          <w:szCs w:val="16"/>
        </w:rPr>
        <w:t>13. dôchod</w:t>
      </w:r>
      <w:r>
        <w:rPr>
          <w:sz w:val="16"/>
          <w:szCs w:val="16"/>
        </w:rPr>
        <w:t>ok</w:t>
      </w:r>
      <w:r w:rsidRPr="00962D29">
        <w:rPr>
          <w:sz w:val="16"/>
          <w:szCs w:val="16"/>
        </w:rPr>
        <w:t xml:space="preserve"> na úroveň priemerného dôchodku poberateľa. Jeho vplyv na dlhodobú udržateľnosť je popísaný v </w:t>
      </w:r>
      <w:hyperlink r:id="rId8" w:history="1">
        <w:r w:rsidRPr="00962D29">
          <w:rPr>
            <w:rStyle w:val="Hypertextovprepojenie"/>
            <w:rFonts w:cstheme="minorBidi"/>
            <w:sz w:val="16"/>
            <w:szCs w:val="16"/>
          </w:rPr>
          <w:t>Návrhu rozpočtového plánu Slovenskej republiky na rok 2024</w:t>
        </w:r>
      </w:hyperlink>
      <w:r>
        <w:rPr>
          <w:sz w:val="16"/>
          <w:szCs w:val="16"/>
        </w:rPr>
        <w:t>.</w:t>
      </w:r>
    </w:p>
  </w:footnote>
  <w:footnote w:id="40">
    <w:p w14:paraId="7889FCDD" w14:textId="77777777" w:rsidR="009A2A34" w:rsidRPr="00DD2938" w:rsidRDefault="009A2A34" w:rsidP="009A2A34">
      <w:pPr>
        <w:pStyle w:val="Textpoznmkypodiarou"/>
        <w:jc w:val="both"/>
        <w:rPr>
          <w:sz w:val="16"/>
          <w:szCs w:val="16"/>
        </w:rPr>
      </w:pPr>
      <w:r w:rsidRPr="00DD2938">
        <w:rPr>
          <w:rStyle w:val="Odkaznapoznmkupodiarou"/>
          <w:sz w:val="16"/>
          <w:szCs w:val="16"/>
        </w:rPr>
        <w:footnoteRef/>
      </w:r>
      <w:r w:rsidRPr="00DD2938">
        <w:rPr>
          <w:sz w:val="16"/>
          <w:szCs w:val="16"/>
        </w:rPr>
        <w:t xml:space="preserve"> </w:t>
      </w:r>
      <w:r>
        <w:rPr>
          <w:sz w:val="16"/>
          <w:szCs w:val="16"/>
        </w:rPr>
        <w:t>Výrazným motivačným faktorom v rokoch 2023 a 2024 je ale aj skutočnosť, že pre mnohých ľudí je finančne výhodnejšie požiadať o predčasný dôchodok. Dôvodom je spôsob akým sa v našom penzijnom systéme vypočítava novopriznaný dôchodok (zohľadňuje rast dvoch nominálnych veličín súčasne) v kombinácii s vysokou úrovňou inflácie v uplynulých rokoch.</w:t>
      </w:r>
    </w:p>
  </w:footnote>
  <w:footnote w:id="41">
    <w:p w14:paraId="77E13D1B" w14:textId="77777777" w:rsidR="009A2A34" w:rsidRPr="00195E17" w:rsidRDefault="009A2A34" w:rsidP="009A2A34">
      <w:pPr>
        <w:pStyle w:val="Textpoznmkypodiarou"/>
        <w:jc w:val="both"/>
        <w:rPr>
          <w:sz w:val="16"/>
          <w:szCs w:val="16"/>
        </w:rPr>
      </w:pPr>
      <w:r w:rsidRPr="00195E17">
        <w:rPr>
          <w:rStyle w:val="Odkaznapoznmkupodiarou"/>
          <w:sz w:val="16"/>
          <w:szCs w:val="16"/>
        </w:rPr>
        <w:footnoteRef/>
      </w:r>
      <w:r w:rsidRPr="00195E17">
        <w:rPr>
          <w:sz w:val="16"/>
          <w:szCs w:val="16"/>
        </w:rPr>
        <w:t xml:space="preserve"> </w:t>
      </w:r>
      <w:r w:rsidRPr="00195E17">
        <w:rPr>
          <w:rFonts w:cs="Arial"/>
          <w:sz w:val="16"/>
          <w:szCs w:val="16"/>
        </w:rPr>
        <w:t>Metodika predstavuje nevyhnutný predpoklad štandardizácie procesov v súťažnom financovaní s cieľom zefektívniť túto oblasť z pohľadu konečných prijímateľov poskytovanej podpory (výskumníkov a inovátorov).</w:t>
      </w:r>
    </w:p>
  </w:footnote>
  <w:footnote w:id="42">
    <w:p w14:paraId="16F23982" w14:textId="77777777" w:rsidR="009A2A34" w:rsidRPr="00195E17" w:rsidRDefault="009A2A34" w:rsidP="009A2A34">
      <w:pPr>
        <w:pStyle w:val="Textpoznmkypodiarou"/>
        <w:rPr>
          <w:sz w:val="16"/>
          <w:szCs w:val="16"/>
        </w:rPr>
      </w:pPr>
      <w:r w:rsidRPr="00195E17">
        <w:rPr>
          <w:rStyle w:val="Odkaznapoznmkupodiarou"/>
          <w:sz w:val="16"/>
          <w:szCs w:val="16"/>
        </w:rPr>
        <w:footnoteRef/>
      </w:r>
      <w:r w:rsidRPr="00195E17">
        <w:rPr>
          <w:sz w:val="16"/>
          <w:szCs w:val="16"/>
        </w:rPr>
        <w:t xml:space="preserve"> </w:t>
      </w:r>
      <w:r w:rsidRPr="00195E17">
        <w:rPr>
          <w:rFonts w:cs="Arial"/>
          <w:bCs/>
          <w:sz w:val="16"/>
          <w:szCs w:val="16"/>
        </w:rPr>
        <w:t>Komplexné a pravidelné vyhodnocovanie je dôležitým prvkom pre tvorbu, implementáciu a vyhodnocovanie verejných politík v oblasti zdravotníctva.</w:t>
      </w:r>
    </w:p>
  </w:footnote>
  <w:footnote w:id="43">
    <w:p w14:paraId="6594FE13" w14:textId="77777777" w:rsidR="009A2A34" w:rsidRPr="00195E17" w:rsidRDefault="009A2A34" w:rsidP="009A2A34">
      <w:pPr>
        <w:pStyle w:val="Textpoznmkypodiarou"/>
        <w:rPr>
          <w:sz w:val="16"/>
          <w:szCs w:val="16"/>
        </w:rPr>
      </w:pPr>
      <w:r w:rsidRPr="00195E17">
        <w:rPr>
          <w:rStyle w:val="Odkaznapoznmkupodiarou"/>
          <w:sz w:val="16"/>
          <w:szCs w:val="16"/>
        </w:rPr>
        <w:footnoteRef/>
      </w:r>
      <w:r w:rsidRPr="00195E17">
        <w:rPr>
          <w:sz w:val="16"/>
          <w:szCs w:val="16"/>
        </w:rPr>
        <w:t xml:space="preserve"> </w:t>
      </w:r>
      <w:r w:rsidRPr="00195E17">
        <w:rPr>
          <w:rFonts w:eastAsiaTheme="minorEastAsia" w:cs="Times New Roman"/>
          <w:color w:val="000000" w:themeColor="text1"/>
          <w:sz w:val="16"/>
          <w:szCs w:val="16"/>
        </w:rPr>
        <w:t>Pre indikátory kvality identifikované odborníkmi budú v priebehu roka 2024 pripravené metodiky na ich vyhodnocovanie a postupné zverejňovanie.</w:t>
      </w:r>
    </w:p>
  </w:footnote>
  <w:footnote w:id="44">
    <w:p w14:paraId="1FE4148B" w14:textId="77777777" w:rsidR="009A2A34" w:rsidRPr="00195E17" w:rsidRDefault="009A2A34" w:rsidP="009A2A34">
      <w:pPr>
        <w:pStyle w:val="Textpoznmkypodiarou"/>
        <w:rPr>
          <w:sz w:val="16"/>
          <w:szCs w:val="16"/>
        </w:rPr>
      </w:pPr>
      <w:r w:rsidRPr="00195E17">
        <w:rPr>
          <w:rStyle w:val="Odkaznapoznmkupodiarou"/>
          <w:sz w:val="16"/>
          <w:szCs w:val="16"/>
        </w:rPr>
        <w:footnoteRef/>
      </w:r>
      <w:r w:rsidRPr="00195E17">
        <w:rPr>
          <w:sz w:val="16"/>
          <w:szCs w:val="16"/>
        </w:rPr>
        <w:t xml:space="preserve"> </w:t>
      </w:r>
      <w:r w:rsidRPr="00195E17">
        <w:rPr>
          <w:rFonts w:cs="Arial"/>
          <w:iCs/>
          <w:sz w:val="16"/>
          <w:szCs w:val="16"/>
        </w:rPr>
        <w:t>Ten je však nateraz stiahnutý z legislatívneho procesu.</w:t>
      </w:r>
    </w:p>
  </w:footnote>
  <w:footnote w:id="45">
    <w:p w14:paraId="0BF4D2B8" w14:textId="77777777" w:rsidR="009A2A34" w:rsidRPr="001B21AE" w:rsidRDefault="009A2A34" w:rsidP="009A2A34">
      <w:pPr>
        <w:pStyle w:val="Textpoznmkypodiarou"/>
        <w:jc w:val="both"/>
        <w:rPr>
          <w:sz w:val="16"/>
          <w:szCs w:val="16"/>
        </w:rPr>
      </w:pPr>
      <w:r w:rsidRPr="001B21AE">
        <w:rPr>
          <w:rStyle w:val="Odkaznapoznmkupodiarou"/>
          <w:sz w:val="16"/>
          <w:szCs w:val="16"/>
        </w:rPr>
        <w:footnoteRef/>
      </w:r>
      <w:r w:rsidRPr="001B21AE">
        <w:rPr>
          <w:sz w:val="16"/>
          <w:szCs w:val="16"/>
        </w:rPr>
        <w:t xml:space="preserve"> Jeho hlavným cieľom je sprehľadnenie právneho klimatického rámca, tak aby bolo jasné, že hlavnou prioritou klimatickej politiky na Slovensku je práve urýchlené dosiahnutie nízko uhlíkovej transformácie a klimatickej neutrality, zvýšenie klimatickej odolnosti a adaptácia na nepriaznivé dôsledky zmeny klímy</w:t>
      </w:r>
      <w:r w:rsidRPr="004F45B6">
        <w:rPr>
          <w:sz w:val="16"/>
          <w:szCs w:val="16"/>
        </w:rPr>
        <w:t>.</w:t>
      </w:r>
    </w:p>
  </w:footnote>
  <w:footnote w:id="46">
    <w:p w14:paraId="4A44957D" w14:textId="77777777" w:rsidR="009A2A34" w:rsidRPr="00EE01F8" w:rsidRDefault="009A2A34" w:rsidP="009A2A34">
      <w:pPr>
        <w:pStyle w:val="Textpoznmkypodiarou"/>
        <w:jc w:val="both"/>
        <w:rPr>
          <w:sz w:val="16"/>
          <w:szCs w:val="16"/>
        </w:rPr>
      </w:pPr>
      <w:r w:rsidRPr="00EE01F8">
        <w:rPr>
          <w:rStyle w:val="Odkaznapoznmkupodiarou"/>
          <w:sz w:val="16"/>
          <w:szCs w:val="16"/>
        </w:rPr>
        <w:footnoteRef/>
      </w:r>
      <w:r w:rsidRPr="00EE01F8">
        <w:rPr>
          <w:sz w:val="16"/>
          <w:szCs w:val="16"/>
        </w:rPr>
        <w:t xml:space="preserve"> Ide o výdavky verejnej správy očistené o EU fondy a POO, úrokové náklady a cyklické výdavky v</w:t>
      </w:r>
      <w:r>
        <w:rPr>
          <w:sz w:val="16"/>
          <w:szCs w:val="16"/>
        </w:rPr>
        <w:t> </w:t>
      </w:r>
      <w:r w:rsidRPr="00EE01F8">
        <w:rPr>
          <w:sz w:val="16"/>
          <w:szCs w:val="16"/>
        </w:rPr>
        <w:t>nezamestnanosti</w:t>
      </w:r>
      <w:r>
        <w:rPr>
          <w:sz w:val="16"/>
          <w:szCs w:val="16"/>
        </w:rPr>
        <w:t xml:space="preserve"> a diskrečné príjmové opatrenia</w:t>
      </w:r>
      <w:r w:rsidRPr="00EE01F8">
        <w:rPr>
          <w:sz w:val="16"/>
          <w:szCs w:val="16"/>
        </w:rPr>
        <w:t>.</w:t>
      </w:r>
    </w:p>
  </w:footnote>
  <w:footnote w:id="47">
    <w:p w14:paraId="4427C28A" w14:textId="77AB6A19" w:rsidR="009A2A34" w:rsidRPr="00045DEA" w:rsidRDefault="009A2A34" w:rsidP="009A2A34">
      <w:pPr>
        <w:pStyle w:val="Textpoznmkypodiarou"/>
        <w:jc w:val="both"/>
        <w:rPr>
          <w:sz w:val="16"/>
          <w:szCs w:val="16"/>
        </w:rPr>
      </w:pPr>
      <w:r w:rsidRPr="00045DEA">
        <w:rPr>
          <w:rStyle w:val="Odkaznapoznmkupodiarou"/>
          <w:sz w:val="16"/>
          <w:szCs w:val="16"/>
        </w:rPr>
        <w:footnoteRef/>
      </w:r>
      <w:r w:rsidRPr="00045DEA">
        <w:rPr>
          <w:sz w:val="16"/>
          <w:szCs w:val="16"/>
        </w:rPr>
        <w:t xml:space="preserve"> </w:t>
      </w:r>
      <w:r w:rsidRPr="00045DEA">
        <w:rPr>
          <w:rFonts w:cs="Times New Roman"/>
          <w:sz w:val="16"/>
          <w:szCs w:val="16"/>
        </w:rPr>
        <w:t>Z dôvodu nárastu zadlženia vo verejnom sektore v poslednom období počas pandémie COVID-19 a energetickej kríz</w:t>
      </w:r>
      <w:r w:rsidR="005F086D">
        <w:rPr>
          <w:rFonts w:cs="Times New Roman"/>
          <w:sz w:val="16"/>
          <w:szCs w:val="16"/>
        </w:rPr>
        <w:t>y</w:t>
      </w:r>
      <w:r>
        <w:rPr>
          <w:rFonts w:cs="Times New Roman"/>
          <w:sz w:val="16"/>
          <w:szCs w:val="16"/>
        </w:rPr>
        <w:t xml:space="preserve"> sa hrubý dlh dostal nad všetky sankčné pásma dlhovej brzdy. Nastavenie sankcií vychádzajúcich z dlhovej brzdy v praxi vyžaduje výrazné, skokové šetrenie, čo by negatívne ovplyvnilo celú ekonomiku.</w:t>
      </w:r>
    </w:p>
  </w:footnote>
  <w:footnote w:id="48">
    <w:p w14:paraId="228205D3" w14:textId="77777777" w:rsidR="000F6636" w:rsidRPr="00EC659B" w:rsidRDefault="000F6636" w:rsidP="000F6636">
      <w:pPr>
        <w:pStyle w:val="Textpoznmkypodiarou"/>
        <w:ind w:left="113" w:hanging="113"/>
        <w:jc w:val="both"/>
        <w:rPr>
          <w:sz w:val="16"/>
          <w:szCs w:val="16"/>
        </w:rPr>
      </w:pPr>
      <w:r w:rsidRPr="00EC659B">
        <w:rPr>
          <w:rStyle w:val="Odkaznapoznmkupodiarou"/>
          <w:rFonts w:eastAsia="Arial Narrow"/>
          <w:sz w:val="16"/>
          <w:szCs w:val="16"/>
        </w:rPr>
        <w:footnoteRef/>
      </w:r>
      <w:r w:rsidRPr="00EC659B">
        <w:rPr>
          <w:sz w:val="16"/>
          <w:szCs w:val="16"/>
        </w:rPr>
        <w:t xml:space="preserve"> Makroekonomické základne pre rozpočtové príjmy (váha ukazovateľov závisí od podielu jednotlivých daní na celkových daňových a odvodových príjmoch); Mzdová báza (zamestnanosť + nominálna mzda) – 51,1 %, Nominálna súkromná spotreba – 25,7 %, Reálna súkromná spotreba – 6,6 %, Nominálny rast HDP – 9,9 %, Reálny rast HDP – 6,7 %.</w:t>
      </w:r>
    </w:p>
  </w:footnote>
  <w:footnote w:id="49">
    <w:p w14:paraId="7126370E" w14:textId="77777777" w:rsidR="000F6636" w:rsidRPr="000269C6" w:rsidRDefault="000F6636" w:rsidP="000F6636">
      <w:pPr>
        <w:pStyle w:val="Textpoznmkypodiarou"/>
        <w:rPr>
          <w:sz w:val="16"/>
          <w:szCs w:val="16"/>
        </w:rPr>
      </w:pPr>
      <w:r w:rsidRPr="000269C6">
        <w:rPr>
          <w:rStyle w:val="Odkaznapoznmkupodiarou"/>
          <w:rFonts w:eastAsia="Arial Narrow"/>
          <w:sz w:val="16"/>
          <w:szCs w:val="16"/>
        </w:rPr>
        <w:footnoteRef/>
      </w:r>
      <w:r w:rsidRPr="000269C6">
        <w:rPr>
          <w:sz w:val="16"/>
          <w:szCs w:val="16"/>
        </w:rPr>
        <w:t xml:space="preserve"> Tieto opatrenia sa podľa metodiky EK však neklasifikujú ako jednorazové.</w:t>
      </w:r>
      <w:r>
        <w:rPr>
          <w:sz w:val="16"/>
          <w:szCs w:val="16"/>
        </w:rPr>
        <w:t xml:space="preserve"> Preto je v povinných tabuľkách uvedená pri jednorazových opatreniach nulová hodnota.</w:t>
      </w:r>
    </w:p>
  </w:footnote>
  <w:footnote w:id="50">
    <w:p w14:paraId="621B1842" w14:textId="77777777" w:rsidR="000F6636" w:rsidRPr="008C29A6" w:rsidRDefault="000F6636" w:rsidP="000F6636">
      <w:pPr>
        <w:pStyle w:val="Textpoznmkypodiarou"/>
        <w:ind w:left="142" w:hanging="142"/>
        <w:jc w:val="both"/>
      </w:pPr>
      <w:r w:rsidRPr="008C29A6">
        <w:rPr>
          <w:rStyle w:val="Odkaznapoznmkupodiarou"/>
          <w:rFonts w:eastAsia="Arial Narrow"/>
          <w:sz w:val="16"/>
          <w:szCs w:val="16"/>
        </w:rPr>
        <w:footnoteRef/>
      </w:r>
      <w:r>
        <w:rPr>
          <w:sz w:val="16"/>
        </w:rPr>
        <w:t xml:space="preserve"> R</w:t>
      </w:r>
      <w:r w:rsidRPr="008C29A6">
        <w:rPr>
          <w:sz w:val="16"/>
        </w:rPr>
        <w:t xml:space="preserve">ovnaké </w:t>
      </w:r>
      <w:r>
        <w:rPr>
          <w:sz w:val="16"/>
        </w:rPr>
        <w:t>pravidlá</w:t>
      </w:r>
      <w:r w:rsidRPr="008C29A6">
        <w:rPr>
          <w:sz w:val="16"/>
        </w:rPr>
        <w:t xml:space="preserve"> p</w:t>
      </w:r>
      <w:r>
        <w:rPr>
          <w:sz w:val="16"/>
        </w:rPr>
        <w:t>latia</w:t>
      </w:r>
      <w:r w:rsidRPr="008C29A6">
        <w:rPr>
          <w:sz w:val="16"/>
        </w:rPr>
        <w:t xml:space="preserve"> aj pre výdavkové opatrenia s výnimkou,  že nie všetky musia byť legislatívneho charakteru</w:t>
      </w:r>
      <w:r>
        <w:rPr>
          <w:sz w:val="16"/>
        </w:rPr>
        <w:t xml:space="preserve">, keďže výdavky verejnej správy nie sú </w:t>
      </w:r>
      <w:r w:rsidRPr="008C29A6">
        <w:rPr>
          <w:sz w:val="16"/>
        </w:rPr>
        <w:t>všetky dané zákonom.</w:t>
      </w:r>
    </w:p>
  </w:footnote>
  <w:footnote w:id="51">
    <w:p w14:paraId="447E85B3" w14:textId="77777777" w:rsidR="000F6636" w:rsidRPr="00EC659B" w:rsidRDefault="000F6636" w:rsidP="000F6636">
      <w:pPr>
        <w:pStyle w:val="Textpoznmkypodiarou"/>
        <w:ind w:left="113" w:hanging="113"/>
        <w:jc w:val="both"/>
        <w:rPr>
          <w:sz w:val="16"/>
          <w:szCs w:val="16"/>
        </w:rPr>
      </w:pPr>
      <w:r w:rsidRPr="00EC659B">
        <w:rPr>
          <w:rStyle w:val="Odkaznapoznmkupodiarou"/>
          <w:rFonts w:eastAsia="Arial Narrow"/>
          <w:sz w:val="16"/>
          <w:szCs w:val="16"/>
        </w:rPr>
        <w:footnoteRef/>
      </w:r>
      <w:r>
        <w:rPr>
          <w:sz w:val="16"/>
          <w:szCs w:val="16"/>
        </w:rPr>
        <w:t xml:space="preserve"> Názorným príkladom n</w:t>
      </w:r>
      <w:r w:rsidRPr="00EC659B">
        <w:rPr>
          <w:sz w:val="16"/>
          <w:szCs w:val="16"/>
        </w:rPr>
        <w:t>a vysvetlenie DRM môže byť prijaté legislatívne opatrenie s odhadovaným vplyvom 200. Opatrenie bolo zavedené v polovici roka, teda jeho celkový vplyv v danom roku predstavuje 100. V ďalšom roku narastie vplyv na celú sumu 200, ale marginálne sa zaznamená len rozdiel týchto dvoch vplyvov, t. j. 100. Kumulatívne je celkový vplyv 200, len je rozložený do dvoch rokov.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C97CB" w14:textId="77777777" w:rsidR="00CF774B" w:rsidRDefault="00CF774B" w:rsidP="00CA5604">
    <w:pPr>
      <w:pStyle w:val="Hlavika"/>
      <w:tabs>
        <w:tab w:val="clear" w:pos="9072"/>
        <w:tab w:val="right" w:pos="9540"/>
      </w:tabs>
      <w:rPr>
        <w:rFonts w:cs="Arial Narrow"/>
        <w:b/>
        <w:bCs/>
      </w:rPr>
    </w:pPr>
  </w:p>
  <w:p w14:paraId="586818A4" w14:textId="77777777" w:rsidR="00CF774B" w:rsidRPr="009C03E3" w:rsidRDefault="00CF774B" w:rsidP="00CA5604">
    <w:pPr>
      <w:pStyle w:val="Hlavika"/>
      <w:tabs>
        <w:tab w:val="clear" w:pos="9072"/>
        <w:tab w:val="right" w:pos="9540"/>
      </w:tabs>
      <w:rPr>
        <w:rFonts w:cs="Arial Narrow"/>
        <w:b/>
        <w:bCs/>
      </w:rPr>
    </w:pPr>
  </w:p>
  <w:p w14:paraId="2C8639E0" w14:textId="77777777" w:rsidR="00CF774B" w:rsidRPr="00F46CC1" w:rsidRDefault="00CF774B" w:rsidP="00CA5604">
    <w:pPr>
      <w:pStyle w:val="Hlavika"/>
      <w:tabs>
        <w:tab w:val="clear" w:pos="9072"/>
        <w:tab w:val="left" w:pos="567"/>
        <w:tab w:val="left" w:pos="6660"/>
      </w:tabs>
      <w:rPr>
        <w:rFonts w:cs="Arial Narrow"/>
        <w:b/>
        <w:bCs/>
        <w:color w:val="7F7F7F" w:themeColor="text1" w:themeTint="80"/>
      </w:rPr>
    </w:pPr>
    <w:r w:rsidRPr="003A6131">
      <w:rPr>
        <w:rFonts w:cs="Arial Narrow"/>
        <w:b/>
        <w:bCs/>
        <w:color w:val="7F7F7F" w:themeColor="text1" w:themeTint="80"/>
      </w:rPr>
      <w:t xml:space="preserve">      </w:t>
    </w:r>
    <w:r w:rsidRPr="003A6131">
      <w:rPr>
        <w:noProof/>
        <w:color w:val="7F7F7F" w:themeColor="text1" w:themeTint="80"/>
        <w:lang w:eastAsia="sk-SK"/>
      </w:rPr>
      <w:drawing>
        <wp:anchor distT="0" distB="0" distL="114300" distR="114300" simplePos="0" relativeHeight="251649024" behindDoc="0" locked="1" layoutInCell="1" allowOverlap="0" wp14:anchorId="0E5369C2" wp14:editId="310CF512">
          <wp:simplePos x="0" y="0"/>
          <wp:positionH relativeFrom="column">
            <wp:posOffset>-8255</wp:posOffset>
          </wp:positionH>
          <wp:positionV relativeFrom="paragraph">
            <wp:posOffset>-10160</wp:posOffset>
          </wp:positionV>
          <wp:extent cx="318770" cy="375285"/>
          <wp:effectExtent l="0" t="0" r="5080" b="5715"/>
          <wp:wrapNone/>
          <wp:docPr id="31"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srcRect/>
                  <a:stretch>
                    <a:fillRect/>
                  </a:stretch>
                </pic:blipFill>
                <pic:spPr bwMode="auto">
                  <a:xfrm>
                    <a:off x="0" y="0"/>
                    <a:ext cx="318770" cy="375285"/>
                  </a:xfrm>
                  <a:prstGeom prst="rect">
                    <a:avLst/>
                  </a:prstGeom>
                  <a:noFill/>
                  <a:ln w="9525">
                    <a:noFill/>
                    <a:miter lim="800000"/>
                    <a:headEnd/>
                    <a:tailEnd/>
                  </a:ln>
                </pic:spPr>
              </pic:pic>
            </a:graphicData>
          </a:graphic>
        </wp:anchor>
      </w:drawing>
    </w:r>
    <w:r w:rsidRPr="003A6131">
      <w:rPr>
        <w:rFonts w:cs="Arial Narrow"/>
        <w:b/>
        <w:bCs/>
        <w:color w:val="7F7F7F" w:themeColor="text1" w:themeTint="80"/>
      </w:rPr>
      <w:t xml:space="preserve">      </w:t>
    </w:r>
    <w:r w:rsidRPr="00F46CC1">
      <w:rPr>
        <w:rFonts w:cs="Arial Narrow"/>
        <w:b/>
        <w:bCs/>
        <w:color w:val="7F7F7F" w:themeColor="text1" w:themeTint="80"/>
        <w:spacing w:val="6"/>
      </w:rPr>
      <w:t>Ministerstvo financií</w:t>
    </w:r>
  </w:p>
  <w:p w14:paraId="3467083D" w14:textId="77777777" w:rsidR="00CF774B" w:rsidRPr="00F46CC1" w:rsidRDefault="00CF774B" w:rsidP="00CA5604">
    <w:pPr>
      <w:pStyle w:val="Hlavika"/>
      <w:tabs>
        <w:tab w:val="clear" w:pos="9072"/>
        <w:tab w:val="left" w:pos="567"/>
        <w:tab w:val="left" w:pos="6660"/>
      </w:tabs>
      <w:rPr>
        <w:rFonts w:cs="Arial Narrow"/>
        <w:b/>
        <w:bCs/>
        <w:color w:val="7F7F7F" w:themeColor="text1" w:themeTint="80"/>
      </w:rPr>
    </w:pPr>
    <w:r w:rsidRPr="00F46CC1">
      <w:rPr>
        <w:rFonts w:cs="Arial Narrow"/>
        <w:b/>
        <w:bCs/>
        <w:color w:val="7F7F7F" w:themeColor="text1" w:themeTint="80"/>
      </w:rPr>
      <w:t xml:space="preserve">            Slovenskej republiky</w:t>
    </w:r>
  </w:p>
  <w:p w14:paraId="6FB3D909" w14:textId="77777777" w:rsidR="00CF774B" w:rsidRPr="009C03E3" w:rsidRDefault="00CF774B" w:rsidP="00CA5604">
    <w:pPr>
      <w:pStyle w:val="Hlavika"/>
      <w:rPr>
        <w:rFonts w:cs="Arial Narrow"/>
      </w:rPr>
    </w:pPr>
    <w:r>
      <w:rPr>
        <w:noProof/>
        <w:lang w:eastAsia="sk-SK"/>
      </w:rPr>
      <mc:AlternateContent>
        <mc:Choice Requires="wps">
          <w:drawing>
            <wp:anchor distT="4294967291" distB="4294967291" distL="114300" distR="114300" simplePos="0" relativeHeight="251657216" behindDoc="0" locked="1" layoutInCell="1" allowOverlap="1" wp14:anchorId="592272DA" wp14:editId="199D01B2">
              <wp:simplePos x="0" y="0"/>
              <wp:positionH relativeFrom="column">
                <wp:posOffset>0</wp:posOffset>
              </wp:positionH>
              <wp:positionV relativeFrom="paragraph">
                <wp:posOffset>108584</wp:posOffset>
              </wp:positionV>
              <wp:extent cx="5715000" cy="0"/>
              <wp:effectExtent l="0" t="0" r="19050" b="19050"/>
              <wp:wrapNone/>
              <wp:docPr id="6" name="Rovná spojnic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03833A" id="Rovná spojnica 1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5pt" to="450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" strokecolor="gray [1629]">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0FC65" w14:textId="77777777" w:rsidR="00CF774B" w:rsidRPr="009C03E3" w:rsidRDefault="00CF774B" w:rsidP="00663B80">
    <w:pPr>
      <w:pStyle w:val="Hlavika"/>
      <w:tabs>
        <w:tab w:val="clear" w:pos="9072"/>
        <w:tab w:val="right" w:pos="9540"/>
      </w:tabs>
      <w:rPr>
        <w:rFonts w:cs="Arial Narrow"/>
        <w:b/>
        <w:bCs/>
      </w:rPr>
    </w:pPr>
  </w:p>
  <w:p w14:paraId="16DF7AE5" w14:textId="77777777" w:rsidR="00CF774B" w:rsidRPr="009C03E3" w:rsidRDefault="00CF774B" w:rsidP="00663B80">
    <w:pPr>
      <w:pStyle w:val="Hlavika"/>
      <w:tabs>
        <w:tab w:val="clear" w:pos="9072"/>
        <w:tab w:val="right" w:pos="9540"/>
      </w:tabs>
      <w:rPr>
        <w:rFonts w:cs="Arial Narrow"/>
        <w:b/>
        <w:bCs/>
      </w:rPr>
    </w:pPr>
  </w:p>
  <w:p w14:paraId="167A729E" w14:textId="77777777" w:rsidR="00CF774B" w:rsidRPr="009C03E3" w:rsidRDefault="00CF774B" w:rsidP="00CA5604">
    <w:pPr>
      <w:pStyle w:val="Hlavika"/>
      <w:tabs>
        <w:tab w:val="clear" w:pos="9072"/>
        <w:tab w:val="left" w:pos="567"/>
        <w:tab w:val="left" w:pos="6660"/>
      </w:tabs>
      <w:rPr>
        <w:rFonts w:cs="Arial Narrow"/>
        <w:b/>
        <w:bCs/>
      </w:rPr>
    </w:pPr>
    <w:r w:rsidRPr="009C03E3">
      <w:rPr>
        <w:rFonts w:cs="Arial Narrow"/>
        <w:b/>
        <w:bCs/>
      </w:rPr>
      <w:t xml:space="preserve">            </w:t>
    </w:r>
  </w:p>
  <w:p w14:paraId="728BDF8D" w14:textId="77777777" w:rsidR="00CF774B" w:rsidRPr="009C03E3" w:rsidRDefault="00CF774B" w:rsidP="00663B80">
    <w:pPr>
      <w:pStyle w:val="Hlavika"/>
      <w:rPr>
        <w:rFonts w:cs="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805"/>
    <w:multiLevelType w:val="hybridMultilevel"/>
    <w:tmpl w:val="92B0D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BA73FB"/>
    <w:multiLevelType w:val="hybridMultilevel"/>
    <w:tmpl w:val="8AFC514E"/>
    <w:lvl w:ilvl="0" w:tplc="6EA8BF20">
      <w:start w:val="1"/>
      <w:numFmt w:val="decimal"/>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805A07"/>
    <w:multiLevelType w:val="hybridMultilevel"/>
    <w:tmpl w:val="07B858A2"/>
    <w:lvl w:ilvl="0" w:tplc="67441D44">
      <w:start w:val="16"/>
      <w:numFmt w:val="bullet"/>
      <w:lvlText w:val=""/>
      <w:lvlJc w:val="left"/>
      <w:pPr>
        <w:ind w:left="720" w:hanging="360"/>
      </w:pPr>
      <w:rPr>
        <w:rFonts w:ascii="Symbol" w:eastAsia="Times New Roman" w:hAnsi="Symbol" w:cs="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CB06B8"/>
    <w:multiLevelType w:val="hybridMultilevel"/>
    <w:tmpl w:val="0B2C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B5C57"/>
    <w:multiLevelType w:val="hybridMultilevel"/>
    <w:tmpl w:val="8140D874"/>
    <w:lvl w:ilvl="0" w:tplc="AA60D832">
      <w:start w:val="1"/>
      <w:numFmt w:val="bullet"/>
      <w:lvlText w:val=""/>
      <w:lvlJc w:val="left"/>
      <w:pPr>
        <w:ind w:left="720" w:hanging="360"/>
      </w:pPr>
      <w:rPr>
        <w:rFonts w:ascii="Symbol" w:hAnsi="Symbol" w:hint="default"/>
        <w:color w:val="2C9ADC" w:themeColor="accen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11308E"/>
    <w:multiLevelType w:val="hybridMultilevel"/>
    <w:tmpl w:val="CE1E0A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2F44BF"/>
    <w:multiLevelType w:val="hybridMultilevel"/>
    <w:tmpl w:val="0A860BC4"/>
    <w:lvl w:ilvl="0" w:tplc="1974FEA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0033AD"/>
    <w:multiLevelType w:val="hybridMultilevel"/>
    <w:tmpl w:val="CB8C733A"/>
    <w:lvl w:ilvl="0" w:tplc="0DDC0E2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21648"/>
    <w:multiLevelType w:val="hybridMultilevel"/>
    <w:tmpl w:val="D478B2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F129DC"/>
    <w:multiLevelType w:val="hybridMultilevel"/>
    <w:tmpl w:val="2438D22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19FC019A"/>
    <w:multiLevelType w:val="multilevel"/>
    <w:tmpl w:val="401AA996"/>
    <w:styleLink w:val="List17"/>
    <w:lvl w:ilvl="0">
      <w:numFmt w:val="bullet"/>
      <w:lvlText w:val="•"/>
      <w:lvlJc w:val="left"/>
      <w:rPr>
        <w:rFonts w:ascii="Arial Narrow" w:eastAsia="Arial Narrow" w:hAnsi="Arial Narrow" w:cs="Arial Narrow"/>
        <w:b/>
        <w:bCs/>
        <w:position w:val="0"/>
        <w:shd w:val="clear" w:color="auto" w:fill="FFFFFF"/>
      </w:rPr>
    </w:lvl>
    <w:lvl w:ilvl="1">
      <w:start w:val="1"/>
      <w:numFmt w:val="bullet"/>
      <w:lvlText w:val="o"/>
      <w:lvlJc w:val="left"/>
      <w:rPr>
        <w:rFonts w:ascii="Arial Narrow" w:eastAsia="Arial Narrow" w:hAnsi="Arial Narrow" w:cs="Arial Narrow"/>
        <w:b/>
        <w:bCs/>
        <w:position w:val="0"/>
        <w:shd w:val="clear" w:color="auto" w:fill="FFFFFF"/>
      </w:rPr>
    </w:lvl>
    <w:lvl w:ilvl="2">
      <w:start w:val="1"/>
      <w:numFmt w:val="bullet"/>
      <w:lvlText w:val="▪"/>
      <w:lvlJc w:val="left"/>
      <w:rPr>
        <w:rFonts w:ascii="Arial Narrow" w:eastAsia="Arial Narrow" w:hAnsi="Arial Narrow" w:cs="Arial Narrow"/>
        <w:b/>
        <w:bCs/>
        <w:position w:val="0"/>
        <w:shd w:val="clear" w:color="auto" w:fill="FFFFFF"/>
      </w:rPr>
    </w:lvl>
    <w:lvl w:ilvl="3">
      <w:start w:val="1"/>
      <w:numFmt w:val="bullet"/>
      <w:lvlText w:val="•"/>
      <w:lvlJc w:val="left"/>
      <w:rPr>
        <w:rFonts w:ascii="Arial Narrow" w:eastAsia="Arial Narrow" w:hAnsi="Arial Narrow" w:cs="Arial Narrow"/>
        <w:b/>
        <w:bCs/>
        <w:position w:val="0"/>
        <w:shd w:val="clear" w:color="auto" w:fill="FFFFFF"/>
      </w:rPr>
    </w:lvl>
    <w:lvl w:ilvl="4">
      <w:start w:val="1"/>
      <w:numFmt w:val="bullet"/>
      <w:lvlText w:val="o"/>
      <w:lvlJc w:val="left"/>
      <w:rPr>
        <w:rFonts w:ascii="Arial Narrow" w:eastAsia="Arial Narrow" w:hAnsi="Arial Narrow" w:cs="Arial Narrow"/>
        <w:b/>
        <w:bCs/>
        <w:position w:val="0"/>
        <w:shd w:val="clear" w:color="auto" w:fill="FFFFFF"/>
      </w:rPr>
    </w:lvl>
    <w:lvl w:ilvl="5">
      <w:start w:val="1"/>
      <w:numFmt w:val="bullet"/>
      <w:lvlText w:val="▪"/>
      <w:lvlJc w:val="left"/>
      <w:rPr>
        <w:rFonts w:ascii="Arial Narrow" w:eastAsia="Arial Narrow" w:hAnsi="Arial Narrow" w:cs="Arial Narrow"/>
        <w:b/>
        <w:bCs/>
        <w:position w:val="0"/>
        <w:shd w:val="clear" w:color="auto" w:fill="FFFFFF"/>
      </w:rPr>
    </w:lvl>
    <w:lvl w:ilvl="6">
      <w:start w:val="1"/>
      <w:numFmt w:val="bullet"/>
      <w:lvlText w:val="•"/>
      <w:lvlJc w:val="left"/>
      <w:rPr>
        <w:rFonts w:ascii="Arial Narrow" w:eastAsia="Arial Narrow" w:hAnsi="Arial Narrow" w:cs="Arial Narrow"/>
        <w:b/>
        <w:bCs/>
        <w:position w:val="0"/>
        <w:shd w:val="clear" w:color="auto" w:fill="FFFFFF"/>
      </w:rPr>
    </w:lvl>
    <w:lvl w:ilvl="7">
      <w:start w:val="1"/>
      <w:numFmt w:val="bullet"/>
      <w:lvlText w:val="o"/>
      <w:lvlJc w:val="left"/>
      <w:rPr>
        <w:rFonts w:ascii="Arial Narrow" w:eastAsia="Arial Narrow" w:hAnsi="Arial Narrow" w:cs="Arial Narrow"/>
        <w:b/>
        <w:bCs/>
        <w:position w:val="0"/>
        <w:shd w:val="clear" w:color="auto" w:fill="FFFFFF"/>
      </w:rPr>
    </w:lvl>
    <w:lvl w:ilvl="8">
      <w:start w:val="1"/>
      <w:numFmt w:val="bullet"/>
      <w:lvlText w:val="▪"/>
      <w:lvlJc w:val="left"/>
      <w:rPr>
        <w:rFonts w:ascii="Arial Narrow" w:eastAsia="Arial Narrow" w:hAnsi="Arial Narrow" w:cs="Arial Narrow"/>
        <w:b/>
        <w:bCs/>
        <w:position w:val="0"/>
        <w:shd w:val="clear" w:color="auto" w:fill="FFFFFF"/>
      </w:rPr>
    </w:lvl>
  </w:abstractNum>
  <w:abstractNum w:abstractNumId="11" w15:restartNumberingAfterBreak="0">
    <w:nsid w:val="1A597AA8"/>
    <w:multiLevelType w:val="hybridMultilevel"/>
    <w:tmpl w:val="BCBCFF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D613CA4"/>
    <w:multiLevelType w:val="hybridMultilevel"/>
    <w:tmpl w:val="2FB45C72"/>
    <w:lvl w:ilvl="0" w:tplc="381AC794">
      <w:start w:val="1"/>
      <w:numFmt w:val="bullet"/>
      <w:lvlText w:val=""/>
      <w:lvlJc w:val="left"/>
      <w:pPr>
        <w:ind w:left="502" w:hanging="360"/>
      </w:pPr>
      <w:rPr>
        <w:rFonts w:ascii="Wingdings" w:hAnsi="Wingdings" w:hint="default"/>
        <w:color w:val="2C9ADC"/>
      </w:rPr>
    </w:lvl>
    <w:lvl w:ilvl="1" w:tplc="0E4AA85C">
      <w:start w:val="1"/>
      <w:numFmt w:val="bullet"/>
      <w:lvlText w:val="o"/>
      <w:lvlJc w:val="left"/>
      <w:pPr>
        <w:ind w:left="1222" w:hanging="360"/>
      </w:pPr>
      <w:rPr>
        <w:rFonts w:ascii="Courier New" w:hAnsi="Courier New" w:cs="Courier New"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Courier New"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Courier New" w:hint="default"/>
      </w:rPr>
    </w:lvl>
    <w:lvl w:ilvl="8" w:tplc="041B0005">
      <w:start w:val="1"/>
      <w:numFmt w:val="bullet"/>
      <w:lvlText w:val=""/>
      <w:lvlJc w:val="left"/>
      <w:pPr>
        <w:ind w:left="6262" w:hanging="360"/>
      </w:pPr>
      <w:rPr>
        <w:rFonts w:ascii="Wingdings" w:hAnsi="Wingdings" w:hint="default"/>
      </w:rPr>
    </w:lvl>
  </w:abstractNum>
  <w:abstractNum w:abstractNumId="13" w15:restartNumberingAfterBreak="0">
    <w:nsid w:val="1E2A777D"/>
    <w:multiLevelType w:val="multilevel"/>
    <w:tmpl w:val="65DAF150"/>
    <w:lvl w:ilvl="0">
      <w:start w:val="1"/>
      <w:numFmt w:val="upperRoman"/>
      <w:lvlText w:val="%1."/>
      <w:lvlJc w:val="left"/>
      <w:pPr>
        <w:tabs>
          <w:tab w:val="num" w:pos="0"/>
        </w:tabs>
        <w:ind w:left="680" w:hanging="680"/>
      </w:pPr>
      <w:rPr>
        <w:rFonts w:ascii="Arial Narrow" w:hAnsi="Arial Narrow" w:cs="Arial Narrow" w:hint="default"/>
        <w:b/>
        <w:bCs/>
        <w:i w:val="0"/>
        <w:iCs w:val="0"/>
        <w:sz w:val="28"/>
        <w:szCs w:val="28"/>
      </w:rPr>
    </w:lvl>
    <w:lvl w:ilvl="1">
      <w:start w:val="1"/>
      <w:numFmt w:val="decimal"/>
      <w:lvlText w:val="%1.%2."/>
      <w:lvlJc w:val="left"/>
      <w:pPr>
        <w:tabs>
          <w:tab w:val="num" w:pos="567"/>
        </w:tabs>
        <w:ind w:left="1304" w:hanging="1304"/>
      </w:pPr>
      <w:rPr>
        <w:rFonts w:ascii="Arial Narrow" w:hAnsi="Arial Narrow" w:cs="Arial Narrow" w:hint="default"/>
        <w:b/>
        <w:bCs/>
        <w:i w:val="0"/>
        <w:iCs w:val="0"/>
        <w:sz w:val="24"/>
        <w:szCs w:val="24"/>
      </w:rPr>
    </w:lvl>
    <w:lvl w:ilvl="2">
      <w:start w:val="1"/>
      <w:numFmt w:val="decimal"/>
      <w:lvlText w:val="%1.%2.%3."/>
      <w:lvlJc w:val="left"/>
      <w:pPr>
        <w:tabs>
          <w:tab w:val="num" w:pos="6816"/>
        </w:tabs>
        <w:ind w:left="660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203A00E3"/>
    <w:multiLevelType w:val="hybridMultilevel"/>
    <w:tmpl w:val="16261224"/>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C2496"/>
    <w:multiLevelType w:val="hybridMultilevel"/>
    <w:tmpl w:val="677221DC"/>
    <w:lvl w:ilvl="0" w:tplc="0DCA621C">
      <w:start w:val="16"/>
      <w:numFmt w:val="bullet"/>
      <w:lvlText w:val=""/>
      <w:lvlJc w:val="left"/>
      <w:pPr>
        <w:ind w:left="720" w:hanging="360"/>
      </w:pPr>
      <w:rPr>
        <w:rFonts w:ascii="Symbol" w:eastAsia="Times New Roman" w:hAnsi="Symbol" w:cs="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73D7C33"/>
    <w:multiLevelType w:val="hybridMultilevel"/>
    <w:tmpl w:val="350C6802"/>
    <w:lvl w:ilvl="0" w:tplc="AA60D832">
      <w:start w:val="1"/>
      <w:numFmt w:val="bullet"/>
      <w:lvlText w:val=""/>
      <w:lvlJc w:val="left"/>
      <w:pPr>
        <w:ind w:left="720" w:hanging="360"/>
      </w:pPr>
      <w:rPr>
        <w:rFonts w:ascii="Symbol" w:hAnsi="Symbol" w:hint="default"/>
        <w:color w:val="2C9ADC" w:themeColor="accen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8267318"/>
    <w:multiLevelType w:val="multilevel"/>
    <w:tmpl w:val="86F29456"/>
    <w:styleLink w:val="List18"/>
    <w:lvl w:ilvl="0">
      <w:start w:val="1"/>
      <w:numFmt w:val="decimal"/>
      <w:lvlText w:val="%1."/>
      <w:lvlJc w:val="left"/>
      <w:rPr>
        <w:color w:val="000000"/>
        <w:position w:val="0"/>
        <w:u w:color="000000"/>
        <w:rtl w:val="0"/>
      </w:rPr>
    </w:lvl>
    <w:lvl w:ilvl="1">
      <w:numFmt w:val="bullet"/>
      <w:lvlText w:val="•"/>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18" w15:restartNumberingAfterBreak="0">
    <w:nsid w:val="31B94882"/>
    <w:multiLevelType w:val="hybridMultilevel"/>
    <w:tmpl w:val="A984A076"/>
    <w:lvl w:ilvl="0" w:tplc="3EC45408">
      <w:start w:val="1"/>
      <w:numFmt w:val="bullet"/>
      <w:lvlText w:val="•"/>
      <w:lvlJc w:val="left"/>
      <w:pPr>
        <w:tabs>
          <w:tab w:val="num" w:pos="720"/>
        </w:tabs>
        <w:ind w:left="720" w:hanging="360"/>
      </w:pPr>
      <w:rPr>
        <w:rFonts w:ascii="Arial" w:hAnsi="Arial" w:hint="default"/>
      </w:rPr>
    </w:lvl>
    <w:lvl w:ilvl="1" w:tplc="2A4271CA">
      <w:start w:val="1"/>
      <w:numFmt w:val="bullet"/>
      <w:lvlText w:val="•"/>
      <w:lvlJc w:val="left"/>
      <w:pPr>
        <w:tabs>
          <w:tab w:val="num" w:pos="1440"/>
        </w:tabs>
        <w:ind w:left="1440" w:hanging="360"/>
      </w:pPr>
      <w:rPr>
        <w:rFonts w:ascii="Arial" w:hAnsi="Arial" w:hint="default"/>
      </w:rPr>
    </w:lvl>
    <w:lvl w:ilvl="2" w:tplc="AAB4688E" w:tentative="1">
      <w:start w:val="1"/>
      <w:numFmt w:val="bullet"/>
      <w:lvlText w:val="•"/>
      <w:lvlJc w:val="left"/>
      <w:pPr>
        <w:tabs>
          <w:tab w:val="num" w:pos="2160"/>
        </w:tabs>
        <w:ind w:left="2160" w:hanging="360"/>
      </w:pPr>
      <w:rPr>
        <w:rFonts w:ascii="Arial" w:hAnsi="Arial" w:hint="default"/>
      </w:rPr>
    </w:lvl>
    <w:lvl w:ilvl="3" w:tplc="8E909E28" w:tentative="1">
      <w:start w:val="1"/>
      <w:numFmt w:val="bullet"/>
      <w:lvlText w:val="•"/>
      <w:lvlJc w:val="left"/>
      <w:pPr>
        <w:tabs>
          <w:tab w:val="num" w:pos="2880"/>
        </w:tabs>
        <w:ind w:left="2880" w:hanging="360"/>
      </w:pPr>
      <w:rPr>
        <w:rFonts w:ascii="Arial" w:hAnsi="Arial" w:hint="default"/>
      </w:rPr>
    </w:lvl>
    <w:lvl w:ilvl="4" w:tplc="D548D484" w:tentative="1">
      <w:start w:val="1"/>
      <w:numFmt w:val="bullet"/>
      <w:lvlText w:val="•"/>
      <w:lvlJc w:val="left"/>
      <w:pPr>
        <w:tabs>
          <w:tab w:val="num" w:pos="3600"/>
        </w:tabs>
        <w:ind w:left="3600" w:hanging="360"/>
      </w:pPr>
      <w:rPr>
        <w:rFonts w:ascii="Arial" w:hAnsi="Arial" w:hint="default"/>
      </w:rPr>
    </w:lvl>
    <w:lvl w:ilvl="5" w:tplc="697AFDBC" w:tentative="1">
      <w:start w:val="1"/>
      <w:numFmt w:val="bullet"/>
      <w:lvlText w:val="•"/>
      <w:lvlJc w:val="left"/>
      <w:pPr>
        <w:tabs>
          <w:tab w:val="num" w:pos="4320"/>
        </w:tabs>
        <w:ind w:left="4320" w:hanging="360"/>
      </w:pPr>
      <w:rPr>
        <w:rFonts w:ascii="Arial" w:hAnsi="Arial" w:hint="default"/>
      </w:rPr>
    </w:lvl>
    <w:lvl w:ilvl="6" w:tplc="E34EA586" w:tentative="1">
      <w:start w:val="1"/>
      <w:numFmt w:val="bullet"/>
      <w:lvlText w:val="•"/>
      <w:lvlJc w:val="left"/>
      <w:pPr>
        <w:tabs>
          <w:tab w:val="num" w:pos="5040"/>
        </w:tabs>
        <w:ind w:left="5040" w:hanging="360"/>
      </w:pPr>
      <w:rPr>
        <w:rFonts w:ascii="Arial" w:hAnsi="Arial" w:hint="default"/>
      </w:rPr>
    </w:lvl>
    <w:lvl w:ilvl="7" w:tplc="B78AB158" w:tentative="1">
      <w:start w:val="1"/>
      <w:numFmt w:val="bullet"/>
      <w:lvlText w:val="•"/>
      <w:lvlJc w:val="left"/>
      <w:pPr>
        <w:tabs>
          <w:tab w:val="num" w:pos="5760"/>
        </w:tabs>
        <w:ind w:left="5760" w:hanging="360"/>
      </w:pPr>
      <w:rPr>
        <w:rFonts w:ascii="Arial" w:hAnsi="Arial" w:hint="default"/>
      </w:rPr>
    </w:lvl>
    <w:lvl w:ilvl="8" w:tplc="EE70D03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4D2112F"/>
    <w:multiLevelType w:val="hybridMultilevel"/>
    <w:tmpl w:val="13A401CE"/>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AB4F09"/>
    <w:multiLevelType w:val="hybridMultilevel"/>
    <w:tmpl w:val="83C23FF2"/>
    <w:lvl w:ilvl="0" w:tplc="0782807C">
      <w:start w:val="1"/>
      <w:numFmt w:val="decimal"/>
      <w:lvlText w:val="%1"/>
      <w:lvlJc w:val="left"/>
      <w:pPr>
        <w:ind w:left="720" w:hanging="360"/>
      </w:pPr>
      <w:rPr>
        <w:rFonts w:hint="default"/>
        <w:b/>
        <w:i w:val="0"/>
        <w:color w:val="2C9ADC"/>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81587C"/>
    <w:multiLevelType w:val="hybridMultilevel"/>
    <w:tmpl w:val="B332FB02"/>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1A3577"/>
    <w:multiLevelType w:val="multilevel"/>
    <w:tmpl w:val="BE96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974367"/>
    <w:multiLevelType w:val="hybridMultilevel"/>
    <w:tmpl w:val="8E6A033E"/>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05A73DD"/>
    <w:multiLevelType w:val="hybridMultilevel"/>
    <w:tmpl w:val="AF54E0C0"/>
    <w:lvl w:ilvl="0" w:tplc="381AC794">
      <w:start w:val="1"/>
      <w:numFmt w:val="bullet"/>
      <w:lvlText w:val=""/>
      <w:lvlJc w:val="left"/>
      <w:pPr>
        <w:ind w:left="360" w:hanging="360"/>
      </w:pPr>
      <w:rPr>
        <w:rFonts w:ascii="Wingdings" w:hAnsi="Wingdings" w:hint="default"/>
        <w:color w:val="2C9ADC"/>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381AC794">
      <w:start w:val="1"/>
      <w:numFmt w:val="bullet"/>
      <w:lvlText w:val=""/>
      <w:lvlJc w:val="left"/>
      <w:pPr>
        <w:ind w:left="2520" w:hanging="360"/>
      </w:pPr>
      <w:rPr>
        <w:rFonts w:ascii="Wingdings" w:hAnsi="Wingdings" w:hint="default"/>
        <w:color w:val="2C9ADC"/>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1B33735"/>
    <w:multiLevelType w:val="hybridMultilevel"/>
    <w:tmpl w:val="50927732"/>
    <w:lvl w:ilvl="0" w:tplc="64CC5E48">
      <w:numFmt w:val="bullet"/>
      <w:lvlText w:val="-"/>
      <w:lvlJc w:val="left"/>
      <w:pPr>
        <w:ind w:left="720" w:hanging="360"/>
      </w:pPr>
      <w:rPr>
        <w:rFonts w:ascii="Arial Narrow" w:eastAsia="Times New Roman" w:hAnsi="Arial Narrow" w:cs="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21858C8"/>
    <w:multiLevelType w:val="hybridMultilevel"/>
    <w:tmpl w:val="AD5E77AE"/>
    <w:lvl w:ilvl="0" w:tplc="381AC794">
      <w:start w:val="1"/>
      <w:numFmt w:val="bullet"/>
      <w:lvlText w:val=""/>
      <w:lvlJc w:val="left"/>
      <w:pPr>
        <w:ind w:left="360" w:hanging="360"/>
      </w:pPr>
      <w:rPr>
        <w:rFonts w:ascii="Wingdings" w:hAnsi="Wingdings" w:hint="default"/>
        <w:color w:val="2C9ADC"/>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43137D84"/>
    <w:multiLevelType w:val="hybridMultilevel"/>
    <w:tmpl w:val="C2AE1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F36E9F"/>
    <w:multiLevelType w:val="hybridMultilevel"/>
    <w:tmpl w:val="4FC6B04E"/>
    <w:lvl w:ilvl="0" w:tplc="108E6C7C">
      <w:start w:val="1"/>
      <w:numFmt w:val="decimal"/>
      <w:lvlText w:val="%1."/>
      <w:lvlJc w:val="left"/>
      <w:pPr>
        <w:ind w:left="720" w:hanging="360"/>
      </w:pPr>
      <w:rPr>
        <w:rFonts w:hint="default"/>
        <w:b/>
        <w:i w:val="0"/>
        <w:color w:val="2C9ADC"/>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184EDD"/>
    <w:multiLevelType w:val="multilevel"/>
    <w:tmpl w:val="94C4D012"/>
    <w:lvl w:ilvl="0">
      <w:start w:val="1"/>
      <w:numFmt w:val="upperRoman"/>
      <w:lvlText w:val="%1."/>
      <w:lvlJc w:val="left"/>
      <w:pPr>
        <w:tabs>
          <w:tab w:val="num" w:pos="0"/>
        </w:tabs>
        <w:ind w:left="680" w:hanging="680"/>
      </w:pPr>
      <w:rPr>
        <w:rFonts w:ascii="Arial Narrow" w:hAnsi="Arial Narrow" w:cs="Arial Narrow" w:hint="default"/>
        <w:b/>
        <w:bCs/>
        <w:i w:val="0"/>
        <w:iCs w:val="0"/>
        <w:sz w:val="28"/>
        <w:szCs w:val="28"/>
      </w:rPr>
    </w:lvl>
    <w:lvl w:ilvl="1">
      <w:start w:val="1"/>
      <w:numFmt w:val="decimal"/>
      <w:pStyle w:val="NRP2uroven"/>
      <w:lvlText w:val="%1.%2."/>
      <w:lvlJc w:val="left"/>
      <w:pPr>
        <w:tabs>
          <w:tab w:val="num" w:pos="567"/>
        </w:tabs>
        <w:ind w:left="1304" w:hanging="1304"/>
      </w:pPr>
      <w:rPr>
        <w:rFonts w:ascii="Arial Narrow" w:hAnsi="Arial Narrow" w:cs="Arial Narrow" w:hint="default"/>
        <w:b/>
        <w:bCs/>
        <w:i w:val="0"/>
        <w:iCs w:val="0"/>
        <w:sz w:val="24"/>
        <w:szCs w:val="24"/>
      </w:rPr>
    </w:lvl>
    <w:lvl w:ilvl="2">
      <w:start w:val="1"/>
      <w:numFmt w:val="decimal"/>
      <w:lvlText w:val="%1.%2.%3."/>
      <w:lvlJc w:val="left"/>
      <w:pPr>
        <w:tabs>
          <w:tab w:val="num" w:pos="900"/>
        </w:tabs>
        <w:ind w:left="68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4BAF4829"/>
    <w:multiLevelType w:val="hybridMultilevel"/>
    <w:tmpl w:val="3F809E52"/>
    <w:lvl w:ilvl="0" w:tplc="381AC794">
      <w:start w:val="1"/>
      <w:numFmt w:val="bullet"/>
      <w:lvlText w:val=""/>
      <w:lvlJc w:val="left"/>
      <w:pPr>
        <w:ind w:left="360" w:hanging="360"/>
      </w:pPr>
      <w:rPr>
        <w:rFonts w:ascii="Wingdings" w:hAnsi="Wingdings" w:hint="default"/>
        <w:color w:val="2C9ADC"/>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4BCC1150"/>
    <w:multiLevelType w:val="hybridMultilevel"/>
    <w:tmpl w:val="98FC6524"/>
    <w:lvl w:ilvl="0" w:tplc="540E1290">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BF82AEA"/>
    <w:multiLevelType w:val="hybridMultilevel"/>
    <w:tmpl w:val="0D362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2F4BA5"/>
    <w:multiLevelType w:val="multilevel"/>
    <w:tmpl w:val="605C03A4"/>
    <w:styleLink w:val="List7"/>
    <w:lvl w:ilvl="0">
      <w:start w:val="1"/>
      <w:numFmt w:val="decimal"/>
      <w:lvlText w:val="%1."/>
      <w:lvlJc w:val="left"/>
      <w:rPr>
        <w:rFonts w:ascii="Arial Narrow" w:eastAsia="Arial Narrow" w:hAnsi="Arial Narrow" w:cs="Arial Narrow"/>
        <w:b/>
        <w:bCs/>
        <w:position w:val="0"/>
      </w:rPr>
    </w:lvl>
    <w:lvl w:ilvl="1">
      <w:start w:val="1"/>
      <w:numFmt w:val="bullet"/>
      <w:lvlText w:val="•"/>
      <w:lvlJc w:val="left"/>
      <w:rPr>
        <w:rFonts w:ascii="Arial Narrow" w:eastAsia="Arial Narrow" w:hAnsi="Arial Narrow" w:cs="Arial Narrow"/>
        <w:b/>
        <w:bCs/>
        <w:position w:val="0"/>
      </w:rPr>
    </w:lvl>
    <w:lvl w:ilvl="2">
      <w:start w:val="1"/>
      <w:numFmt w:val="lowerRoman"/>
      <w:lvlText w:val="%3."/>
      <w:lvlJc w:val="left"/>
      <w:rPr>
        <w:rFonts w:ascii="Arial Narrow" w:eastAsia="Arial Narrow" w:hAnsi="Arial Narrow" w:cs="Arial Narrow"/>
        <w:b/>
        <w:bCs/>
        <w:position w:val="0"/>
      </w:rPr>
    </w:lvl>
    <w:lvl w:ilvl="3">
      <w:start w:val="1"/>
      <w:numFmt w:val="decimal"/>
      <w:lvlText w:val="%4."/>
      <w:lvlJc w:val="left"/>
      <w:rPr>
        <w:rFonts w:ascii="Arial Narrow" w:eastAsia="Arial Narrow" w:hAnsi="Arial Narrow" w:cs="Arial Narrow"/>
        <w:b/>
        <w:bCs/>
        <w:position w:val="0"/>
      </w:rPr>
    </w:lvl>
    <w:lvl w:ilvl="4">
      <w:start w:val="1"/>
      <w:numFmt w:val="lowerLetter"/>
      <w:lvlText w:val="%5."/>
      <w:lvlJc w:val="left"/>
      <w:rPr>
        <w:rFonts w:ascii="Arial Narrow" w:eastAsia="Arial Narrow" w:hAnsi="Arial Narrow" w:cs="Arial Narrow"/>
        <w:b/>
        <w:bCs/>
        <w:position w:val="0"/>
      </w:rPr>
    </w:lvl>
    <w:lvl w:ilvl="5">
      <w:start w:val="1"/>
      <w:numFmt w:val="lowerRoman"/>
      <w:lvlText w:val="%6."/>
      <w:lvlJc w:val="left"/>
      <w:rPr>
        <w:rFonts w:ascii="Arial Narrow" w:eastAsia="Arial Narrow" w:hAnsi="Arial Narrow" w:cs="Arial Narrow"/>
        <w:b/>
        <w:bCs/>
        <w:position w:val="0"/>
      </w:rPr>
    </w:lvl>
    <w:lvl w:ilvl="6">
      <w:start w:val="1"/>
      <w:numFmt w:val="decimal"/>
      <w:lvlText w:val="%7."/>
      <w:lvlJc w:val="left"/>
      <w:rPr>
        <w:rFonts w:ascii="Arial Narrow" w:eastAsia="Arial Narrow" w:hAnsi="Arial Narrow" w:cs="Arial Narrow"/>
        <w:b/>
        <w:bCs/>
        <w:position w:val="0"/>
      </w:rPr>
    </w:lvl>
    <w:lvl w:ilvl="7">
      <w:start w:val="1"/>
      <w:numFmt w:val="lowerLetter"/>
      <w:lvlText w:val="%8."/>
      <w:lvlJc w:val="left"/>
      <w:rPr>
        <w:rFonts w:ascii="Arial Narrow" w:eastAsia="Arial Narrow" w:hAnsi="Arial Narrow" w:cs="Arial Narrow"/>
        <w:b/>
        <w:bCs/>
        <w:position w:val="0"/>
      </w:rPr>
    </w:lvl>
    <w:lvl w:ilvl="8">
      <w:start w:val="1"/>
      <w:numFmt w:val="lowerRoman"/>
      <w:lvlText w:val="%9."/>
      <w:lvlJc w:val="left"/>
      <w:rPr>
        <w:rFonts w:ascii="Arial Narrow" w:eastAsia="Arial Narrow" w:hAnsi="Arial Narrow" w:cs="Arial Narrow"/>
        <w:b/>
        <w:bCs/>
        <w:position w:val="0"/>
      </w:rPr>
    </w:lvl>
  </w:abstractNum>
  <w:abstractNum w:abstractNumId="34" w15:restartNumberingAfterBreak="0">
    <w:nsid w:val="514342D3"/>
    <w:multiLevelType w:val="multilevel"/>
    <w:tmpl w:val="76E259EC"/>
    <w:lvl w:ilvl="0">
      <w:start w:val="1"/>
      <w:numFmt w:val="decimal"/>
      <w:lvlText w:val="%1"/>
      <w:lvlJc w:val="left"/>
      <w:pPr>
        <w:ind w:left="720" w:hanging="720"/>
      </w:pPr>
      <w:rPr>
        <w:rFonts w:hint="default"/>
        <w:color w:val="2C9ADC"/>
      </w:rPr>
    </w:lvl>
    <w:lvl w:ilvl="1">
      <w:start w:val="1"/>
      <w:numFmt w:val="decimal"/>
      <w:lvlText w:val="%1.%2"/>
      <w:lvlJc w:val="left"/>
      <w:pPr>
        <w:ind w:left="720" w:hanging="720"/>
      </w:pPr>
      <w:rPr>
        <w:rFonts w:ascii="Arial Narrow" w:hAnsi="Arial Narrow" w:hint="default"/>
        <w:b/>
        <w:i w:val="0"/>
        <w:color w:val="2C9ADC"/>
        <w:sz w:val="24"/>
        <w:szCs w:val="28"/>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1A31372"/>
    <w:multiLevelType w:val="hybridMultilevel"/>
    <w:tmpl w:val="8CEA746E"/>
    <w:lvl w:ilvl="0" w:tplc="A35436FA">
      <w:start w:val="2"/>
      <w:numFmt w:val="decimal"/>
      <w:lvlText w:val="%1"/>
      <w:lvlJc w:val="left"/>
      <w:pPr>
        <w:ind w:left="720" w:hanging="360"/>
      </w:pPr>
      <w:rPr>
        <w:rFonts w:hint="default"/>
        <w:b/>
        <w:i w:val="0"/>
        <w:color w:val="2C9ADC"/>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C336C2"/>
    <w:multiLevelType w:val="hybridMultilevel"/>
    <w:tmpl w:val="DD326E52"/>
    <w:lvl w:ilvl="0" w:tplc="DC3204A0">
      <w:start w:val="1"/>
      <w:numFmt w:val="bullet"/>
      <w:lvlText w:val="•"/>
      <w:lvlJc w:val="left"/>
      <w:pPr>
        <w:tabs>
          <w:tab w:val="num" w:pos="720"/>
        </w:tabs>
        <w:ind w:left="720" w:hanging="360"/>
      </w:pPr>
      <w:rPr>
        <w:rFonts w:ascii="Arial" w:hAnsi="Arial" w:hint="default"/>
      </w:rPr>
    </w:lvl>
    <w:lvl w:ilvl="1" w:tplc="C67AD29C" w:tentative="1">
      <w:start w:val="1"/>
      <w:numFmt w:val="bullet"/>
      <w:lvlText w:val="•"/>
      <w:lvlJc w:val="left"/>
      <w:pPr>
        <w:tabs>
          <w:tab w:val="num" w:pos="1440"/>
        </w:tabs>
        <w:ind w:left="1440" w:hanging="360"/>
      </w:pPr>
      <w:rPr>
        <w:rFonts w:ascii="Arial" w:hAnsi="Arial" w:hint="default"/>
      </w:rPr>
    </w:lvl>
    <w:lvl w:ilvl="2" w:tplc="315E65A8">
      <w:start w:val="1"/>
      <w:numFmt w:val="bullet"/>
      <w:lvlText w:val="•"/>
      <w:lvlJc w:val="left"/>
      <w:pPr>
        <w:tabs>
          <w:tab w:val="num" w:pos="2160"/>
        </w:tabs>
        <w:ind w:left="2160" w:hanging="360"/>
      </w:pPr>
      <w:rPr>
        <w:rFonts w:ascii="Arial" w:hAnsi="Arial" w:hint="default"/>
      </w:rPr>
    </w:lvl>
    <w:lvl w:ilvl="3" w:tplc="32ECF274" w:tentative="1">
      <w:start w:val="1"/>
      <w:numFmt w:val="bullet"/>
      <w:lvlText w:val="•"/>
      <w:lvlJc w:val="left"/>
      <w:pPr>
        <w:tabs>
          <w:tab w:val="num" w:pos="2880"/>
        </w:tabs>
        <w:ind w:left="2880" w:hanging="360"/>
      </w:pPr>
      <w:rPr>
        <w:rFonts w:ascii="Arial" w:hAnsi="Arial" w:hint="default"/>
      </w:rPr>
    </w:lvl>
    <w:lvl w:ilvl="4" w:tplc="14821B3A" w:tentative="1">
      <w:start w:val="1"/>
      <w:numFmt w:val="bullet"/>
      <w:lvlText w:val="•"/>
      <w:lvlJc w:val="left"/>
      <w:pPr>
        <w:tabs>
          <w:tab w:val="num" w:pos="3600"/>
        </w:tabs>
        <w:ind w:left="3600" w:hanging="360"/>
      </w:pPr>
      <w:rPr>
        <w:rFonts w:ascii="Arial" w:hAnsi="Arial" w:hint="default"/>
      </w:rPr>
    </w:lvl>
    <w:lvl w:ilvl="5" w:tplc="06CC1C40" w:tentative="1">
      <w:start w:val="1"/>
      <w:numFmt w:val="bullet"/>
      <w:lvlText w:val="•"/>
      <w:lvlJc w:val="left"/>
      <w:pPr>
        <w:tabs>
          <w:tab w:val="num" w:pos="4320"/>
        </w:tabs>
        <w:ind w:left="4320" w:hanging="360"/>
      </w:pPr>
      <w:rPr>
        <w:rFonts w:ascii="Arial" w:hAnsi="Arial" w:hint="default"/>
      </w:rPr>
    </w:lvl>
    <w:lvl w:ilvl="6" w:tplc="282EEAC8" w:tentative="1">
      <w:start w:val="1"/>
      <w:numFmt w:val="bullet"/>
      <w:lvlText w:val="•"/>
      <w:lvlJc w:val="left"/>
      <w:pPr>
        <w:tabs>
          <w:tab w:val="num" w:pos="5040"/>
        </w:tabs>
        <w:ind w:left="5040" w:hanging="360"/>
      </w:pPr>
      <w:rPr>
        <w:rFonts w:ascii="Arial" w:hAnsi="Arial" w:hint="default"/>
      </w:rPr>
    </w:lvl>
    <w:lvl w:ilvl="7" w:tplc="90E0441C" w:tentative="1">
      <w:start w:val="1"/>
      <w:numFmt w:val="bullet"/>
      <w:lvlText w:val="•"/>
      <w:lvlJc w:val="left"/>
      <w:pPr>
        <w:tabs>
          <w:tab w:val="num" w:pos="5760"/>
        </w:tabs>
        <w:ind w:left="5760" w:hanging="360"/>
      </w:pPr>
      <w:rPr>
        <w:rFonts w:ascii="Arial" w:hAnsi="Arial" w:hint="default"/>
      </w:rPr>
    </w:lvl>
    <w:lvl w:ilvl="8" w:tplc="345C2D2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33970C2"/>
    <w:multiLevelType w:val="hybridMultilevel"/>
    <w:tmpl w:val="813A3754"/>
    <w:lvl w:ilvl="0" w:tplc="7F38FE46">
      <w:start w:val="3"/>
      <w:numFmt w:val="bullet"/>
      <w:lvlText w:val="-"/>
      <w:lvlJc w:val="left"/>
      <w:pPr>
        <w:ind w:left="720" w:hanging="360"/>
      </w:pPr>
      <w:rPr>
        <w:rFonts w:ascii="Arial Narrow" w:eastAsia="Times New Roman" w:hAnsi="Arial Narrow" w:cs="Book Antiqu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5B30C2E"/>
    <w:multiLevelType w:val="hybridMultilevel"/>
    <w:tmpl w:val="1452162E"/>
    <w:lvl w:ilvl="0" w:tplc="381AC794">
      <w:start w:val="1"/>
      <w:numFmt w:val="bullet"/>
      <w:lvlText w:val=""/>
      <w:lvlJc w:val="left"/>
      <w:pPr>
        <w:ind w:left="720" w:hanging="360"/>
      </w:pPr>
      <w:rPr>
        <w:rFonts w:ascii="Wingdings" w:hAnsi="Wingdings" w:hint="default"/>
        <w:color w:val="2C9AD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A52366"/>
    <w:multiLevelType w:val="hybridMultilevel"/>
    <w:tmpl w:val="C6BA7DEE"/>
    <w:lvl w:ilvl="0" w:tplc="9D5C5E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D333C05"/>
    <w:multiLevelType w:val="hybridMultilevel"/>
    <w:tmpl w:val="ACE43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7B60447"/>
    <w:multiLevelType w:val="hybridMultilevel"/>
    <w:tmpl w:val="79E237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E0075E"/>
    <w:multiLevelType w:val="hybridMultilevel"/>
    <w:tmpl w:val="12209FEA"/>
    <w:lvl w:ilvl="0" w:tplc="4C2EF29E">
      <w:start w:val="1"/>
      <w:numFmt w:val="bullet"/>
      <w:lvlText w:val=""/>
      <w:lvlJc w:val="left"/>
      <w:pPr>
        <w:ind w:left="720" w:hanging="360"/>
      </w:pPr>
      <w:rPr>
        <w:rFonts w:ascii="Wingdings" w:hAnsi="Wingdings" w:hint="default"/>
        <w:color w:val="2C9ADC"/>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E3824A6"/>
    <w:multiLevelType w:val="hybridMultilevel"/>
    <w:tmpl w:val="EB56EF0A"/>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F92051D"/>
    <w:multiLevelType w:val="hybridMultilevel"/>
    <w:tmpl w:val="8BF022A8"/>
    <w:lvl w:ilvl="0" w:tplc="BF3CE018">
      <w:start w:val="4"/>
      <w:numFmt w:val="bullet"/>
      <w:lvlText w:val=""/>
      <w:lvlJc w:val="left"/>
      <w:pPr>
        <w:ind w:left="720" w:hanging="360"/>
      </w:pPr>
      <w:rPr>
        <w:rFonts w:ascii="Symbol" w:eastAsia="Times New Roman" w:hAnsi="Symbol"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3DF03D0"/>
    <w:multiLevelType w:val="hybridMultilevel"/>
    <w:tmpl w:val="F61AEBB8"/>
    <w:lvl w:ilvl="0" w:tplc="1974FEA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3B4F47"/>
    <w:multiLevelType w:val="hybridMultilevel"/>
    <w:tmpl w:val="417A412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9"/>
  </w:num>
  <w:num w:numId="2">
    <w:abstractNumId w:val="34"/>
  </w:num>
  <w:num w:numId="3">
    <w:abstractNumId w:val="11"/>
  </w:num>
  <w:num w:numId="4">
    <w:abstractNumId w:val="3"/>
  </w:num>
  <w:num w:numId="5">
    <w:abstractNumId w:val="46"/>
  </w:num>
  <w:num w:numId="6">
    <w:abstractNumId w:val="32"/>
  </w:num>
  <w:num w:numId="7">
    <w:abstractNumId w:val="27"/>
  </w:num>
  <w:num w:numId="8">
    <w:abstractNumId w:val="16"/>
  </w:num>
  <w:num w:numId="9">
    <w:abstractNumId w:val="30"/>
  </w:num>
  <w:num w:numId="10">
    <w:abstractNumId w:val="19"/>
  </w:num>
  <w:num w:numId="11">
    <w:abstractNumId w:val="31"/>
  </w:num>
  <w:num w:numId="12">
    <w:abstractNumId w:val="26"/>
  </w:num>
  <w:num w:numId="13">
    <w:abstractNumId w:val="38"/>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40"/>
  </w:num>
  <w:num w:numId="17">
    <w:abstractNumId w:val="4"/>
  </w:num>
  <w:num w:numId="18">
    <w:abstractNumId w:val="21"/>
  </w:num>
  <w:num w:numId="19">
    <w:abstractNumId w:val="24"/>
  </w:num>
  <w:num w:numId="20">
    <w:abstractNumId w:val="23"/>
  </w:num>
  <w:num w:numId="21">
    <w:abstractNumId w:val="37"/>
  </w:num>
  <w:num w:numId="22">
    <w:abstractNumId w:val="41"/>
  </w:num>
  <w:num w:numId="23">
    <w:abstractNumId w:val="8"/>
  </w:num>
  <w:num w:numId="24">
    <w:abstractNumId w:val="5"/>
  </w:num>
  <w:num w:numId="25">
    <w:abstractNumId w:val="0"/>
  </w:num>
  <w:num w:numId="26">
    <w:abstractNumId w:val="36"/>
  </w:num>
  <w:num w:numId="27">
    <w:abstractNumId w:val="18"/>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4"/>
  </w:num>
  <w:num w:numId="31">
    <w:abstractNumId w:val="25"/>
  </w:num>
  <w:num w:numId="32">
    <w:abstractNumId w:val="9"/>
  </w:num>
  <w:num w:numId="33">
    <w:abstractNumId w:val="45"/>
  </w:num>
  <w:num w:numId="34">
    <w:abstractNumId w:val="6"/>
  </w:num>
  <w:num w:numId="35">
    <w:abstractNumId w:val="2"/>
  </w:num>
  <w:num w:numId="36">
    <w:abstractNumId w:val="15"/>
  </w:num>
  <w:num w:numId="37">
    <w:abstractNumId w:val="28"/>
  </w:num>
  <w:num w:numId="38">
    <w:abstractNumId w:val="35"/>
  </w:num>
  <w:num w:numId="39">
    <w:abstractNumId w:val="20"/>
  </w:num>
  <w:num w:numId="40">
    <w:abstractNumId w:val="33"/>
  </w:num>
  <w:num w:numId="41">
    <w:abstractNumId w:val="10"/>
  </w:num>
  <w:num w:numId="42">
    <w:abstractNumId w:val="17"/>
  </w:num>
  <w:num w:numId="43">
    <w:abstractNumId w:val="39"/>
  </w:num>
  <w:num w:numId="44">
    <w:abstractNumId w:val="42"/>
  </w:num>
  <w:num w:numId="45">
    <w:abstractNumId w:val="12"/>
  </w:num>
  <w:num w:numId="46">
    <w:abstractNumId w:val="1"/>
  </w:num>
  <w:num w:numId="47">
    <w:abstractNumId w:val="22"/>
  </w:num>
  <w:num w:numId="48">
    <w:abstractNumId w:val="44"/>
  </w:num>
  <w:num w:numId="4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drawingGridHorizontalSpacing w:val="110"/>
  <w:displayHorizontalDrawingGridEvery w:val="2"/>
  <w:characterSpacingControl w:val="doNotCompress"/>
  <w:hdrShapeDefaults>
    <o:shapedefaults v:ext="edit" spidmax="2049" style="mso-position-horizontal:left" o:allowincell="f" fillcolor="none [2412]">
      <v:fill color="none [2412]"/>
      <v:stroke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26B"/>
    <w:rsid w:val="000003DC"/>
    <w:rsid w:val="00000453"/>
    <w:rsid w:val="00000796"/>
    <w:rsid w:val="00000A02"/>
    <w:rsid w:val="000010E8"/>
    <w:rsid w:val="00001106"/>
    <w:rsid w:val="000013DA"/>
    <w:rsid w:val="000013EC"/>
    <w:rsid w:val="000014D4"/>
    <w:rsid w:val="000017C7"/>
    <w:rsid w:val="0000187A"/>
    <w:rsid w:val="000018A9"/>
    <w:rsid w:val="000024ED"/>
    <w:rsid w:val="00002683"/>
    <w:rsid w:val="00002A1A"/>
    <w:rsid w:val="00002C25"/>
    <w:rsid w:val="00002CBB"/>
    <w:rsid w:val="00002D96"/>
    <w:rsid w:val="00002F29"/>
    <w:rsid w:val="000031AC"/>
    <w:rsid w:val="000032FE"/>
    <w:rsid w:val="00003F14"/>
    <w:rsid w:val="00004574"/>
    <w:rsid w:val="00004955"/>
    <w:rsid w:val="0000525F"/>
    <w:rsid w:val="00005C4D"/>
    <w:rsid w:val="00005ECA"/>
    <w:rsid w:val="00006440"/>
    <w:rsid w:val="00006534"/>
    <w:rsid w:val="000068C5"/>
    <w:rsid w:val="000078C0"/>
    <w:rsid w:val="00007C33"/>
    <w:rsid w:val="000102B0"/>
    <w:rsid w:val="00010736"/>
    <w:rsid w:val="0001101C"/>
    <w:rsid w:val="000112F6"/>
    <w:rsid w:val="00011423"/>
    <w:rsid w:val="000114A5"/>
    <w:rsid w:val="00011642"/>
    <w:rsid w:val="00011EE3"/>
    <w:rsid w:val="00011FCE"/>
    <w:rsid w:val="00012335"/>
    <w:rsid w:val="0001239C"/>
    <w:rsid w:val="0001272B"/>
    <w:rsid w:val="000127E0"/>
    <w:rsid w:val="00012D77"/>
    <w:rsid w:val="000130F4"/>
    <w:rsid w:val="00013718"/>
    <w:rsid w:val="00013B99"/>
    <w:rsid w:val="00013F59"/>
    <w:rsid w:val="00014EFF"/>
    <w:rsid w:val="00014F36"/>
    <w:rsid w:val="0001520C"/>
    <w:rsid w:val="000154B1"/>
    <w:rsid w:val="00015C0D"/>
    <w:rsid w:val="00015DEB"/>
    <w:rsid w:val="00016421"/>
    <w:rsid w:val="00016615"/>
    <w:rsid w:val="0001668E"/>
    <w:rsid w:val="000168CD"/>
    <w:rsid w:val="00016B20"/>
    <w:rsid w:val="000171A7"/>
    <w:rsid w:val="000177E8"/>
    <w:rsid w:val="000178C5"/>
    <w:rsid w:val="00017B27"/>
    <w:rsid w:val="00017BFC"/>
    <w:rsid w:val="00020059"/>
    <w:rsid w:val="000200E7"/>
    <w:rsid w:val="0002101F"/>
    <w:rsid w:val="0002104D"/>
    <w:rsid w:val="00021263"/>
    <w:rsid w:val="00021327"/>
    <w:rsid w:val="0002139A"/>
    <w:rsid w:val="00021BDE"/>
    <w:rsid w:val="000223A8"/>
    <w:rsid w:val="00022450"/>
    <w:rsid w:val="000224CF"/>
    <w:rsid w:val="00022783"/>
    <w:rsid w:val="00022C73"/>
    <w:rsid w:val="00023147"/>
    <w:rsid w:val="000231C4"/>
    <w:rsid w:val="00023675"/>
    <w:rsid w:val="000236DF"/>
    <w:rsid w:val="00023F48"/>
    <w:rsid w:val="00023F63"/>
    <w:rsid w:val="00024142"/>
    <w:rsid w:val="000241E8"/>
    <w:rsid w:val="000245E2"/>
    <w:rsid w:val="00024BC4"/>
    <w:rsid w:val="000254B2"/>
    <w:rsid w:val="000254F6"/>
    <w:rsid w:val="00025C07"/>
    <w:rsid w:val="00025C45"/>
    <w:rsid w:val="00026149"/>
    <w:rsid w:val="000264CA"/>
    <w:rsid w:val="000265D7"/>
    <w:rsid w:val="00027424"/>
    <w:rsid w:val="000274A8"/>
    <w:rsid w:val="000274C1"/>
    <w:rsid w:val="000278DD"/>
    <w:rsid w:val="00027CF1"/>
    <w:rsid w:val="000300E1"/>
    <w:rsid w:val="0003017A"/>
    <w:rsid w:val="000301E3"/>
    <w:rsid w:val="00030553"/>
    <w:rsid w:val="000305F2"/>
    <w:rsid w:val="00030690"/>
    <w:rsid w:val="00030E7D"/>
    <w:rsid w:val="0003177D"/>
    <w:rsid w:val="00031F31"/>
    <w:rsid w:val="0003217E"/>
    <w:rsid w:val="000323CA"/>
    <w:rsid w:val="00032977"/>
    <w:rsid w:val="000329B4"/>
    <w:rsid w:val="00032AC7"/>
    <w:rsid w:val="00032EAE"/>
    <w:rsid w:val="0003311A"/>
    <w:rsid w:val="000336AB"/>
    <w:rsid w:val="00033A21"/>
    <w:rsid w:val="00033FDA"/>
    <w:rsid w:val="0003435D"/>
    <w:rsid w:val="00034471"/>
    <w:rsid w:val="000344F1"/>
    <w:rsid w:val="00034CCB"/>
    <w:rsid w:val="00035482"/>
    <w:rsid w:val="00035552"/>
    <w:rsid w:val="00035BE2"/>
    <w:rsid w:val="00036668"/>
    <w:rsid w:val="0003740D"/>
    <w:rsid w:val="0003766E"/>
    <w:rsid w:val="0004029A"/>
    <w:rsid w:val="00040614"/>
    <w:rsid w:val="00040829"/>
    <w:rsid w:val="00040A72"/>
    <w:rsid w:val="00040E0F"/>
    <w:rsid w:val="0004126A"/>
    <w:rsid w:val="00041422"/>
    <w:rsid w:val="0004167D"/>
    <w:rsid w:val="00041976"/>
    <w:rsid w:val="00041C92"/>
    <w:rsid w:val="00041DAA"/>
    <w:rsid w:val="00042258"/>
    <w:rsid w:val="00042391"/>
    <w:rsid w:val="00042548"/>
    <w:rsid w:val="000428DB"/>
    <w:rsid w:val="000429DA"/>
    <w:rsid w:val="00042BD7"/>
    <w:rsid w:val="00042D39"/>
    <w:rsid w:val="000430C5"/>
    <w:rsid w:val="00043F90"/>
    <w:rsid w:val="000441C0"/>
    <w:rsid w:val="000442B6"/>
    <w:rsid w:val="00044464"/>
    <w:rsid w:val="000449FC"/>
    <w:rsid w:val="00044BEC"/>
    <w:rsid w:val="0004507F"/>
    <w:rsid w:val="00045296"/>
    <w:rsid w:val="0004532B"/>
    <w:rsid w:val="0004541D"/>
    <w:rsid w:val="0004569B"/>
    <w:rsid w:val="00045795"/>
    <w:rsid w:val="00045AF4"/>
    <w:rsid w:val="00045E2A"/>
    <w:rsid w:val="00045ED0"/>
    <w:rsid w:val="00045FCD"/>
    <w:rsid w:val="000464F6"/>
    <w:rsid w:val="00046831"/>
    <w:rsid w:val="00046E3B"/>
    <w:rsid w:val="00047328"/>
    <w:rsid w:val="00047419"/>
    <w:rsid w:val="00047761"/>
    <w:rsid w:val="00047BE6"/>
    <w:rsid w:val="00047CC6"/>
    <w:rsid w:val="000502EB"/>
    <w:rsid w:val="0005039F"/>
    <w:rsid w:val="0005066C"/>
    <w:rsid w:val="00050894"/>
    <w:rsid w:val="00050979"/>
    <w:rsid w:val="00050B0E"/>
    <w:rsid w:val="00050BA1"/>
    <w:rsid w:val="000511A2"/>
    <w:rsid w:val="000512EC"/>
    <w:rsid w:val="00051358"/>
    <w:rsid w:val="00051536"/>
    <w:rsid w:val="0005164E"/>
    <w:rsid w:val="00051824"/>
    <w:rsid w:val="00051A11"/>
    <w:rsid w:val="00051D1F"/>
    <w:rsid w:val="00051E32"/>
    <w:rsid w:val="00051EBC"/>
    <w:rsid w:val="00051ED5"/>
    <w:rsid w:val="00052113"/>
    <w:rsid w:val="000521C2"/>
    <w:rsid w:val="00052398"/>
    <w:rsid w:val="000527B7"/>
    <w:rsid w:val="000527E6"/>
    <w:rsid w:val="00052800"/>
    <w:rsid w:val="000528B0"/>
    <w:rsid w:val="00052E39"/>
    <w:rsid w:val="00052F2A"/>
    <w:rsid w:val="00053256"/>
    <w:rsid w:val="00053393"/>
    <w:rsid w:val="000534B6"/>
    <w:rsid w:val="00053566"/>
    <w:rsid w:val="000536C6"/>
    <w:rsid w:val="000538AC"/>
    <w:rsid w:val="00053D16"/>
    <w:rsid w:val="0005445E"/>
    <w:rsid w:val="00054586"/>
    <w:rsid w:val="0005491D"/>
    <w:rsid w:val="00054E94"/>
    <w:rsid w:val="00054F1E"/>
    <w:rsid w:val="000556BA"/>
    <w:rsid w:val="0005574A"/>
    <w:rsid w:val="00055F09"/>
    <w:rsid w:val="00055FC2"/>
    <w:rsid w:val="000570B1"/>
    <w:rsid w:val="000577CC"/>
    <w:rsid w:val="0005796F"/>
    <w:rsid w:val="00057A38"/>
    <w:rsid w:val="00057E11"/>
    <w:rsid w:val="00060A73"/>
    <w:rsid w:val="00060C05"/>
    <w:rsid w:val="00060DDC"/>
    <w:rsid w:val="0006112C"/>
    <w:rsid w:val="00061395"/>
    <w:rsid w:val="00061405"/>
    <w:rsid w:val="00062314"/>
    <w:rsid w:val="00062D4E"/>
    <w:rsid w:val="00062F86"/>
    <w:rsid w:val="00063049"/>
    <w:rsid w:val="000630E3"/>
    <w:rsid w:val="0006352E"/>
    <w:rsid w:val="0006355D"/>
    <w:rsid w:val="00063F5F"/>
    <w:rsid w:val="000641ED"/>
    <w:rsid w:val="00064497"/>
    <w:rsid w:val="00064536"/>
    <w:rsid w:val="00064977"/>
    <w:rsid w:val="00064D75"/>
    <w:rsid w:val="000650AD"/>
    <w:rsid w:val="00065A6B"/>
    <w:rsid w:val="000660BB"/>
    <w:rsid w:val="000661A7"/>
    <w:rsid w:val="00066423"/>
    <w:rsid w:val="00066453"/>
    <w:rsid w:val="000665B1"/>
    <w:rsid w:val="00066606"/>
    <w:rsid w:val="00066C3C"/>
    <w:rsid w:val="00066D0E"/>
    <w:rsid w:val="00066D10"/>
    <w:rsid w:val="00066DC5"/>
    <w:rsid w:val="00066FCC"/>
    <w:rsid w:val="0006760C"/>
    <w:rsid w:val="00067B6D"/>
    <w:rsid w:val="00067B86"/>
    <w:rsid w:val="000700FC"/>
    <w:rsid w:val="000701AD"/>
    <w:rsid w:val="000705AA"/>
    <w:rsid w:val="0007085C"/>
    <w:rsid w:val="0007095B"/>
    <w:rsid w:val="00070E0E"/>
    <w:rsid w:val="00070E82"/>
    <w:rsid w:val="00071260"/>
    <w:rsid w:val="000717F5"/>
    <w:rsid w:val="00071B1A"/>
    <w:rsid w:val="0007218E"/>
    <w:rsid w:val="00072ADC"/>
    <w:rsid w:val="00072B81"/>
    <w:rsid w:val="00072C3F"/>
    <w:rsid w:val="00072C62"/>
    <w:rsid w:val="00073289"/>
    <w:rsid w:val="00073B21"/>
    <w:rsid w:val="00073E3E"/>
    <w:rsid w:val="00073EB4"/>
    <w:rsid w:val="000740E2"/>
    <w:rsid w:val="000741B8"/>
    <w:rsid w:val="0007429D"/>
    <w:rsid w:val="0007448F"/>
    <w:rsid w:val="00074627"/>
    <w:rsid w:val="00074BA1"/>
    <w:rsid w:val="00075544"/>
    <w:rsid w:val="000759E8"/>
    <w:rsid w:val="000763E2"/>
    <w:rsid w:val="00076E15"/>
    <w:rsid w:val="0007738F"/>
    <w:rsid w:val="00077674"/>
    <w:rsid w:val="0008239F"/>
    <w:rsid w:val="00082431"/>
    <w:rsid w:val="0008295A"/>
    <w:rsid w:val="00082F98"/>
    <w:rsid w:val="0008307D"/>
    <w:rsid w:val="0008350D"/>
    <w:rsid w:val="000837BD"/>
    <w:rsid w:val="00084456"/>
    <w:rsid w:val="00084939"/>
    <w:rsid w:val="00084D85"/>
    <w:rsid w:val="000850DF"/>
    <w:rsid w:val="00085178"/>
    <w:rsid w:val="0008528C"/>
    <w:rsid w:val="000855BC"/>
    <w:rsid w:val="00085855"/>
    <w:rsid w:val="00086829"/>
    <w:rsid w:val="000868E2"/>
    <w:rsid w:val="000875C5"/>
    <w:rsid w:val="00087673"/>
    <w:rsid w:val="00087A30"/>
    <w:rsid w:val="00087B5E"/>
    <w:rsid w:val="00087C70"/>
    <w:rsid w:val="00087CDA"/>
    <w:rsid w:val="00090050"/>
    <w:rsid w:val="00090A86"/>
    <w:rsid w:val="000910F5"/>
    <w:rsid w:val="0009185B"/>
    <w:rsid w:val="00091C32"/>
    <w:rsid w:val="00092439"/>
    <w:rsid w:val="00092F32"/>
    <w:rsid w:val="0009350E"/>
    <w:rsid w:val="00093662"/>
    <w:rsid w:val="0009411B"/>
    <w:rsid w:val="0009453F"/>
    <w:rsid w:val="000947AB"/>
    <w:rsid w:val="000948FF"/>
    <w:rsid w:val="00094910"/>
    <w:rsid w:val="00094FA3"/>
    <w:rsid w:val="0009575C"/>
    <w:rsid w:val="000957AA"/>
    <w:rsid w:val="000958FB"/>
    <w:rsid w:val="00095900"/>
    <w:rsid w:val="00095AF3"/>
    <w:rsid w:val="0009643B"/>
    <w:rsid w:val="00096699"/>
    <w:rsid w:val="00096BA1"/>
    <w:rsid w:val="00096C92"/>
    <w:rsid w:val="0009701E"/>
    <w:rsid w:val="00097504"/>
    <w:rsid w:val="0009759D"/>
    <w:rsid w:val="0009793B"/>
    <w:rsid w:val="00097BAC"/>
    <w:rsid w:val="00097CF2"/>
    <w:rsid w:val="000A014E"/>
    <w:rsid w:val="000A02CE"/>
    <w:rsid w:val="000A031E"/>
    <w:rsid w:val="000A0376"/>
    <w:rsid w:val="000A04BD"/>
    <w:rsid w:val="000A09FB"/>
    <w:rsid w:val="000A1036"/>
    <w:rsid w:val="000A1BF4"/>
    <w:rsid w:val="000A1C7D"/>
    <w:rsid w:val="000A2093"/>
    <w:rsid w:val="000A2293"/>
    <w:rsid w:val="000A22C5"/>
    <w:rsid w:val="000A273E"/>
    <w:rsid w:val="000A2C7B"/>
    <w:rsid w:val="000A33E7"/>
    <w:rsid w:val="000A383E"/>
    <w:rsid w:val="000A384E"/>
    <w:rsid w:val="000A3B47"/>
    <w:rsid w:val="000A4124"/>
    <w:rsid w:val="000A45CC"/>
    <w:rsid w:val="000A48E6"/>
    <w:rsid w:val="000A4BF3"/>
    <w:rsid w:val="000A4C31"/>
    <w:rsid w:val="000A4F47"/>
    <w:rsid w:val="000A5663"/>
    <w:rsid w:val="000A58D8"/>
    <w:rsid w:val="000A5A49"/>
    <w:rsid w:val="000A5D5A"/>
    <w:rsid w:val="000A5DAD"/>
    <w:rsid w:val="000A5E6A"/>
    <w:rsid w:val="000A632A"/>
    <w:rsid w:val="000A638F"/>
    <w:rsid w:val="000A67C4"/>
    <w:rsid w:val="000A68AD"/>
    <w:rsid w:val="000A6902"/>
    <w:rsid w:val="000A6CF3"/>
    <w:rsid w:val="000A70C2"/>
    <w:rsid w:val="000A7752"/>
    <w:rsid w:val="000B00DC"/>
    <w:rsid w:val="000B01B6"/>
    <w:rsid w:val="000B049E"/>
    <w:rsid w:val="000B0877"/>
    <w:rsid w:val="000B0903"/>
    <w:rsid w:val="000B0D5A"/>
    <w:rsid w:val="000B0E26"/>
    <w:rsid w:val="000B1633"/>
    <w:rsid w:val="000B1660"/>
    <w:rsid w:val="000B1880"/>
    <w:rsid w:val="000B19D8"/>
    <w:rsid w:val="000B1C4D"/>
    <w:rsid w:val="000B1C5A"/>
    <w:rsid w:val="000B1ECF"/>
    <w:rsid w:val="000B222D"/>
    <w:rsid w:val="000B261F"/>
    <w:rsid w:val="000B2B1E"/>
    <w:rsid w:val="000B3539"/>
    <w:rsid w:val="000B35A2"/>
    <w:rsid w:val="000B381C"/>
    <w:rsid w:val="000B3BAA"/>
    <w:rsid w:val="000B3FD6"/>
    <w:rsid w:val="000B4467"/>
    <w:rsid w:val="000B4B3C"/>
    <w:rsid w:val="000B4E0D"/>
    <w:rsid w:val="000B5236"/>
    <w:rsid w:val="000B572D"/>
    <w:rsid w:val="000B57C2"/>
    <w:rsid w:val="000B57D6"/>
    <w:rsid w:val="000B5819"/>
    <w:rsid w:val="000B5EE7"/>
    <w:rsid w:val="000B65C8"/>
    <w:rsid w:val="000B6DCF"/>
    <w:rsid w:val="000B723A"/>
    <w:rsid w:val="000B7480"/>
    <w:rsid w:val="000B7539"/>
    <w:rsid w:val="000B75C5"/>
    <w:rsid w:val="000B7757"/>
    <w:rsid w:val="000B7E0D"/>
    <w:rsid w:val="000C02F6"/>
    <w:rsid w:val="000C0873"/>
    <w:rsid w:val="000C1C0B"/>
    <w:rsid w:val="000C1F20"/>
    <w:rsid w:val="000C2383"/>
    <w:rsid w:val="000C24AD"/>
    <w:rsid w:val="000C281F"/>
    <w:rsid w:val="000C2C3D"/>
    <w:rsid w:val="000C30AE"/>
    <w:rsid w:val="000C3186"/>
    <w:rsid w:val="000C337B"/>
    <w:rsid w:val="000C3420"/>
    <w:rsid w:val="000C35B2"/>
    <w:rsid w:val="000C3AF1"/>
    <w:rsid w:val="000C3D96"/>
    <w:rsid w:val="000C4287"/>
    <w:rsid w:val="000C4323"/>
    <w:rsid w:val="000C45AA"/>
    <w:rsid w:val="000C4864"/>
    <w:rsid w:val="000C4BE9"/>
    <w:rsid w:val="000C4C6B"/>
    <w:rsid w:val="000C5115"/>
    <w:rsid w:val="000C5B15"/>
    <w:rsid w:val="000C5CBA"/>
    <w:rsid w:val="000C6444"/>
    <w:rsid w:val="000C6542"/>
    <w:rsid w:val="000C67AF"/>
    <w:rsid w:val="000C6842"/>
    <w:rsid w:val="000C6E47"/>
    <w:rsid w:val="000C6EBD"/>
    <w:rsid w:val="000C7234"/>
    <w:rsid w:val="000C74DD"/>
    <w:rsid w:val="000C7523"/>
    <w:rsid w:val="000C7635"/>
    <w:rsid w:val="000D0E2B"/>
    <w:rsid w:val="000D1010"/>
    <w:rsid w:val="000D1242"/>
    <w:rsid w:val="000D1718"/>
    <w:rsid w:val="000D1952"/>
    <w:rsid w:val="000D1BC4"/>
    <w:rsid w:val="000D1CB9"/>
    <w:rsid w:val="000D1E96"/>
    <w:rsid w:val="000D1F76"/>
    <w:rsid w:val="000D2178"/>
    <w:rsid w:val="000D2910"/>
    <w:rsid w:val="000D29B5"/>
    <w:rsid w:val="000D2ADC"/>
    <w:rsid w:val="000D2B08"/>
    <w:rsid w:val="000D310B"/>
    <w:rsid w:val="000D34DB"/>
    <w:rsid w:val="000D38A7"/>
    <w:rsid w:val="000D39F4"/>
    <w:rsid w:val="000D3EB4"/>
    <w:rsid w:val="000D4A52"/>
    <w:rsid w:val="000D4DFB"/>
    <w:rsid w:val="000D5095"/>
    <w:rsid w:val="000D51FD"/>
    <w:rsid w:val="000D57C9"/>
    <w:rsid w:val="000D5E25"/>
    <w:rsid w:val="000D60A1"/>
    <w:rsid w:val="000D69FF"/>
    <w:rsid w:val="000D6A3C"/>
    <w:rsid w:val="000D7383"/>
    <w:rsid w:val="000D7B23"/>
    <w:rsid w:val="000E0634"/>
    <w:rsid w:val="000E0691"/>
    <w:rsid w:val="000E0902"/>
    <w:rsid w:val="000E0CDC"/>
    <w:rsid w:val="000E0F36"/>
    <w:rsid w:val="000E10A1"/>
    <w:rsid w:val="000E10A6"/>
    <w:rsid w:val="000E10AF"/>
    <w:rsid w:val="000E1B0A"/>
    <w:rsid w:val="000E1CD3"/>
    <w:rsid w:val="000E2A1A"/>
    <w:rsid w:val="000E2BC1"/>
    <w:rsid w:val="000E2D70"/>
    <w:rsid w:val="000E323D"/>
    <w:rsid w:val="000E38E1"/>
    <w:rsid w:val="000E3FBF"/>
    <w:rsid w:val="000E424F"/>
    <w:rsid w:val="000E4269"/>
    <w:rsid w:val="000E42B6"/>
    <w:rsid w:val="000E432A"/>
    <w:rsid w:val="000E4745"/>
    <w:rsid w:val="000E4C83"/>
    <w:rsid w:val="000E4D54"/>
    <w:rsid w:val="000E50AF"/>
    <w:rsid w:val="000E5317"/>
    <w:rsid w:val="000E55F6"/>
    <w:rsid w:val="000E5D3E"/>
    <w:rsid w:val="000E5E77"/>
    <w:rsid w:val="000E64AC"/>
    <w:rsid w:val="000E64DB"/>
    <w:rsid w:val="000E6592"/>
    <w:rsid w:val="000E6721"/>
    <w:rsid w:val="000E6741"/>
    <w:rsid w:val="000E6A2B"/>
    <w:rsid w:val="000E6A30"/>
    <w:rsid w:val="000E6CCC"/>
    <w:rsid w:val="000E6D10"/>
    <w:rsid w:val="000E70C6"/>
    <w:rsid w:val="000E78D4"/>
    <w:rsid w:val="000E793C"/>
    <w:rsid w:val="000F0161"/>
    <w:rsid w:val="000F0338"/>
    <w:rsid w:val="000F06B9"/>
    <w:rsid w:val="000F0786"/>
    <w:rsid w:val="000F0D44"/>
    <w:rsid w:val="000F14F5"/>
    <w:rsid w:val="000F1C73"/>
    <w:rsid w:val="000F1C79"/>
    <w:rsid w:val="000F1EF9"/>
    <w:rsid w:val="000F2260"/>
    <w:rsid w:val="000F23AA"/>
    <w:rsid w:val="000F24B7"/>
    <w:rsid w:val="000F2969"/>
    <w:rsid w:val="000F29D2"/>
    <w:rsid w:val="000F2B04"/>
    <w:rsid w:val="000F3195"/>
    <w:rsid w:val="000F3470"/>
    <w:rsid w:val="000F39BC"/>
    <w:rsid w:val="000F3F2F"/>
    <w:rsid w:val="000F40F2"/>
    <w:rsid w:val="000F46D5"/>
    <w:rsid w:val="000F4E65"/>
    <w:rsid w:val="000F4F48"/>
    <w:rsid w:val="000F5850"/>
    <w:rsid w:val="000F5A90"/>
    <w:rsid w:val="000F5CC6"/>
    <w:rsid w:val="000F5EA2"/>
    <w:rsid w:val="000F5F21"/>
    <w:rsid w:val="000F5FF6"/>
    <w:rsid w:val="000F6146"/>
    <w:rsid w:val="000F6492"/>
    <w:rsid w:val="000F662E"/>
    <w:rsid w:val="000F6636"/>
    <w:rsid w:val="000F673B"/>
    <w:rsid w:val="000F6A93"/>
    <w:rsid w:val="000F6D77"/>
    <w:rsid w:val="000F6DED"/>
    <w:rsid w:val="000F7E8C"/>
    <w:rsid w:val="001003B7"/>
    <w:rsid w:val="00100520"/>
    <w:rsid w:val="00100B0E"/>
    <w:rsid w:val="00101D4E"/>
    <w:rsid w:val="00102026"/>
    <w:rsid w:val="001024A9"/>
    <w:rsid w:val="0010351A"/>
    <w:rsid w:val="00103557"/>
    <w:rsid w:val="00103755"/>
    <w:rsid w:val="00103BA3"/>
    <w:rsid w:val="00104212"/>
    <w:rsid w:val="00104216"/>
    <w:rsid w:val="001047E7"/>
    <w:rsid w:val="00104B85"/>
    <w:rsid w:val="00104CCB"/>
    <w:rsid w:val="00104E95"/>
    <w:rsid w:val="00104EBF"/>
    <w:rsid w:val="00104F4E"/>
    <w:rsid w:val="00104FE9"/>
    <w:rsid w:val="00105DD2"/>
    <w:rsid w:val="001063B1"/>
    <w:rsid w:val="00106714"/>
    <w:rsid w:val="0010713E"/>
    <w:rsid w:val="0010744C"/>
    <w:rsid w:val="00107585"/>
    <w:rsid w:val="00107C58"/>
    <w:rsid w:val="001103BA"/>
    <w:rsid w:val="00110ABB"/>
    <w:rsid w:val="00110C0E"/>
    <w:rsid w:val="0011107F"/>
    <w:rsid w:val="00111273"/>
    <w:rsid w:val="001113C5"/>
    <w:rsid w:val="001114F4"/>
    <w:rsid w:val="0011179D"/>
    <w:rsid w:val="0011193E"/>
    <w:rsid w:val="00111979"/>
    <w:rsid w:val="00112865"/>
    <w:rsid w:val="00113273"/>
    <w:rsid w:val="001132BE"/>
    <w:rsid w:val="001138EE"/>
    <w:rsid w:val="00114072"/>
    <w:rsid w:val="00114151"/>
    <w:rsid w:val="00114A07"/>
    <w:rsid w:val="00114B26"/>
    <w:rsid w:val="00114BB7"/>
    <w:rsid w:val="00114E4B"/>
    <w:rsid w:val="001150E1"/>
    <w:rsid w:val="0011545C"/>
    <w:rsid w:val="00115C64"/>
    <w:rsid w:val="00116390"/>
    <w:rsid w:val="00116517"/>
    <w:rsid w:val="0011667B"/>
    <w:rsid w:val="001166F8"/>
    <w:rsid w:val="00117A5B"/>
    <w:rsid w:val="00117BE9"/>
    <w:rsid w:val="00117F08"/>
    <w:rsid w:val="00120783"/>
    <w:rsid w:val="00121065"/>
    <w:rsid w:val="001218D8"/>
    <w:rsid w:val="00121C9C"/>
    <w:rsid w:val="00121F42"/>
    <w:rsid w:val="00122479"/>
    <w:rsid w:val="00122900"/>
    <w:rsid w:val="001232EE"/>
    <w:rsid w:val="0012371B"/>
    <w:rsid w:val="001238A4"/>
    <w:rsid w:val="00123D0F"/>
    <w:rsid w:val="00123D90"/>
    <w:rsid w:val="001241C5"/>
    <w:rsid w:val="0012445C"/>
    <w:rsid w:val="001247CF"/>
    <w:rsid w:val="00124DB0"/>
    <w:rsid w:val="00124F57"/>
    <w:rsid w:val="0012574E"/>
    <w:rsid w:val="0012584E"/>
    <w:rsid w:val="00125ECB"/>
    <w:rsid w:val="0012621D"/>
    <w:rsid w:val="001263C4"/>
    <w:rsid w:val="0012650A"/>
    <w:rsid w:val="0012664C"/>
    <w:rsid w:val="00126A27"/>
    <w:rsid w:val="00126C95"/>
    <w:rsid w:val="00126D8A"/>
    <w:rsid w:val="00126F33"/>
    <w:rsid w:val="0012742C"/>
    <w:rsid w:val="00127A2B"/>
    <w:rsid w:val="00127B39"/>
    <w:rsid w:val="00127DBD"/>
    <w:rsid w:val="00127DE7"/>
    <w:rsid w:val="0013026B"/>
    <w:rsid w:val="00130325"/>
    <w:rsid w:val="00130A96"/>
    <w:rsid w:val="00130BCB"/>
    <w:rsid w:val="0013133E"/>
    <w:rsid w:val="0013143F"/>
    <w:rsid w:val="0013156E"/>
    <w:rsid w:val="001315EB"/>
    <w:rsid w:val="001316F2"/>
    <w:rsid w:val="00131CE9"/>
    <w:rsid w:val="00131D15"/>
    <w:rsid w:val="00132474"/>
    <w:rsid w:val="00132773"/>
    <w:rsid w:val="001327D3"/>
    <w:rsid w:val="00133236"/>
    <w:rsid w:val="001334DD"/>
    <w:rsid w:val="0013378E"/>
    <w:rsid w:val="00133865"/>
    <w:rsid w:val="0013416E"/>
    <w:rsid w:val="001344C4"/>
    <w:rsid w:val="00134554"/>
    <w:rsid w:val="00135081"/>
    <w:rsid w:val="00135EC2"/>
    <w:rsid w:val="00135EFB"/>
    <w:rsid w:val="001366C4"/>
    <w:rsid w:val="00136CB3"/>
    <w:rsid w:val="00137F4F"/>
    <w:rsid w:val="00137F60"/>
    <w:rsid w:val="001400B4"/>
    <w:rsid w:val="00140163"/>
    <w:rsid w:val="001401C5"/>
    <w:rsid w:val="00140724"/>
    <w:rsid w:val="00140D94"/>
    <w:rsid w:val="001412F4"/>
    <w:rsid w:val="00141398"/>
    <w:rsid w:val="001413A6"/>
    <w:rsid w:val="00141931"/>
    <w:rsid w:val="00141EC4"/>
    <w:rsid w:val="0014253B"/>
    <w:rsid w:val="001426C0"/>
    <w:rsid w:val="00142807"/>
    <w:rsid w:val="00142AC7"/>
    <w:rsid w:val="001436D4"/>
    <w:rsid w:val="00143757"/>
    <w:rsid w:val="0014375E"/>
    <w:rsid w:val="00143812"/>
    <w:rsid w:val="00143A58"/>
    <w:rsid w:val="0014436A"/>
    <w:rsid w:val="00144753"/>
    <w:rsid w:val="001447A2"/>
    <w:rsid w:val="00144D15"/>
    <w:rsid w:val="00145689"/>
    <w:rsid w:val="00145736"/>
    <w:rsid w:val="00145A68"/>
    <w:rsid w:val="00145EE7"/>
    <w:rsid w:val="00146176"/>
    <w:rsid w:val="0014625B"/>
    <w:rsid w:val="0014667B"/>
    <w:rsid w:val="00146A9C"/>
    <w:rsid w:val="00146E2C"/>
    <w:rsid w:val="0014712A"/>
    <w:rsid w:val="001473B9"/>
    <w:rsid w:val="00147693"/>
    <w:rsid w:val="00147749"/>
    <w:rsid w:val="00147CA9"/>
    <w:rsid w:val="0015088A"/>
    <w:rsid w:val="00150A5F"/>
    <w:rsid w:val="00150C62"/>
    <w:rsid w:val="00150EFE"/>
    <w:rsid w:val="0015104F"/>
    <w:rsid w:val="001510B8"/>
    <w:rsid w:val="0015185C"/>
    <w:rsid w:val="00151A78"/>
    <w:rsid w:val="00152128"/>
    <w:rsid w:val="0015214D"/>
    <w:rsid w:val="00152D03"/>
    <w:rsid w:val="00152F99"/>
    <w:rsid w:val="00153288"/>
    <w:rsid w:val="00153ACE"/>
    <w:rsid w:val="001542D6"/>
    <w:rsid w:val="00154351"/>
    <w:rsid w:val="001543DE"/>
    <w:rsid w:val="001543E7"/>
    <w:rsid w:val="0015458D"/>
    <w:rsid w:val="00154F40"/>
    <w:rsid w:val="0015513D"/>
    <w:rsid w:val="00155393"/>
    <w:rsid w:val="00155525"/>
    <w:rsid w:val="00155AD0"/>
    <w:rsid w:val="00155B77"/>
    <w:rsid w:val="00155C32"/>
    <w:rsid w:val="00156601"/>
    <w:rsid w:val="0015688E"/>
    <w:rsid w:val="00156C7D"/>
    <w:rsid w:val="0015712D"/>
    <w:rsid w:val="001575B9"/>
    <w:rsid w:val="001577FB"/>
    <w:rsid w:val="001579B8"/>
    <w:rsid w:val="001609AD"/>
    <w:rsid w:val="00160A9C"/>
    <w:rsid w:val="00160B43"/>
    <w:rsid w:val="00160C87"/>
    <w:rsid w:val="00160F26"/>
    <w:rsid w:val="00160FD4"/>
    <w:rsid w:val="0016124F"/>
    <w:rsid w:val="001612F4"/>
    <w:rsid w:val="00161701"/>
    <w:rsid w:val="001617D1"/>
    <w:rsid w:val="001621C8"/>
    <w:rsid w:val="001627D1"/>
    <w:rsid w:val="00162878"/>
    <w:rsid w:val="00162C6C"/>
    <w:rsid w:val="00162CDF"/>
    <w:rsid w:val="00162FCC"/>
    <w:rsid w:val="0016325B"/>
    <w:rsid w:val="00163767"/>
    <w:rsid w:val="00163949"/>
    <w:rsid w:val="00163B99"/>
    <w:rsid w:val="00164D8A"/>
    <w:rsid w:val="00164FAA"/>
    <w:rsid w:val="00165022"/>
    <w:rsid w:val="00165094"/>
    <w:rsid w:val="00165165"/>
    <w:rsid w:val="00165884"/>
    <w:rsid w:val="00165DE0"/>
    <w:rsid w:val="00165DFB"/>
    <w:rsid w:val="00166684"/>
    <w:rsid w:val="001673A6"/>
    <w:rsid w:val="0017006D"/>
    <w:rsid w:val="001701C0"/>
    <w:rsid w:val="0017049D"/>
    <w:rsid w:val="00170E3B"/>
    <w:rsid w:val="00170F33"/>
    <w:rsid w:val="00171121"/>
    <w:rsid w:val="001711C1"/>
    <w:rsid w:val="0017128E"/>
    <w:rsid w:val="00171AEB"/>
    <w:rsid w:val="00171E14"/>
    <w:rsid w:val="0017204B"/>
    <w:rsid w:val="00172077"/>
    <w:rsid w:val="0017224E"/>
    <w:rsid w:val="00172DC9"/>
    <w:rsid w:val="00172F63"/>
    <w:rsid w:val="00173522"/>
    <w:rsid w:val="00173C8A"/>
    <w:rsid w:val="00174AC2"/>
    <w:rsid w:val="00174C8D"/>
    <w:rsid w:val="00174EA1"/>
    <w:rsid w:val="0017520B"/>
    <w:rsid w:val="0017528B"/>
    <w:rsid w:val="001756A8"/>
    <w:rsid w:val="00175708"/>
    <w:rsid w:val="0017580D"/>
    <w:rsid w:val="00176046"/>
    <w:rsid w:val="00176E72"/>
    <w:rsid w:val="0017750E"/>
    <w:rsid w:val="001777A7"/>
    <w:rsid w:val="00177C5E"/>
    <w:rsid w:val="00177F14"/>
    <w:rsid w:val="001805C8"/>
    <w:rsid w:val="00180E14"/>
    <w:rsid w:val="00181396"/>
    <w:rsid w:val="001817C9"/>
    <w:rsid w:val="001819B1"/>
    <w:rsid w:val="00181E95"/>
    <w:rsid w:val="00182272"/>
    <w:rsid w:val="00182B1B"/>
    <w:rsid w:val="00183124"/>
    <w:rsid w:val="00183976"/>
    <w:rsid w:val="00183B79"/>
    <w:rsid w:val="00183F96"/>
    <w:rsid w:val="00183FF9"/>
    <w:rsid w:val="001844E1"/>
    <w:rsid w:val="0018454F"/>
    <w:rsid w:val="00184987"/>
    <w:rsid w:val="001849D1"/>
    <w:rsid w:val="00184A1B"/>
    <w:rsid w:val="00184E84"/>
    <w:rsid w:val="00185B67"/>
    <w:rsid w:val="00185B7E"/>
    <w:rsid w:val="00185C41"/>
    <w:rsid w:val="00185F1F"/>
    <w:rsid w:val="00186006"/>
    <w:rsid w:val="00186286"/>
    <w:rsid w:val="001867E4"/>
    <w:rsid w:val="00187831"/>
    <w:rsid w:val="00187A84"/>
    <w:rsid w:val="00190E7D"/>
    <w:rsid w:val="00191833"/>
    <w:rsid w:val="00191AAC"/>
    <w:rsid w:val="00191D59"/>
    <w:rsid w:val="00192233"/>
    <w:rsid w:val="001922FA"/>
    <w:rsid w:val="00192BD0"/>
    <w:rsid w:val="00192EC5"/>
    <w:rsid w:val="001930D5"/>
    <w:rsid w:val="001931D0"/>
    <w:rsid w:val="00193396"/>
    <w:rsid w:val="00193449"/>
    <w:rsid w:val="00193AD4"/>
    <w:rsid w:val="00193C25"/>
    <w:rsid w:val="00193F77"/>
    <w:rsid w:val="00194168"/>
    <w:rsid w:val="00194A4D"/>
    <w:rsid w:val="001953B4"/>
    <w:rsid w:val="001955D8"/>
    <w:rsid w:val="00195E7E"/>
    <w:rsid w:val="00196CF3"/>
    <w:rsid w:val="00196D96"/>
    <w:rsid w:val="00197C3F"/>
    <w:rsid w:val="00197C9C"/>
    <w:rsid w:val="00197D1F"/>
    <w:rsid w:val="00197D79"/>
    <w:rsid w:val="00197F2C"/>
    <w:rsid w:val="001A03F4"/>
    <w:rsid w:val="001A083E"/>
    <w:rsid w:val="001A095A"/>
    <w:rsid w:val="001A0E28"/>
    <w:rsid w:val="001A10DC"/>
    <w:rsid w:val="001A1165"/>
    <w:rsid w:val="001A12B1"/>
    <w:rsid w:val="001A1B29"/>
    <w:rsid w:val="001A1EAC"/>
    <w:rsid w:val="001A25D0"/>
    <w:rsid w:val="001A299F"/>
    <w:rsid w:val="001A3E7B"/>
    <w:rsid w:val="001A3F49"/>
    <w:rsid w:val="001A4173"/>
    <w:rsid w:val="001A42C0"/>
    <w:rsid w:val="001A4E7E"/>
    <w:rsid w:val="001A5166"/>
    <w:rsid w:val="001A54E6"/>
    <w:rsid w:val="001A558D"/>
    <w:rsid w:val="001A5749"/>
    <w:rsid w:val="001A5CBE"/>
    <w:rsid w:val="001A5DDC"/>
    <w:rsid w:val="001A65EF"/>
    <w:rsid w:val="001A6A04"/>
    <w:rsid w:val="001A6CE7"/>
    <w:rsid w:val="001A70F6"/>
    <w:rsid w:val="001A79C3"/>
    <w:rsid w:val="001A7D00"/>
    <w:rsid w:val="001A7E2D"/>
    <w:rsid w:val="001B006E"/>
    <w:rsid w:val="001B02ED"/>
    <w:rsid w:val="001B088F"/>
    <w:rsid w:val="001B0C68"/>
    <w:rsid w:val="001B0D34"/>
    <w:rsid w:val="001B1D8C"/>
    <w:rsid w:val="001B22B6"/>
    <w:rsid w:val="001B25F8"/>
    <w:rsid w:val="001B286B"/>
    <w:rsid w:val="001B2E67"/>
    <w:rsid w:val="001B30F6"/>
    <w:rsid w:val="001B3B82"/>
    <w:rsid w:val="001B3DA7"/>
    <w:rsid w:val="001B435D"/>
    <w:rsid w:val="001B4885"/>
    <w:rsid w:val="001B4E1C"/>
    <w:rsid w:val="001B4F3E"/>
    <w:rsid w:val="001B5063"/>
    <w:rsid w:val="001B51AD"/>
    <w:rsid w:val="001B5239"/>
    <w:rsid w:val="001B5416"/>
    <w:rsid w:val="001B5800"/>
    <w:rsid w:val="001B58A7"/>
    <w:rsid w:val="001B5E5E"/>
    <w:rsid w:val="001B61F9"/>
    <w:rsid w:val="001B6851"/>
    <w:rsid w:val="001B68BF"/>
    <w:rsid w:val="001B6948"/>
    <w:rsid w:val="001B6953"/>
    <w:rsid w:val="001B6E09"/>
    <w:rsid w:val="001B76D5"/>
    <w:rsid w:val="001B78F8"/>
    <w:rsid w:val="001B7DA7"/>
    <w:rsid w:val="001C0575"/>
    <w:rsid w:val="001C07CC"/>
    <w:rsid w:val="001C0B6E"/>
    <w:rsid w:val="001C0C51"/>
    <w:rsid w:val="001C0DAB"/>
    <w:rsid w:val="001C0DD1"/>
    <w:rsid w:val="001C13E4"/>
    <w:rsid w:val="001C175D"/>
    <w:rsid w:val="001C1D46"/>
    <w:rsid w:val="001C1D48"/>
    <w:rsid w:val="001C2A1B"/>
    <w:rsid w:val="001C2CBF"/>
    <w:rsid w:val="001C2E1D"/>
    <w:rsid w:val="001C300F"/>
    <w:rsid w:val="001C3440"/>
    <w:rsid w:val="001C36D4"/>
    <w:rsid w:val="001C36E8"/>
    <w:rsid w:val="001C3B0D"/>
    <w:rsid w:val="001C421B"/>
    <w:rsid w:val="001C43FA"/>
    <w:rsid w:val="001C441D"/>
    <w:rsid w:val="001C4944"/>
    <w:rsid w:val="001C4F7E"/>
    <w:rsid w:val="001C52B8"/>
    <w:rsid w:val="001C54A9"/>
    <w:rsid w:val="001C58EA"/>
    <w:rsid w:val="001C5CB2"/>
    <w:rsid w:val="001C5F4F"/>
    <w:rsid w:val="001C618B"/>
    <w:rsid w:val="001C6547"/>
    <w:rsid w:val="001C6640"/>
    <w:rsid w:val="001C6AAF"/>
    <w:rsid w:val="001C6D5C"/>
    <w:rsid w:val="001C6D92"/>
    <w:rsid w:val="001C6E56"/>
    <w:rsid w:val="001C6E86"/>
    <w:rsid w:val="001C72AE"/>
    <w:rsid w:val="001C7EF9"/>
    <w:rsid w:val="001D07FC"/>
    <w:rsid w:val="001D09C3"/>
    <w:rsid w:val="001D0C06"/>
    <w:rsid w:val="001D102F"/>
    <w:rsid w:val="001D13E1"/>
    <w:rsid w:val="001D1F49"/>
    <w:rsid w:val="001D1F88"/>
    <w:rsid w:val="001D22E0"/>
    <w:rsid w:val="001D257A"/>
    <w:rsid w:val="001D2701"/>
    <w:rsid w:val="001D299B"/>
    <w:rsid w:val="001D2B22"/>
    <w:rsid w:val="001D2CDE"/>
    <w:rsid w:val="001D34B9"/>
    <w:rsid w:val="001D35A3"/>
    <w:rsid w:val="001D3A24"/>
    <w:rsid w:val="001D3BFF"/>
    <w:rsid w:val="001D3C7A"/>
    <w:rsid w:val="001D430C"/>
    <w:rsid w:val="001D454D"/>
    <w:rsid w:val="001D45E8"/>
    <w:rsid w:val="001D47BC"/>
    <w:rsid w:val="001D4B43"/>
    <w:rsid w:val="001D5457"/>
    <w:rsid w:val="001D598E"/>
    <w:rsid w:val="001D5A1C"/>
    <w:rsid w:val="001D5B22"/>
    <w:rsid w:val="001D5CE1"/>
    <w:rsid w:val="001D5EA7"/>
    <w:rsid w:val="001D6041"/>
    <w:rsid w:val="001D6068"/>
    <w:rsid w:val="001D6788"/>
    <w:rsid w:val="001D67B0"/>
    <w:rsid w:val="001D6B4C"/>
    <w:rsid w:val="001D6E89"/>
    <w:rsid w:val="001D6F71"/>
    <w:rsid w:val="001D72D0"/>
    <w:rsid w:val="001D7BF3"/>
    <w:rsid w:val="001D7C2A"/>
    <w:rsid w:val="001D7E96"/>
    <w:rsid w:val="001D7FBD"/>
    <w:rsid w:val="001E012C"/>
    <w:rsid w:val="001E05A8"/>
    <w:rsid w:val="001E0802"/>
    <w:rsid w:val="001E0E57"/>
    <w:rsid w:val="001E1347"/>
    <w:rsid w:val="001E1530"/>
    <w:rsid w:val="001E163B"/>
    <w:rsid w:val="001E16FB"/>
    <w:rsid w:val="001E1780"/>
    <w:rsid w:val="001E1A18"/>
    <w:rsid w:val="001E21FF"/>
    <w:rsid w:val="001E2596"/>
    <w:rsid w:val="001E259B"/>
    <w:rsid w:val="001E2847"/>
    <w:rsid w:val="001E2B42"/>
    <w:rsid w:val="001E3018"/>
    <w:rsid w:val="001E3C9E"/>
    <w:rsid w:val="001E3D5D"/>
    <w:rsid w:val="001E3E78"/>
    <w:rsid w:val="001E41B8"/>
    <w:rsid w:val="001E4A94"/>
    <w:rsid w:val="001E4B2D"/>
    <w:rsid w:val="001E545E"/>
    <w:rsid w:val="001E54F7"/>
    <w:rsid w:val="001E56F9"/>
    <w:rsid w:val="001E5764"/>
    <w:rsid w:val="001E5778"/>
    <w:rsid w:val="001E5945"/>
    <w:rsid w:val="001E5A36"/>
    <w:rsid w:val="001E5A4F"/>
    <w:rsid w:val="001E5FCA"/>
    <w:rsid w:val="001E6249"/>
    <w:rsid w:val="001E63A7"/>
    <w:rsid w:val="001E63B4"/>
    <w:rsid w:val="001E6419"/>
    <w:rsid w:val="001E64B7"/>
    <w:rsid w:val="001E6C79"/>
    <w:rsid w:val="001E6F8B"/>
    <w:rsid w:val="001E7720"/>
    <w:rsid w:val="001E7C68"/>
    <w:rsid w:val="001F01C5"/>
    <w:rsid w:val="001F0318"/>
    <w:rsid w:val="001F07A4"/>
    <w:rsid w:val="001F1206"/>
    <w:rsid w:val="001F13D7"/>
    <w:rsid w:val="001F1563"/>
    <w:rsid w:val="001F1948"/>
    <w:rsid w:val="001F19A9"/>
    <w:rsid w:val="001F207C"/>
    <w:rsid w:val="001F20CF"/>
    <w:rsid w:val="001F2279"/>
    <w:rsid w:val="001F22FC"/>
    <w:rsid w:val="001F2846"/>
    <w:rsid w:val="001F2EA3"/>
    <w:rsid w:val="001F2F3D"/>
    <w:rsid w:val="001F313F"/>
    <w:rsid w:val="001F3740"/>
    <w:rsid w:val="001F37F2"/>
    <w:rsid w:val="001F383F"/>
    <w:rsid w:val="001F3AD5"/>
    <w:rsid w:val="001F444E"/>
    <w:rsid w:val="001F445E"/>
    <w:rsid w:val="001F481A"/>
    <w:rsid w:val="001F4AFB"/>
    <w:rsid w:val="001F4C2A"/>
    <w:rsid w:val="001F50B3"/>
    <w:rsid w:val="001F5110"/>
    <w:rsid w:val="001F54FD"/>
    <w:rsid w:val="001F5514"/>
    <w:rsid w:val="001F614C"/>
    <w:rsid w:val="001F68FE"/>
    <w:rsid w:val="001F6992"/>
    <w:rsid w:val="001F6B19"/>
    <w:rsid w:val="001F6CC6"/>
    <w:rsid w:val="001F6DAA"/>
    <w:rsid w:val="001F6DF6"/>
    <w:rsid w:val="001F6E46"/>
    <w:rsid w:val="001F727C"/>
    <w:rsid w:val="001F7417"/>
    <w:rsid w:val="001F7B1C"/>
    <w:rsid w:val="002004FB"/>
    <w:rsid w:val="00200A6F"/>
    <w:rsid w:val="00201333"/>
    <w:rsid w:val="002014D7"/>
    <w:rsid w:val="002017D9"/>
    <w:rsid w:val="00201D89"/>
    <w:rsid w:val="00201F56"/>
    <w:rsid w:val="0020220B"/>
    <w:rsid w:val="002022DE"/>
    <w:rsid w:val="00202654"/>
    <w:rsid w:val="00203045"/>
    <w:rsid w:val="00203AF9"/>
    <w:rsid w:val="00203DE3"/>
    <w:rsid w:val="002040D7"/>
    <w:rsid w:val="002041C8"/>
    <w:rsid w:val="0020446D"/>
    <w:rsid w:val="00204588"/>
    <w:rsid w:val="00204772"/>
    <w:rsid w:val="002052BE"/>
    <w:rsid w:val="0020532F"/>
    <w:rsid w:val="0020547D"/>
    <w:rsid w:val="0020559F"/>
    <w:rsid w:val="0020599E"/>
    <w:rsid w:val="00205B3A"/>
    <w:rsid w:val="00205D39"/>
    <w:rsid w:val="00205D8D"/>
    <w:rsid w:val="00205F13"/>
    <w:rsid w:val="002062C9"/>
    <w:rsid w:val="00206585"/>
    <w:rsid w:val="002067A9"/>
    <w:rsid w:val="00206B5F"/>
    <w:rsid w:val="00206E5B"/>
    <w:rsid w:val="00206F61"/>
    <w:rsid w:val="00206F75"/>
    <w:rsid w:val="002074EB"/>
    <w:rsid w:val="0020768E"/>
    <w:rsid w:val="00207797"/>
    <w:rsid w:val="00207B31"/>
    <w:rsid w:val="00207F33"/>
    <w:rsid w:val="00210935"/>
    <w:rsid w:val="00210A62"/>
    <w:rsid w:val="00210F79"/>
    <w:rsid w:val="00211158"/>
    <w:rsid w:val="00211F7F"/>
    <w:rsid w:val="00212361"/>
    <w:rsid w:val="00212658"/>
    <w:rsid w:val="00212A32"/>
    <w:rsid w:val="00212DA5"/>
    <w:rsid w:val="00213012"/>
    <w:rsid w:val="002134CD"/>
    <w:rsid w:val="00213B72"/>
    <w:rsid w:val="00213F27"/>
    <w:rsid w:val="00213F38"/>
    <w:rsid w:val="00214226"/>
    <w:rsid w:val="0021455A"/>
    <w:rsid w:val="00214801"/>
    <w:rsid w:val="002149A1"/>
    <w:rsid w:val="002158BE"/>
    <w:rsid w:val="00216D9B"/>
    <w:rsid w:val="00216E22"/>
    <w:rsid w:val="002176AE"/>
    <w:rsid w:val="00217D51"/>
    <w:rsid w:val="00217F3F"/>
    <w:rsid w:val="00220650"/>
    <w:rsid w:val="00220701"/>
    <w:rsid w:val="00220783"/>
    <w:rsid w:val="002207C2"/>
    <w:rsid w:val="00220A22"/>
    <w:rsid w:val="00220DEF"/>
    <w:rsid w:val="002212B4"/>
    <w:rsid w:val="002213A8"/>
    <w:rsid w:val="00221554"/>
    <w:rsid w:val="00221916"/>
    <w:rsid w:val="0022198F"/>
    <w:rsid w:val="002223EF"/>
    <w:rsid w:val="0022275E"/>
    <w:rsid w:val="00222AFA"/>
    <w:rsid w:val="00222BFF"/>
    <w:rsid w:val="0022316F"/>
    <w:rsid w:val="002233BE"/>
    <w:rsid w:val="00223A81"/>
    <w:rsid w:val="00223C88"/>
    <w:rsid w:val="00223D5E"/>
    <w:rsid w:val="00224524"/>
    <w:rsid w:val="00224607"/>
    <w:rsid w:val="0022477F"/>
    <w:rsid w:val="0022487A"/>
    <w:rsid w:val="00225452"/>
    <w:rsid w:val="002255D3"/>
    <w:rsid w:val="00225C14"/>
    <w:rsid w:val="00225DD7"/>
    <w:rsid w:val="00225FFE"/>
    <w:rsid w:val="00226461"/>
    <w:rsid w:val="00226494"/>
    <w:rsid w:val="00226705"/>
    <w:rsid w:val="0022727C"/>
    <w:rsid w:val="00227379"/>
    <w:rsid w:val="0022751C"/>
    <w:rsid w:val="002275B4"/>
    <w:rsid w:val="00227A0F"/>
    <w:rsid w:val="00227A5A"/>
    <w:rsid w:val="002300C8"/>
    <w:rsid w:val="00230582"/>
    <w:rsid w:val="00231115"/>
    <w:rsid w:val="00231394"/>
    <w:rsid w:val="00231A5A"/>
    <w:rsid w:val="00231C77"/>
    <w:rsid w:val="00231CC6"/>
    <w:rsid w:val="00231E05"/>
    <w:rsid w:val="00232839"/>
    <w:rsid w:val="00232DE9"/>
    <w:rsid w:val="00232F25"/>
    <w:rsid w:val="002331F8"/>
    <w:rsid w:val="002338CF"/>
    <w:rsid w:val="00233C89"/>
    <w:rsid w:val="00233DB5"/>
    <w:rsid w:val="002341E3"/>
    <w:rsid w:val="002345F4"/>
    <w:rsid w:val="00234A05"/>
    <w:rsid w:val="00234E0F"/>
    <w:rsid w:val="00235031"/>
    <w:rsid w:val="00235179"/>
    <w:rsid w:val="00235246"/>
    <w:rsid w:val="0023540F"/>
    <w:rsid w:val="002354BA"/>
    <w:rsid w:val="00235575"/>
    <w:rsid w:val="00235BFE"/>
    <w:rsid w:val="00235E70"/>
    <w:rsid w:val="00236133"/>
    <w:rsid w:val="00236378"/>
    <w:rsid w:val="0023643C"/>
    <w:rsid w:val="002364BA"/>
    <w:rsid w:val="00236514"/>
    <w:rsid w:val="0023687A"/>
    <w:rsid w:val="0023724C"/>
    <w:rsid w:val="00237880"/>
    <w:rsid w:val="00237AA9"/>
    <w:rsid w:val="0024132F"/>
    <w:rsid w:val="00241896"/>
    <w:rsid w:val="00241904"/>
    <w:rsid w:val="00241944"/>
    <w:rsid w:val="00241D47"/>
    <w:rsid w:val="00242586"/>
    <w:rsid w:val="00243015"/>
    <w:rsid w:val="002430EB"/>
    <w:rsid w:val="0024315F"/>
    <w:rsid w:val="002433ED"/>
    <w:rsid w:val="002436F3"/>
    <w:rsid w:val="00243AFE"/>
    <w:rsid w:val="00243BEF"/>
    <w:rsid w:val="00243EF7"/>
    <w:rsid w:val="002446FF"/>
    <w:rsid w:val="00244F0B"/>
    <w:rsid w:val="00244F42"/>
    <w:rsid w:val="00245198"/>
    <w:rsid w:val="0024549C"/>
    <w:rsid w:val="0024553B"/>
    <w:rsid w:val="002456FC"/>
    <w:rsid w:val="00245B70"/>
    <w:rsid w:val="00245E03"/>
    <w:rsid w:val="00245F3D"/>
    <w:rsid w:val="002462A9"/>
    <w:rsid w:val="0024659C"/>
    <w:rsid w:val="002467A4"/>
    <w:rsid w:val="002467B5"/>
    <w:rsid w:val="00246B98"/>
    <w:rsid w:val="002475E6"/>
    <w:rsid w:val="00247B70"/>
    <w:rsid w:val="00247BDD"/>
    <w:rsid w:val="00247E78"/>
    <w:rsid w:val="0025011D"/>
    <w:rsid w:val="0025018C"/>
    <w:rsid w:val="00250856"/>
    <w:rsid w:val="00250A56"/>
    <w:rsid w:val="00250D4A"/>
    <w:rsid w:val="002510EC"/>
    <w:rsid w:val="00251528"/>
    <w:rsid w:val="00251534"/>
    <w:rsid w:val="00251DD8"/>
    <w:rsid w:val="002524E4"/>
    <w:rsid w:val="002525D9"/>
    <w:rsid w:val="00252C62"/>
    <w:rsid w:val="00252CAA"/>
    <w:rsid w:val="00253CF1"/>
    <w:rsid w:val="00253E92"/>
    <w:rsid w:val="0025409E"/>
    <w:rsid w:val="0025471C"/>
    <w:rsid w:val="002547D5"/>
    <w:rsid w:val="00254966"/>
    <w:rsid w:val="00254ABB"/>
    <w:rsid w:val="002553D7"/>
    <w:rsid w:val="00255686"/>
    <w:rsid w:val="00255FC9"/>
    <w:rsid w:val="00256606"/>
    <w:rsid w:val="00256677"/>
    <w:rsid w:val="002566E4"/>
    <w:rsid w:val="00256865"/>
    <w:rsid w:val="00256977"/>
    <w:rsid w:val="00256C3F"/>
    <w:rsid w:val="00256F47"/>
    <w:rsid w:val="002572A7"/>
    <w:rsid w:val="00257822"/>
    <w:rsid w:val="002578F6"/>
    <w:rsid w:val="00257D27"/>
    <w:rsid w:val="00257E31"/>
    <w:rsid w:val="00257F6A"/>
    <w:rsid w:val="00260045"/>
    <w:rsid w:val="0026053A"/>
    <w:rsid w:val="00261175"/>
    <w:rsid w:val="002614BD"/>
    <w:rsid w:val="0026192E"/>
    <w:rsid w:val="0026231F"/>
    <w:rsid w:val="00263482"/>
    <w:rsid w:val="002640B8"/>
    <w:rsid w:val="0026414D"/>
    <w:rsid w:val="002641B6"/>
    <w:rsid w:val="002642CA"/>
    <w:rsid w:val="00264337"/>
    <w:rsid w:val="00264D04"/>
    <w:rsid w:val="00265692"/>
    <w:rsid w:val="00265C2A"/>
    <w:rsid w:val="00265D7B"/>
    <w:rsid w:val="00266192"/>
    <w:rsid w:val="00266348"/>
    <w:rsid w:val="00266D6E"/>
    <w:rsid w:val="00267341"/>
    <w:rsid w:val="00267351"/>
    <w:rsid w:val="00267367"/>
    <w:rsid w:val="0026736F"/>
    <w:rsid w:val="002675AA"/>
    <w:rsid w:val="002675C1"/>
    <w:rsid w:val="002675D6"/>
    <w:rsid w:val="00267749"/>
    <w:rsid w:val="002678CC"/>
    <w:rsid w:val="00267C3F"/>
    <w:rsid w:val="00270191"/>
    <w:rsid w:val="002707A9"/>
    <w:rsid w:val="00270B16"/>
    <w:rsid w:val="00270B8C"/>
    <w:rsid w:val="00270DAA"/>
    <w:rsid w:val="00270F92"/>
    <w:rsid w:val="00271233"/>
    <w:rsid w:val="0027171A"/>
    <w:rsid w:val="00271C5E"/>
    <w:rsid w:val="00271DDB"/>
    <w:rsid w:val="00271E6C"/>
    <w:rsid w:val="0027218C"/>
    <w:rsid w:val="002721A8"/>
    <w:rsid w:val="0027220C"/>
    <w:rsid w:val="00272740"/>
    <w:rsid w:val="00272C5D"/>
    <w:rsid w:val="00272E95"/>
    <w:rsid w:val="0027304B"/>
    <w:rsid w:val="0027321C"/>
    <w:rsid w:val="002732FA"/>
    <w:rsid w:val="00274181"/>
    <w:rsid w:val="0027450B"/>
    <w:rsid w:val="00274545"/>
    <w:rsid w:val="00274FFC"/>
    <w:rsid w:val="002760A1"/>
    <w:rsid w:val="002762C1"/>
    <w:rsid w:val="00276413"/>
    <w:rsid w:val="002765B0"/>
    <w:rsid w:val="0027668A"/>
    <w:rsid w:val="00276828"/>
    <w:rsid w:val="00276C35"/>
    <w:rsid w:val="00276CB2"/>
    <w:rsid w:val="00276DD8"/>
    <w:rsid w:val="0027770C"/>
    <w:rsid w:val="00277988"/>
    <w:rsid w:val="00277EB5"/>
    <w:rsid w:val="002801CE"/>
    <w:rsid w:val="002806D3"/>
    <w:rsid w:val="002807EA"/>
    <w:rsid w:val="00281529"/>
    <w:rsid w:val="002819BA"/>
    <w:rsid w:val="00281A04"/>
    <w:rsid w:val="00282030"/>
    <w:rsid w:val="00282260"/>
    <w:rsid w:val="0028255E"/>
    <w:rsid w:val="0028256A"/>
    <w:rsid w:val="0028263C"/>
    <w:rsid w:val="00282E78"/>
    <w:rsid w:val="00282FF0"/>
    <w:rsid w:val="0028377F"/>
    <w:rsid w:val="00283879"/>
    <w:rsid w:val="00283A36"/>
    <w:rsid w:val="00283BF6"/>
    <w:rsid w:val="00283D3C"/>
    <w:rsid w:val="00283FDC"/>
    <w:rsid w:val="0028429A"/>
    <w:rsid w:val="00284436"/>
    <w:rsid w:val="00284902"/>
    <w:rsid w:val="00285464"/>
    <w:rsid w:val="00285AAF"/>
    <w:rsid w:val="00285AB1"/>
    <w:rsid w:val="00285AD4"/>
    <w:rsid w:val="00285DEC"/>
    <w:rsid w:val="00285F28"/>
    <w:rsid w:val="00286276"/>
    <w:rsid w:val="00286A52"/>
    <w:rsid w:val="00287582"/>
    <w:rsid w:val="00287A79"/>
    <w:rsid w:val="00287EDC"/>
    <w:rsid w:val="002901BB"/>
    <w:rsid w:val="00290A26"/>
    <w:rsid w:val="00290B39"/>
    <w:rsid w:val="00290E4B"/>
    <w:rsid w:val="0029127C"/>
    <w:rsid w:val="00291423"/>
    <w:rsid w:val="00291470"/>
    <w:rsid w:val="002919E7"/>
    <w:rsid w:val="00291C1E"/>
    <w:rsid w:val="00291C31"/>
    <w:rsid w:val="0029255E"/>
    <w:rsid w:val="00292606"/>
    <w:rsid w:val="00292A22"/>
    <w:rsid w:val="00292C02"/>
    <w:rsid w:val="00292CC5"/>
    <w:rsid w:val="0029326B"/>
    <w:rsid w:val="00293640"/>
    <w:rsid w:val="00293B20"/>
    <w:rsid w:val="00293DD6"/>
    <w:rsid w:val="00293EA7"/>
    <w:rsid w:val="0029404A"/>
    <w:rsid w:val="002940E0"/>
    <w:rsid w:val="00294390"/>
    <w:rsid w:val="00294477"/>
    <w:rsid w:val="002948DB"/>
    <w:rsid w:val="00294C29"/>
    <w:rsid w:val="00294F84"/>
    <w:rsid w:val="002952FF"/>
    <w:rsid w:val="002954A7"/>
    <w:rsid w:val="002958C3"/>
    <w:rsid w:val="00295A0E"/>
    <w:rsid w:val="00295D3D"/>
    <w:rsid w:val="00296940"/>
    <w:rsid w:val="00296AE6"/>
    <w:rsid w:val="00297004"/>
    <w:rsid w:val="002978AE"/>
    <w:rsid w:val="00297F0C"/>
    <w:rsid w:val="002A0223"/>
    <w:rsid w:val="002A0487"/>
    <w:rsid w:val="002A0492"/>
    <w:rsid w:val="002A05B1"/>
    <w:rsid w:val="002A0874"/>
    <w:rsid w:val="002A087D"/>
    <w:rsid w:val="002A19D9"/>
    <w:rsid w:val="002A1BF1"/>
    <w:rsid w:val="002A1DCB"/>
    <w:rsid w:val="002A1F71"/>
    <w:rsid w:val="002A250F"/>
    <w:rsid w:val="002A288A"/>
    <w:rsid w:val="002A28C2"/>
    <w:rsid w:val="002A2A37"/>
    <w:rsid w:val="002A2A64"/>
    <w:rsid w:val="002A2E4A"/>
    <w:rsid w:val="002A3967"/>
    <w:rsid w:val="002A39A0"/>
    <w:rsid w:val="002A3C1C"/>
    <w:rsid w:val="002A4B0C"/>
    <w:rsid w:val="002A4DB3"/>
    <w:rsid w:val="002A4F27"/>
    <w:rsid w:val="002A4FA3"/>
    <w:rsid w:val="002A50D0"/>
    <w:rsid w:val="002A5303"/>
    <w:rsid w:val="002A5E6D"/>
    <w:rsid w:val="002A62D2"/>
    <w:rsid w:val="002A6373"/>
    <w:rsid w:val="002A64DB"/>
    <w:rsid w:val="002A68BA"/>
    <w:rsid w:val="002A6979"/>
    <w:rsid w:val="002A6B6F"/>
    <w:rsid w:val="002A6DD8"/>
    <w:rsid w:val="002A7A7D"/>
    <w:rsid w:val="002A7B65"/>
    <w:rsid w:val="002A7DFB"/>
    <w:rsid w:val="002B04A5"/>
    <w:rsid w:val="002B05F1"/>
    <w:rsid w:val="002B09AA"/>
    <w:rsid w:val="002B0B8B"/>
    <w:rsid w:val="002B0DC9"/>
    <w:rsid w:val="002B0FBF"/>
    <w:rsid w:val="002B1722"/>
    <w:rsid w:val="002B1960"/>
    <w:rsid w:val="002B196F"/>
    <w:rsid w:val="002B199A"/>
    <w:rsid w:val="002B1C4F"/>
    <w:rsid w:val="002B1D4D"/>
    <w:rsid w:val="002B28D7"/>
    <w:rsid w:val="002B2A64"/>
    <w:rsid w:val="002B2BD4"/>
    <w:rsid w:val="002B2F43"/>
    <w:rsid w:val="002B3448"/>
    <w:rsid w:val="002B3752"/>
    <w:rsid w:val="002B38A3"/>
    <w:rsid w:val="002B3C64"/>
    <w:rsid w:val="002B4714"/>
    <w:rsid w:val="002B51D0"/>
    <w:rsid w:val="002B563A"/>
    <w:rsid w:val="002B59E4"/>
    <w:rsid w:val="002B5F56"/>
    <w:rsid w:val="002B663C"/>
    <w:rsid w:val="002B71FB"/>
    <w:rsid w:val="002B75BA"/>
    <w:rsid w:val="002B7690"/>
    <w:rsid w:val="002B77E7"/>
    <w:rsid w:val="002B7978"/>
    <w:rsid w:val="002B7B2A"/>
    <w:rsid w:val="002B7B45"/>
    <w:rsid w:val="002C0050"/>
    <w:rsid w:val="002C0296"/>
    <w:rsid w:val="002C0624"/>
    <w:rsid w:val="002C068D"/>
    <w:rsid w:val="002C0714"/>
    <w:rsid w:val="002C0AE9"/>
    <w:rsid w:val="002C0B29"/>
    <w:rsid w:val="002C0B91"/>
    <w:rsid w:val="002C0EB2"/>
    <w:rsid w:val="002C192F"/>
    <w:rsid w:val="002C20D5"/>
    <w:rsid w:val="002C2696"/>
    <w:rsid w:val="002C2866"/>
    <w:rsid w:val="002C330D"/>
    <w:rsid w:val="002C3830"/>
    <w:rsid w:val="002C3A3C"/>
    <w:rsid w:val="002C3B13"/>
    <w:rsid w:val="002C3BC8"/>
    <w:rsid w:val="002C4247"/>
    <w:rsid w:val="002C4742"/>
    <w:rsid w:val="002C49E9"/>
    <w:rsid w:val="002C54D8"/>
    <w:rsid w:val="002C600B"/>
    <w:rsid w:val="002C613B"/>
    <w:rsid w:val="002C6455"/>
    <w:rsid w:val="002C6EA3"/>
    <w:rsid w:val="002C71A9"/>
    <w:rsid w:val="002C79D3"/>
    <w:rsid w:val="002C7E7E"/>
    <w:rsid w:val="002D08DB"/>
    <w:rsid w:val="002D0D17"/>
    <w:rsid w:val="002D0D60"/>
    <w:rsid w:val="002D0FBB"/>
    <w:rsid w:val="002D101F"/>
    <w:rsid w:val="002D2069"/>
    <w:rsid w:val="002D2580"/>
    <w:rsid w:val="002D290C"/>
    <w:rsid w:val="002D38C4"/>
    <w:rsid w:val="002D4227"/>
    <w:rsid w:val="002D435D"/>
    <w:rsid w:val="002D43B0"/>
    <w:rsid w:val="002D4C40"/>
    <w:rsid w:val="002D4EE7"/>
    <w:rsid w:val="002D5538"/>
    <w:rsid w:val="002D556B"/>
    <w:rsid w:val="002D5C0F"/>
    <w:rsid w:val="002D5CB8"/>
    <w:rsid w:val="002D6080"/>
    <w:rsid w:val="002D688C"/>
    <w:rsid w:val="002D7333"/>
    <w:rsid w:val="002D75F7"/>
    <w:rsid w:val="002E057A"/>
    <w:rsid w:val="002E05CA"/>
    <w:rsid w:val="002E077C"/>
    <w:rsid w:val="002E0912"/>
    <w:rsid w:val="002E0F52"/>
    <w:rsid w:val="002E1007"/>
    <w:rsid w:val="002E1257"/>
    <w:rsid w:val="002E1CAA"/>
    <w:rsid w:val="002E2C6D"/>
    <w:rsid w:val="002E2F52"/>
    <w:rsid w:val="002E303D"/>
    <w:rsid w:val="002E4623"/>
    <w:rsid w:val="002E47E3"/>
    <w:rsid w:val="002E4A95"/>
    <w:rsid w:val="002E503C"/>
    <w:rsid w:val="002E54AA"/>
    <w:rsid w:val="002E5846"/>
    <w:rsid w:val="002E5E56"/>
    <w:rsid w:val="002E5F4D"/>
    <w:rsid w:val="002E5F9B"/>
    <w:rsid w:val="002E6849"/>
    <w:rsid w:val="002E6984"/>
    <w:rsid w:val="002E69F1"/>
    <w:rsid w:val="002E72BE"/>
    <w:rsid w:val="002E753B"/>
    <w:rsid w:val="002E7A05"/>
    <w:rsid w:val="002E7A52"/>
    <w:rsid w:val="002E7A87"/>
    <w:rsid w:val="002E7C13"/>
    <w:rsid w:val="002F099A"/>
    <w:rsid w:val="002F0B8C"/>
    <w:rsid w:val="002F0BCC"/>
    <w:rsid w:val="002F1409"/>
    <w:rsid w:val="002F15A2"/>
    <w:rsid w:val="002F1618"/>
    <w:rsid w:val="002F1987"/>
    <w:rsid w:val="002F1E47"/>
    <w:rsid w:val="002F1EF8"/>
    <w:rsid w:val="002F2725"/>
    <w:rsid w:val="002F2A33"/>
    <w:rsid w:val="002F2AAE"/>
    <w:rsid w:val="002F2C9C"/>
    <w:rsid w:val="002F2EFD"/>
    <w:rsid w:val="002F3ADF"/>
    <w:rsid w:val="002F3D51"/>
    <w:rsid w:val="002F3F07"/>
    <w:rsid w:val="002F467A"/>
    <w:rsid w:val="002F4E7F"/>
    <w:rsid w:val="002F4FA3"/>
    <w:rsid w:val="002F4FFE"/>
    <w:rsid w:val="002F51D7"/>
    <w:rsid w:val="002F52C1"/>
    <w:rsid w:val="002F5B41"/>
    <w:rsid w:val="002F626B"/>
    <w:rsid w:val="002F626F"/>
    <w:rsid w:val="002F66E7"/>
    <w:rsid w:val="002F75B0"/>
    <w:rsid w:val="002F7624"/>
    <w:rsid w:val="002F77AF"/>
    <w:rsid w:val="002F792D"/>
    <w:rsid w:val="003009B6"/>
    <w:rsid w:val="00300FCB"/>
    <w:rsid w:val="0030100B"/>
    <w:rsid w:val="00301296"/>
    <w:rsid w:val="00301C4B"/>
    <w:rsid w:val="00301F57"/>
    <w:rsid w:val="0030249E"/>
    <w:rsid w:val="00302827"/>
    <w:rsid w:val="003029D5"/>
    <w:rsid w:val="003030A3"/>
    <w:rsid w:val="0030352A"/>
    <w:rsid w:val="00303FA8"/>
    <w:rsid w:val="00303FB9"/>
    <w:rsid w:val="00304A2F"/>
    <w:rsid w:val="00304C90"/>
    <w:rsid w:val="00304FED"/>
    <w:rsid w:val="003050D4"/>
    <w:rsid w:val="00305258"/>
    <w:rsid w:val="003054FE"/>
    <w:rsid w:val="00305756"/>
    <w:rsid w:val="00305A97"/>
    <w:rsid w:val="00305E4E"/>
    <w:rsid w:val="0030675A"/>
    <w:rsid w:val="00306A57"/>
    <w:rsid w:val="00306BD8"/>
    <w:rsid w:val="00306BE2"/>
    <w:rsid w:val="00307754"/>
    <w:rsid w:val="00307921"/>
    <w:rsid w:val="00310392"/>
    <w:rsid w:val="00310B11"/>
    <w:rsid w:val="00311344"/>
    <w:rsid w:val="00311368"/>
    <w:rsid w:val="003113A8"/>
    <w:rsid w:val="00311519"/>
    <w:rsid w:val="00311CE6"/>
    <w:rsid w:val="00311D97"/>
    <w:rsid w:val="0031204E"/>
    <w:rsid w:val="003120BA"/>
    <w:rsid w:val="00312130"/>
    <w:rsid w:val="00312206"/>
    <w:rsid w:val="00312F8F"/>
    <w:rsid w:val="0031304F"/>
    <w:rsid w:val="0031358B"/>
    <w:rsid w:val="003137B3"/>
    <w:rsid w:val="00313F77"/>
    <w:rsid w:val="0031444B"/>
    <w:rsid w:val="003144BE"/>
    <w:rsid w:val="003144EA"/>
    <w:rsid w:val="00314A46"/>
    <w:rsid w:val="0031522C"/>
    <w:rsid w:val="00315902"/>
    <w:rsid w:val="00316431"/>
    <w:rsid w:val="003166E2"/>
    <w:rsid w:val="00316AF1"/>
    <w:rsid w:val="003177AD"/>
    <w:rsid w:val="00317A7F"/>
    <w:rsid w:val="00317BDC"/>
    <w:rsid w:val="00317DAC"/>
    <w:rsid w:val="0032040F"/>
    <w:rsid w:val="00320ACA"/>
    <w:rsid w:val="00320E7C"/>
    <w:rsid w:val="00320F17"/>
    <w:rsid w:val="00321EA7"/>
    <w:rsid w:val="00322802"/>
    <w:rsid w:val="00322960"/>
    <w:rsid w:val="00322FE3"/>
    <w:rsid w:val="00323647"/>
    <w:rsid w:val="0032398C"/>
    <w:rsid w:val="003239A6"/>
    <w:rsid w:val="003241AC"/>
    <w:rsid w:val="003241C5"/>
    <w:rsid w:val="0032473E"/>
    <w:rsid w:val="00324A75"/>
    <w:rsid w:val="00324E49"/>
    <w:rsid w:val="003251AB"/>
    <w:rsid w:val="00325256"/>
    <w:rsid w:val="00325586"/>
    <w:rsid w:val="00325826"/>
    <w:rsid w:val="00326076"/>
    <w:rsid w:val="00326266"/>
    <w:rsid w:val="00326B99"/>
    <w:rsid w:val="00326D46"/>
    <w:rsid w:val="00326E19"/>
    <w:rsid w:val="0032756B"/>
    <w:rsid w:val="0033025F"/>
    <w:rsid w:val="003302B2"/>
    <w:rsid w:val="003303C0"/>
    <w:rsid w:val="00330475"/>
    <w:rsid w:val="00330AD3"/>
    <w:rsid w:val="00330ADF"/>
    <w:rsid w:val="00331658"/>
    <w:rsid w:val="003319A5"/>
    <w:rsid w:val="003328DC"/>
    <w:rsid w:val="00333332"/>
    <w:rsid w:val="00333BF6"/>
    <w:rsid w:val="00334323"/>
    <w:rsid w:val="003344ED"/>
    <w:rsid w:val="00334778"/>
    <w:rsid w:val="00334CBF"/>
    <w:rsid w:val="003356B5"/>
    <w:rsid w:val="00335856"/>
    <w:rsid w:val="00335D0A"/>
    <w:rsid w:val="00335FF6"/>
    <w:rsid w:val="0033634F"/>
    <w:rsid w:val="00336581"/>
    <w:rsid w:val="003365E8"/>
    <w:rsid w:val="003368E5"/>
    <w:rsid w:val="00336A5B"/>
    <w:rsid w:val="00336BE7"/>
    <w:rsid w:val="00336EFE"/>
    <w:rsid w:val="0033757F"/>
    <w:rsid w:val="003376DA"/>
    <w:rsid w:val="00337781"/>
    <w:rsid w:val="003377BB"/>
    <w:rsid w:val="00337DA8"/>
    <w:rsid w:val="003402B8"/>
    <w:rsid w:val="003402FC"/>
    <w:rsid w:val="003403BA"/>
    <w:rsid w:val="00340A89"/>
    <w:rsid w:val="00340DE5"/>
    <w:rsid w:val="003410C7"/>
    <w:rsid w:val="003410F9"/>
    <w:rsid w:val="003412D8"/>
    <w:rsid w:val="003415F3"/>
    <w:rsid w:val="00341EB7"/>
    <w:rsid w:val="003420EA"/>
    <w:rsid w:val="00342B48"/>
    <w:rsid w:val="00343554"/>
    <w:rsid w:val="00343699"/>
    <w:rsid w:val="00343B57"/>
    <w:rsid w:val="00343BB3"/>
    <w:rsid w:val="00344585"/>
    <w:rsid w:val="0034461A"/>
    <w:rsid w:val="00344635"/>
    <w:rsid w:val="00344701"/>
    <w:rsid w:val="00345145"/>
    <w:rsid w:val="003455ED"/>
    <w:rsid w:val="003456C2"/>
    <w:rsid w:val="00345E6F"/>
    <w:rsid w:val="0034601E"/>
    <w:rsid w:val="00346474"/>
    <w:rsid w:val="00346558"/>
    <w:rsid w:val="00346698"/>
    <w:rsid w:val="0034675B"/>
    <w:rsid w:val="00347F45"/>
    <w:rsid w:val="0035020C"/>
    <w:rsid w:val="00350A20"/>
    <w:rsid w:val="00351F06"/>
    <w:rsid w:val="00352162"/>
    <w:rsid w:val="00352285"/>
    <w:rsid w:val="00352AC1"/>
    <w:rsid w:val="00352D3A"/>
    <w:rsid w:val="003530F1"/>
    <w:rsid w:val="00353DA0"/>
    <w:rsid w:val="00353DB9"/>
    <w:rsid w:val="0035422D"/>
    <w:rsid w:val="0035494E"/>
    <w:rsid w:val="003549C4"/>
    <w:rsid w:val="00354D39"/>
    <w:rsid w:val="0035542E"/>
    <w:rsid w:val="00355650"/>
    <w:rsid w:val="00355C28"/>
    <w:rsid w:val="00355FCF"/>
    <w:rsid w:val="0035619F"/>
    <w:rsid w:val="00356A29"/>
    <w:rsid w:val="00356D6E"/>
    <w:rsid w:val="003575D5"/>
    <w:rsid w:val="0035765F"/>
    <w:rsid w:val="0035772F"/>
    <w:rsid w:val="00357754"/>
    <w:rsid w:val="00357C00"/>
    <w:rsid w:val="00357DFA"/>
    <w:rsid w:val="00360146"/>
    <w:rsid w:val="0036022F"/>
    <w:rsid w:val="0036032B"/>
    <w:rsid w:val="00360464"/>
    <w:rsid w:val="003605C8"/>
    <w:rsid w:val="003605D8"/>
    <w:rsid w:val="00360936"/>
    <w:rsid w:val="00360CE2"/>
    <w:rsid w:val="00360E18"/>
    <w:rsid w:val="00360E5B"/>
    <w:rsid w:val="00360EBA"/>
    <w:rsid w:val="00361575"/>
    <w:rsid w:val="00361587"/>
    <w:rsid w:val="003619F6"/>
    <w:rsid w:val="00362349"/>
    <w:rsid w:val="00363251"/>
    <w:rsid w:val="00363A9A"/>
    <w:rsid w:val="00363BE6"/>
    <w:rsid w:val="0036431C"/>
    <w:rsid w:val="003645D5"/>
    <w:rsid w:val="003646DA"/>
    <w:rsid w:val="00364A1B"/>
    <w:rsid w:val="0036535B"/>
    <w:rsid w:val="003659E8"/>
    <w:rsid w:val="00366142"/>
    <w:rsid w:val="00366645"/>
    <w:rsid w:val="00366C3A"/>
    <w:rsid w:val="00367186"/>
    <w:rsid w:val="00367B8A"/>
    <w:rsid w:val="003700CF"/>
    <w:rsid w:val="003701E1"/>
    <w:rsid w:val="00370593"/>
    <w:rsid w:val="0037070F"/>
    <w:rsid w:val="00370E23"/>
    <w:rsid w:val="003711A1"/>
    <w:rsid w:val="0037164A"/>
    <w:rsid w:val="00371CB6"/>
    <w:rsid w:val="00371ECE"/>
    <w:rsid w:val="00371F43"/>
    <w:rsid w:val="0037204D"/>
    <w:rsid w:val="0037253B"/>
    <w:rsid w:val="00372A8E"/>
    <w:rsid w:val="00372D4E"/>
    <w:rsid w:val="00372E0D"/>
    <w:rsid w:val="003732D9"/>
    <w:rsid w:val="0037385E"/>
    <w:rsid w:val="00373C43"/>
    <w:rsid w:val="00373F06"/>
    <w:rsid w:val="0037402F"/>
    <w:rsid w:val="00374877"/>
    <w:rsid w:val="00374A9B"/>
    <w:rsid w:val="00374CF9"/>
    <w:rsid w:val="00374D36"/>
    <w:rsid w:val="003750E7"/>
    <w:rsid w:val="0037538C"/>
    <w:rsid w:val="0037580A"/>
    <w:rsid w:val="00375AD3"/>
    <w:rsid w:val="00375BBB"/>
    <w:rsid w:val="00375E99"/>
    <w:rsid w:val="00376132"/>
    <w:rsid w:val="0037639D"/>
    <w:rsid w:val="003765A3"/>
    <w:rsid w:val="003765AA"/>
    <w:rsid w:val="00376B3F"/>
    <w:rsid w:val="00376B6A"/>
    <w:rsid w:val="00376C88"/>
    <w:rsid w:val="00376DF7"/>
    <w:rsid w:val="00377AF5"/>
    <w:rsid w:val="00377C98"/>
    <w:rsid w:val="003808C8"/>
    <w:rsid w:val="00380BFD"/>
    <w:rsid w:val="00380D80"/>
    <w:rsid w:val="003814CD"/>
    <w:rsid w:val="00381DE6"/>
    <w:rsid w:val="00382231"/>
    <w:rsid w:val="003827D2"/>
    <w:rsid w:val="003827F4"/>
    <w:rsid w:val="003828C3"/>
    <w:rsid w:val="003829D4"/>
    <w:rsid w:val="00382B72"/>
    <w:rsid w:val="00382D86"/>
    <w:rsid w:val="00382DDD"/>
    <w:rsid w:val="0038307D"/>
    <w:rsid w:val="003830B7"/>
    <w:rsid w:val="00383439"/>
    <w:rsid w:val="00383AC4"/>
    <w:rsid w:val="00383C22"/>
    <w:rsid w:val="00383CD9"/>
    <w:rsid w:val="00383D2A"/>
    <w:rsid w:val="00384581"/>
    <w:rsid w:val="0038476A"/>
    <w:rsid w:val="00384908"/>
    <w:rsid w:val="00384A0D"/>
    <w:rsid w:val="00384B79"/>
    <w:rsid w:val="00384DA5"/>
    <w:rsid w:val="00385479"/>
    <w:rsid w:val="00385B7F"/>
    <w:rsid w:val="00385C4E"/>
    <w:rsid w:val="00385CDA"/>
    <w:rsid w:val="00385F61"/>
    <w:rsid w:val="003860AA"/>
    <w:rsid w:val="003861FF"/>
    <w:rsid w:val="00386E07"/>
    <w:rsid w:val="003870C8"/>
    <w:rsid w:val="0038720F"/>
    <w:rsid w:val="003872B4"/>
    <w:rsid w:val="003873FF"/>
    <w:rsid w:val="003877A2"/>
    <w:rsid w:val="003877C8"/>
    <w:rsid w:val="00387971"/>
    <w:rsid w:val="00387AE5"/>
    <w:rsid w:val="00387B85"/>
    <w:rsid w:val="00387CE0"/>
    <w:rsid w:val="00387D63"/>
    <w:rsid w:val="0039046A"/>
    <w:rsid w:val="003905FA"/>
    <w:rsid w:val="0039092A"/>
    <w:rsid w:val="003909F3"/>
    <w:rsid w:val="00390DB7"/>
    <w:rsid w:val="0039100C"/>
    <w:rsid w:val="00391416"/>
    <w:rsid w:val="003917E3"/>
    <w:rsid w:val="00391A0C"/>
    <w:rsid w:val="00391D4E"/>
    <w:rsid w:val="00392363"/>
    <w:rsid w:val="00392903"/>
    <w:rsid w:val="0039386F"/>
    <w:rsid w:val="00393A41"/>
    <w:rsid w:val="00393A9E"/>
    <w:rsid w:val="00393CB5"/>
    <w:rsid w:val="00393CFB"/>
    <w:rsid w:val="00393EB8"/>
    <w:rsid w:val="0039420C"/>
    <w:rsid w:val="00394BEF"/>
    <w:rsid w:val="00394CDE"/>
    <w:rsid w:val="00394D92"/>
    <w:rsid w:val="00395929"/>
    <w:rsid w:val="00395A7F"/>
    <w:rsid w:val="00395C82"/>
    <w:rsid w:val="003963DB"/>
    <w:rsid w:val="003964DC"/>
    <w:rsid w:val="0039675F"/>
    <w:rsid w:val="00396DF3"/>
    <w:rsid w:val="00396FC3"/>
    <w:rsid w:val="003973C7"/>
    <w:rsid w:val="003974CD"/>
    <w:rsid w:val="0039780F"/>
    <w:rsid w:val="00397CBC"/>
    <w:rsid w:val="00397E31"/>
    <w:rsid w:val="00397EE5"/>
    <w:rsid w:val="00397EEB"/>
    <w:rsid w:val="003A05A4"/>
    <w:rsid w:val="003A0A5D"/>
    <w:rsid w:val="003A0AB9"/>
    <w:rsid w:val="003A151D"/>
    <w:rsid w:val="003A1822"/>
    <w:rsid w:val="003A1A7A"/>
    <w:rsid w:val="003A1C0B"/>
    <w:rsid w:val="003A1D14"/>
    <w:rsid w:val="003A1D1E"/>
    <w:rsid w:val="003A1E61"/>
    <w:rsid w:val="003A2336"/>
    <w:rsid w:val="003A254B"/>
    <w:rsid w:val="003A2732"/>
    <w:rsid w:val="003A2754"/>
    <w:rsid w:val="003A27E7"/>
    <w:rsid w:val="003A284D"/>
    <w:rsid w:val="003A2F9D"/>
    <w:rsid w:val="003A3062"/>
    <w:rsid w:val="003A30BA"/>
    <w:rsid w:val="003A34A2"/>
    <w:rsid w:val="003A3CB5"/>
    <w:rsid w:val="003A4037"/>
    <w:rsid w:val="003A4571"/>
    <w:rsid w:val="003A4703"/>
    <w:rsid w:val="003A5190"/>
    <w:rsid w:val="003A5209"/>
    <w:rsid w:val="003A5325"/>
    <w:rsid w:val="003A5665"/>
    <w:rsid w:val="003A6131"/>
    <w:rsid w:val="003A6293"/>
    <w:rsid w:val="003A64DA"/>
    <w:rsid w:val="003A67CD"/>
    <w:rsid w:val="003A682B"/>
    <w:rsid w:val="003A6ED6"/>
    <w:rsid w:val="003A77AD"/>
    <w:rsid w:val="003B02FD"/>
    <w:rsid w:val="003B0E5B"/>
    <w:rsid w:val="003B12FF"/>
    <w:rsid w:val="003B1434"/>
    <w:rsid w:val="003B14B8"/>
    <w:rsid w:val="003B1BEE"/>
    <w:rsid w:val="003B2575"/>
    <w:rsid w:val="003B28A5"/>
    <w:rsid w:val="003B2A44"/>
    <w:rsid w:val="003B2A65"/>
    <w:rsid w:val="003B310A"/>
    <w:rsid w:val="003B35DF"/>
    <w:rsid w:val="003B3C8C"/>
    <w:rsid w:val="003B3F92"/>
    <w:rsid w:val="003B4136"/>
    <w:rsid w:val="003B4473"/>
    <w:rsid w:val="003B459F"/>
    <w:rsid w:val="003B4A61"/>
    <w:rsid w:val="003B4A9A"/>
    <w:rsid w:val="003B4B8A"/>
    <w:rsid w:val="003B4BA8"/>
    <w:rsid w:val="003B577B"/>
    <w:rsid w:val="003B5E88"/>
    <w:rsid w:val="003B5FBB"/>
    <w:rsid w:val="003B5FF1"/>
    <w:rsid w:val="003B6041"/>
    <w:rsid w:val="003B60E3"/>
    <w:rsid w:val="003B6482"/>
    <w:rsid w:val="003B6682"/>
    <w:rsid w:val="003B700A"/>
    <w:rsid w:val="003B73D8"/>
    <w:rsid w:val="003B7457"/>
    <w:rsid w:val="003B7B6E"/>
    <w:rsid w:val="003B7DF9"/>
    <w:rsid w:val="003C0168"/>
    <w:rsid w:val="003C0909"/>
    <w:rsid w:val="003C0ACA"/>
    <w:rsid w:val="003C0B41"/>
    <w:rsid w:val="003C0BFB"/>
    <w:rsid w:val="003C0CAE"/>
    <w:rsid w:val="003C0CE8"/>
    <w:rsid w:val="003C0FFA"/>
    <w:rsid w:val="003C10D0"/>
    <w:rsid w:val="003C1629"/>
    <w:rsid w:val="003C189C"/>
    <w:rsid w:val="003C1E24"/>
    <w:rsid w:val="003C1EA6"/>
    <w:rsid w:val="003C1EB1"/>
    <w:rsid w:val="003C2194"/>
    <w:rsid w:val="003C301C"/>
    <w:rsid w:val="003C3089"/>
    <w:rsid w:val="003C31E0"/>
    <w:rsid w:val="003C32C5"/>
    <w:rsid w:val="003C3EA8"/>
    <w:rsid w:val="003C41C7"/>
    <w:rsid w:val="003C4229"/>
    <w:rsid w:val="003C4443"/>
    <w:rsid w:val="003C4D04"/>
    <w:rsid w:val="003C5534"/>
    <w:rsid w:val="003C56C7"/>
    <w:rsid w:val="003C5A0A"/>
    <w:rsid w:val="003C6480"/>
    <w:rsid w:val="003C655A"/>
    <w:rsid w:val="003C66E6"/>
    <w:rsid w:val="003C6E1C"/>
    <w:rsid w:val="003C77E6"/>
    <w:rsid w:val="003C7848"/>
    <w:rsid w:val="003C7ACA"/>
    <w:rsid w:val="003C7D2F"/>
    <w:rsid w:val="003D03FF"/>
    <w:rsid w:val="003D0EFE"/>
    <w:rsid w:val="003D0FCE"/>
    <w:rsid w:val="003D11E1"/>
    <w:rsid w:val="003D1AB1"/>
    <w:rsid w:val="003D1D3D"/>
    <w:rsid w:val="003D2388"/>
    <w:rsid w:val="003D2795"/>
    <w:rsid w:val="003D2CE3"/>
    <w:rsid w:val="003D2F7A"/>
    <w:rsid w:val="003D34B8"/>
    <w:rsid w:val="003D37A4"/>
    <w:rsid w:val="003D3AEF"/>
    <w:rsid w:val="003D3AF9"/>
    <w:rsid w:val="003D3D6A"/>
    <w:rsid w:val="003D40F1"/>
    <w:rsid w:val="003D44ED"/>
    <w:rsid w:val="003D4530"/>
    <w:rsid w:val="003D50E6"/>
    <w:rsid w:val="003D5210"/>
    <w:rsid w:val="003D5224"/>
    <w:rsid w:val="003D527A"/>
    <w:rsid w:val="003D554E"/>
    <w:rsid w:val="003D5C12"/>
    <w:rsid w:val="003D5F1C"/>
    <w:rsid w:val="003D650A"/>
    <w:rsid w:val="003D66A0"/>
    <w:rsid w:val="003D6EE9"/>
    <w:rsid w:val="003D6F2E"/>
    <w:rsid w:val="003D72B1"/>
    <w:rsid w:val="003D72BC"/>
    <w:rsid w:val="003D7330"/>
    <w:rsid w:val="003D7C84"/>
    <w:rsid w:val="003E0076"/>
    <w:rsid w:val="003E017D"/>
    <w:rsid w:val="003E041C"/>
    <w:rsid w:val="003E04BA"/>
    <w:rsid w:val="003E0539"/>
    <w:rsid w:val="003E098C"/>
    <w:rsid w:val="003E0D24"/>
    <w:rsid w:val="003E1737"/>
    <w:rsid w:val="003E18D7"/>
    <w:rsid w:val="003E1C5A"/>
    <w:rsid w:val="003E1DB5"/>
    <w:rsid w:val="003E290C"/>
    <w:rsid w:val="003E29BF"/>
    <w:rsid w:val="003E2C68"/>
    <w:rsid w:val="003E2FF2"/>
    <w:rsid w:val="003E3144"/>
    <w:rsid w:val="003E39BD"/>
    <w:rsid w:val="003E39CB"/>
    <w:rsid w:val="003E3C93"/>
    <w:rsid w:val="003E3D2B"/>
    <w:rsid w:val="003E3E07"/>
    <w:rsid w:val="003E3F79"/>
    <w:rsid w:val="003E41FF"/>
    <w:rsid w:val="003E44BC"/>
    <w:rsid w:val="003E4B82"/>
    <w:rsid w:val="003E503F"/>
    <w:rsid w:val="003E5204"/>
    <w:rsid w:val="003E54E5"/>
    <w:rsid w:val="003E5818"/>
    <w:rsid w:val="003E5D12"/>
    <w:rsid w:val="003E6597"/>
    <w:rsid w:val="003E6A46"/>
    <w:rsid w:val="003E789E"/>
    <w:rsid w:val="003F01F1"/>
    <w:rsid w:val="003F022F"/>
    <w:rsid w:val="003F02A8"/>
    <w:rsid w:val="003F0435"/>
    <w:rsid w:val="003F044B"/>
    <w:rsid w:val="003F07EC"/>
    <w:rsid w:val="003F0A1E"/>
    <w:rsid w:val="003F0ECB"/>
    <w:rsid w:val="003F1038"/>
    <w:rsid w:val="003F1A0F"/>
    <w:rsid w:val="003F1D13"/>
    <w:rsid w:val="003F1D1A"/>
    <w:rsid w:val="003F25A2"/>
    <w:rsid w:val="003F25B1"/>
    <w:rsid w:val="003F2614"/>
    <w:rsid w:val="003F2B19"/>
    <w:rsid w:val="003F392E"/>
    <w:rsid w:val="003F3A5A"/>
    <w:rsid w:val="003F3B25"/>
    <w:rsid w:val="003F3CE8"/>
    <w:rsid w:val="003F3DC4"/>
    <w:rsid w:val="003F3EDB"/>
    <w:rsid w:val="003F40AE"/>
    <w:rsid w:val="003F484C"/>
    <w:rsid w:val="003F51AB"/>
    <w:rsid w:val="003F5219"/>
    <w:rsid w:val="003F58A7"/>
    <w:rsid w:val="003F6502"/>
    <w:rsid w:val="003F6596"/>
    <w:rsid w:val="003F6F72"/>
    <w:rsid w:val="003F7321"/>
    <w:rsid w:val="003F736F"/>
    <w:rsid w:val="003F7908"/>
    <w:rsid w:val="003F7AC9"/>
    <w:rsid w:val="003F7CDF"/>
    <w:rsid w:val="0040019B"/>
    <w:rsid w:val="004003E6"/>
    <w:rsid w:val="0040139E"/>
    <w:rsid w:val="004027EA"/>
    <w:rsid w:val="00402AE8"/>
    <w:rsid w:val="00402DB5"/>
    <w:rsid w:val="00402EA1"/>
    <w:rsid w:val="004032C8"/>
    <w:rsid w:val="004034BC"/>
    <w:rsid w:val="00403613"/>
    <w:rsid w:val="00403816"/>
    <w:rsid w:val="00403970"/>
    <w:rsid w:val="00403A82"/>
    <w:rsid w:val="00403E79"/>
    <w:rsid w:val="00403E7B"/>
    <w:rsid w:val="00403E7C"/>
    <w:rsid w:val="00404283"/>
    <w:rsid w:val="004042D3"/>
    <w:rsid w:val="00404418"/>
    <w:rsid w:val="00404447"/>
    <w:rsid w:val="00404561"/>
    <w:rsid w:val="004048AC"/>
    <w:rsid w:val="00404BF7"/>
    <w:rsid w:val="00404DCA"/>
    <w:rsid w:val="00404F09"/>
    <w:rsid w:val="004054E4"/>
    <w:rsid w:val="00405651"/>
    <w:rsid w:val="00405D97"/>
    <w:rsid w:val="00405F88"/>
    <w:rsid w:val="00406887"/>
    <w:rsid w:val="0040695C"/>
    <w:rsid w:val="00406A40"/>
    <w:rsid w:val="00406E41"/>
    <w:rsid w:val="00406EA1"/>
    <w:rsid w:val="0040703B"/>
    <w:rsid w:val="004072AE"/>
    <w:rsid w:val="00407483"/>
    <w:rsid w:val="00407612"/>
    <w:rsid w:val="004106A2"/>
    <w:rsid w:val="00410C1A"/>
    <w:rsid w:val="00410E6F"/>
    <w:rsid w:val="00410FD5"/>
    <w:rsid w:val="00411153"/>
    <w:rsid w:val="004111F0"/>
    <w:rsid w:val="004114B7"/>
    <w:rsid w:val="0041172C"/>
    <w:rsid w:val="004119A4"/>
    <w:rsid w:val="00411CC5"/>
    <w:rsid w:val="00411D9B"/>
    <w:rsid w:val="004120FF"/>
    <w:rsid w:val="004128F0"/>
    <w:rsid w:val="00412A89"/>
    <w:rsid w:val="00412CE0"/>
    <w:rsid w:val="00412E2D"/>
    <w:rsid w:val="00412F79"/>
    <w:rsid w:val="0041307D"/>
    <w:rsid w:val="00413529"/>
    <w:rsid w:val="004136A9"/>
    <w:rsid w:val="0041378E"/>
    <w:rsid w:val="00414E84"/>
    <w:rsid w:val="00414ECD"/>
    <w:rsid w:val="00415590"/>
    <w:rsid w:val="0041566A"/>
    <w:rsid w:val="00415947"/>
    <w:rsid w:val="00415B35"/>
    <w:rsid w:val="00415E8A"/>
    <w:rsid w:val="00415ECA"/>
    <w:rsid w:val="00416281"/>
    <w:rsid w:val="004163B3"/>
    <w:rsid w:val="004166A0"/>
    <w:rsid w:val="004173B1"/>
    <w:rsid w:val="004173CE"/>
    <w:rsid w:val="004176F4"/>
    <w:rsid w:val="0042039C"/>
    <w:rsid w:val="004205A1"/>
    <w:rsid w:val="00421466"/>
    <w:rsid w:val="00421976"/>
    <w:rsid w:val="00421A42"/>
    <w:rsid w:val="00421EA2"/>
    <w:rsid w:val="0042261E"/>
    <w:rsid w:val="0042311F"/>
    <w:rsid w:val="0042317F"/>
    <w:rsid w:val="00423314"/>
    <w:rsid w:val="0042371D"/>
    <w:rsid w:val="0042374F"/>
    <w:rsid w:val="00423786"/>
    <w:rsid w:val="0042424C"/>
    <w:rsid w:val="00424350"/>
    <w:rsid w:val="00424393"/>
    <w:rsid w:val="004243AE"/>
    <w:rsid w:val="0042456B"/>
    <w:rsid w:val="004246B9"/>
    <w:rsid w:val="00424BAA"/>
    <w:rsid w:val="00424FD1"/>
    <w:rsid w:val="0042544F"/>
    <w:rsid w:val="00425844"/>
    <w:rsid w:val="004262A5"/>
    <w:rsid w:val="004262EF"/>
    <w:rsid w:val="004264C5"/>
    <w:rsid w:val="0042674B"/>
    <w:rsid w:val="00426790"/>
    <w:rsid w:val="0042682B"/>
    <w:rsid w:val="00426948"/>
    <w:rsid w:val="00426AA4"/>
    <w:rsid w:val="00427013"/>
    <w:rsid w:val="0042782E"/>
    <w:rsid w:val="00427AA2"/>
    <w:rsid w:val="00427BB1"/>
    <w:rsid w:val="004301AF"/>
    <w:rsid w:val="00430955"/>
    <w:rsid w:val="004311D6"/>
    <w:rsid w:val="00431E43"/>
    <w:rsid w:val="004327B6"/>
    <w:rsid w:val="00432DB1"/>
    <w:rsid w:val="004336CA"/>
    <w:rsid w:val="00433754"/>
    <w:rsid w:val="00433D8A"/>
    <w:rsid w:val="00433FA5"/>
    <w:rsid w:val="0043462C"/>
    <w:rsid w:val="00434EDF"/>
    <w:rsid w:val="0043531A"/>
    <w:rsid w:val="0043561A"/>
    <w:rsid w:val="004359AA"/>
    <w:rsid w:val="00435D70"/>
    <w:rsid w:val="00435EA0"/>
    <w:rsid w:val="00436069"/>
    <w:rsid w:val="0043644C"/>
    <w:rsid w:val="00436459"/>
    <w:rsid w:val="0043670E"/>
    <w:rsid w:val="00436805"/>
    <w:rsid w:val="00436959"/>
    <w:rsid w:val="00436A01"/>
    <w:rsid w:val="004374CC"/>
    <w:rsid w:val="00437609"/>
    <w:rsid w:val="0043764A"/>
    <w:rsid w:val="004376D8"/>
    <w:rsid w:val="00437BA8"/>
    <w:rsid w:val="00437EB4"/>
    <w:rsid w:val="0044050D"/>
    <w:rsid w:val="0044088A"/>
    <w:rsid w:val="004409BB"/>
    <w:rsid w:val="00440C51"/>
    <w:rsid w:val="0044133B"/>
    <w:rsid w:val="0044156B"/>
    <w:rsid w:val="00441A47"/>
    <w:rsid w:val="00441ED9"/>
    <w:rsid w:val="00441F9D"/>
    <w:rsid w:val="0044271C"/>
    <w:rsid w:val="00442EEC"/>
    <w:rsid w:val="00442F31"/>
    <w:rsid w:val="0044322A"/>
    <w:rsid w:val="0044339C"/>
    <w:rsid w:val="004433C8"/>
    <w:rsid w:val="004434E9"/>
    <w:rsid w:val="004439A4"/>
    <w:rsid w:val="00443B14"/>
    <w:rsid w:val="00443DF8"/>
    <w:rsid w:val="00443F27"/>
    <w:rsid w:val="00444013"/>
    <w:rsid w:val="004440E1"/>
    <w:rsid w:val="004443DD"/>
    <w:rsid w:val="004443E9"/>
    <w:rsid w:val="00444544"/>
    <w:rsid w:val="00444800"/>
    <w:rsid w:val="00444997"/>
    <w:rsid w:val="00444BCC"/>
    <w:rsid w:val="00444CE2"/>
    <w:rsid w:val="004450F6"/>
    <w:rsid w:val="004451D2"/>
    <w:rsid w:val="004455AF"/>
    <w:rsid w:val="00445A34"/>
    <w:rsid w:val="00445E7C"/>
    <w:rsid w:val="0044600F"/>
    <w:rsid w:val="0044608F"/>
    <w:rsid w:val="0044638E"/>
    <w:rsid w:val="00446427"/>
    <w:rsid w:val="004465AA"/>
    <w:rsid w:val="00446788"/>
    <w:rsid w:val="00446A29"/>
    <w:rsid w:val="00446E18"/>
    <w:rsid w:val="00447EAA"/>
    <w:rsid w:val="0045018E"/>
    <w:rsid w:val="004502BA"/>
    <w:rsid w:val="004505A2"/>
    <w:rsid w:val="004509A2"/>
    <w:rsid w:val="00450AEB"/>
    <w:rsid w:val="00450BCC"/>
    <w:rsid w:val="0045105C"/>
    <w:rsid w:val="0045197E"/>
    <w:rsid w:val="00451B72"/>
    <w:rsid w:val="00451BFF"/>
    <w:rsid w:val="00452365"/>
    <w:rsid w:val="004527B5"/>
    <w:rsid w:val="004529E0"/>
    <w:rsid w:val="00452A5B"/>
    <w:rsid w:val="00452E2A"/>
    <w:rsid w:val="0045306C"/>
    <w:rsid w:val="004533E4"/>
    <w:rsid w:val="00453600"/>
    <w:rsid w:val="0045395F"/>
    <w:rsid w:val="004539FC"/>
    <w:rsid w:val="00453CFB"/>
    <w:rsid w:val="00454088"/>
    <w:rsid w:val="0045496C"/>
    <w:rsid w:val="00454EE9"/>
    <w:rsid w:val="00455124"/>
    <w:rsid w:val="0045526C"/>
    <w:rsid w:val="00455272"/>
    <w:rsid w:val="00455382"/>
    <w:rsid w:val="00455655"/>
    <w:rsid w:val="00455DF6"/>
    <w:rsid w:val="00455E7B"/>
    <w:rsid w:val="004562DC"/>
    <w:rsid w:val="00456526"/>
    <w:rsid w:val="00456D4B"/>
    <w:rsid w:val="004575BA"/>
    <w:rsid w:val="00460C4D"/>
    <w:rsid w:val="00460DD4"/>
    <w:rsid w:val="00461405"/>
    <w:rsid w:val="00461788"/>
    <w:rsid w:val="00461C40"/>
    <w:rsid w:val="00461E32"/>
    <w:rsid w:val="00462823"/>
    <w:rsid w:val="00462C64"/>
    <w:rsid w:val="004635AD"/>
    <w:rsid w:val="0046395C"/>
    <w:rsid w:val="00463ACB"/>
    <w:rsid w:val="00463BE2"/>
    <w:rsid w:val="00464252"/>
    <w:rsid w:val="0046434E"/>
    <w:rsid w:val="0046444D"/>
    <w:rsid w:val="0046516E"/>
    <w:rsid w:val="0046517F"/>
    <w:rsid w:val="00466102"/>
    <w:rsid w:val="00466299"/>
    <w:rsid w:val="004665B9"/>
    <w:rsid w:val="00466C1A"/>
    <w:rsid w:val="004670A1"/>
    <w:rsid w:val="0046725F"/>
    <w:rsid w:val="004679C3"/>
    <w:rsid w:val="00467EC9"/>
    <w:rsid w:val="004701BF"/>
    <w:rsid w:val="004702B9"/>
    <w:rsid w:val="004703D6"/>
    <w:rsid w:val="00470419"/>
    <w:rsid w:val="004707EC"/>
    <w:rsid w:val="00470F14"/>
    <w:rsid w:val="00470F81"/>
    <w:rsid w:val="0047148B"/>
    <w:rsid w:val="00471AE7"/>
    <w:rsid w:val="00472401"/>
    <w:rsid w:val="004724BF"/>
    <w:rsid w:val="00472F9F"/>
    <w:rsid w:val="0047370A"/>
    <w:rsid w:val="00473767"/>
    <w:rsid w:val="00473789"/>
    <w:rsid w:val="00473C4A"/>
    <w:rsid w:val="00473C59"/>
    <w:rsid w:val="00474078"/>
    <w:rsid w:val="00474109"/>
    <w:rsid w:val="00474C20"/>
    <w:rsid w:val="00474F02"/>
    <w:rsid w:val="004750DB"/>
    <w:rsid w:val="004755E2"/>
    <w:rsid w:val="0047575E"/>
    <w:rsid w:val="00475EA2"/>
    <w:rsid w:val="00475EE1"/>
    <w:rsid w:val="00476215"/>
    <w:rsid w:val="00476394"/>
    <w:rsid w:val="004763A3"/>
    <w:rsid w:val="0047737E"/>
    <w:rsid w:val="0047749D"/>
    <w:rsid w:val="004776B7"/>
    <w:rsid w:val="0047794C"/>
    <w:rsid w:val="00477A16"/>
    <w:rsid w:val="00480C9F"/>
    <w:rsid w:val="00481843"/>
    <w:rsid w:val="00481B55"/>
    <w:rsid w:val="00481F63"/>
    <w:rsid w:val="00481FE9"/>
    <w:rsid w:val="004826AE"/>
    <w:rsid w:val="00482812"/>
    <w:rsid w:val="00483444"/>
    <w:rsid w:val="00483451"/>
    <w:rsid w:val="00483721"/>
    <w:rsid w:val="0048377E"/>
    <w:rsid w:val="0048381D"/>
    <w:rsid w:val="004840B6"/>
    <w:rsid w:val="00484140"/>
    <w:rsid w:val="004842DD"/>
    <w:rsid w:val="0048487F"/>
    <w:rsid w:val="00484C8F"/>
    <w:rsid w:val="00484DD9"/>
    <w:rsid w:val="004853D8"/>
    <w:rsid w:val="00485699"/>
    <w:rsid w:val="0048570D"/>
    <w:rsid w:val="00485721"/>
    <w:rsid w:val="00485D45"/>
    <w:rsid w:val="00485E23"/>
    <w:rsid w:val="00486152"/>
    <w:rsid w:val="004865C4"/>
    <w:rsid w:val="00486869"/>
    <w:rsid w:val="00486AD4"/>
    <w:rsid w:val="00486C19"/>
    <w:rsid w:val="00486C88"/>
    <w:rsid w:val="00487007"/>
    <w:rsid w:val="00490255"/>
    <w:rsid w:val="00490337"/>
    <w:rsid w:val="004903FB"/>
    <w:rsid w:val="0049044D"/>
    <w:rsid w:val="00491108"/>
    <w:rsid w:val="004913B7"/>
    <w:rsid w:val="004915F7"/>
    <w:rsid w:val="00491EAA"/>
    <w:rsid w:val="00492269"/>
    <w:rsid w:val="00492445"/>
    <w:rsid w:val="00492645"/>
    <w:rsid w:val="0049271C"/>
    <w:rsid w:val="00492D34"/>
    <w:rsid w:val="00492F5C"/>
    <w:rsid w:val="00493599"/>
    <w:rsid w:val="0049430E"/>
    <w:rsid w:val="004948DA"/>
    <w:rsid w:val="00494D51"/>
    <w:rsid w:val="00495B69"/>
    <w:rsid w:val="004963DB"/>
    <w:rsid w:val="00496AEB"/>
    <w:rsid w:val="004975D4"/>
    <w:rsid w:val="00497717"/>
    <w:rsid w:val="00497E92"/>
    <w:rsid w:val="00497F9F"/>
    <w:rsid w:val="004A032B"/>
    <w:rsid w:val="004A118B"/>
    <w:rsid w:val="004A1272"/>
    <w:rsid w:val="004A15BB"/>
    <w:rsid w:val="004A15EB"/>
    <w:rsid w:val="004A1C01"/>
    <w:rsid w:val="004A1C5C"/>
    <w:rsid w:val="004A20AB"/>
    <w:rsid w:val="004A23B3"/>
    <w:rsid w:val="004A2909"/>
    <w:rsid w:val="004A2AF9"/>
    <w:rsid w:val="004A2AFD"/>
    <w:rsid w:val="004A2BF8"/>
    <w:rsid w:val="004A2D1C"/>
    <w:rsid w:val="004A336D"/>
    <w:rsid w:val="004A3920"/>
    <w:rsid w:val="004A3D9D"/>
    <w:rsid w:val="004A4182"/>
    <w:rsid w:val="004A4A3D"/>
    <w:rsid w:val="004A522E"/>
    <w:rsid w:val="004A5729"/>
    <w:rsid w:val="004A5826"/>
    <w:rsid w:val="004A596F"/>
    <w:rsid w:val="004A5A5A"/>
    <w:rsid w:val="004A5D1B"/>
    <w:rsid w:val="004A5D62"/>
    <w:rsid w:val="004A5E99"/>
    <w:rsid w:val="004A6293"/>
    <w:rsid w:val="004A6D29"/>
    <w:rsid w:val="004A6F5D"/>
    <w:rsid w:val="004A70A7"/>
    <w:rsid w:val="004A79E2"/>
    <w:rsid w:val="004A7A9B"/>
    <w:rsid w:val="004A7ABF"/>
    <w:rsid w:val="004A7AD0"/>
    <w:rsid w:val="004A7AEE"/>
    <w:rsid w:val="004A7FAA"/>
    <w:rsid w:val="004B03E4"/>
    <w:rsid w:val="004B09EC"/>
    <w:rsid w:val="004B1092"/>
    <w:rsid w:val="004B154B"/>
    <w:rsid w:val="004B1666"/>
    <w:rsid w:val="004B16A0"/>
    <w:rsid w:val="004B173E"/>
    <w:rsid w:val="004B1B8F"/>
    <w:rsid w:val="004B1BFE"/>
    <w:rsid w:val="004B1C76"/>
    <w:rsid w:val="004B21DE"/>
    <w:rsid w:val="004B2330"/>
    <w:rsid w:val="004B242B"/>
    <w:rsid w:val="004B2522"/>
    <w:rsid w:val="004B27E0"/>
    <w:rsid w:val="004B28F4"/>
    <w:rsid w:val="004B2D88"/>
    <w:rsid w:val="004B334B"/>
    <w:rsid w:val="004B40B6"/>
    <w:rsid w:val="004B4276"/>
    <w:rsid w:val="004B45DC"/>
    <w:rsid w:val="004B4732"/>
    <w:rsid w:val="004B4BA5"/>
    <w:rsid w:val="004B4E24"/>
    <w:rsid w:val="004B5328"/>
    <w:rsid w:val="004B54D3"/>
    <w:rsid w:val="004B5672"/>
    <w:rsid w:val="004B5970"/>
    <w:rsid w:val="004B5E1C"/>
    <w:rsid w:val="004B606D"/>
    <w:rsid w:val="004B6466"/>
    <w:rsid w:val="004B6496"/>
    <w:rsid w:val="004B6577"/>
    <w:rsid w:val="004B6951"/>
    <w:rsid w:val="004B6E4E"/>
    <w:rsid w:val="004B6E59"/>
    <w:rsid w:val="004B702B"/>
    <w:rsid w:val="004B7466"/>
    <w:rsid w:val="004B7885"/>
    <w:rsid w:val="004B794A"/>
    <w:rsid w:val="004C0F6E"/>
    <w:rsid w:val="004C117A"/>
    <w:rsid w:val="004C1271"/>
    <w:rsid w:val="004C13F5"/>
    <w:rsid w:val="004C188A"/>
    <w:rsid w:val="004C246A"/>
    <w:rsid w:val="004C24CC"/>
    <w:rsid w:val="004C2623"/>
    <w:rsid w:val="004C2848"/>
    <w:rsid w:val="004C2A1A"/>
    <w:rsid w:val="004C2D4D"/>
    <w:rsid w:val="004C2F98"/>
    <w:rsid w:val="004C306B"/>
    <w:rsid w:val="004C3287"/>
    <w:rsid w:val="004C32C2"/>
    <w:rsid w:val="004C354D"/>
    <w:rsid w:val="004C3660"/>
    <w:rsid w:val="004C3680"/>
    <w:rsid w:val="004C375C"/>
    <w:rsid w:val="004C3832"/>
    <w:rsid w:val="004C39A2"/>
    <w:rsid w:val="004C3CC1"/>
    <w:rsid w:val="004C3E33"/>
    <w:rsid w:val="004C4219"/>
    <w:rsid w:val="004C4564"/>
    <w:rsid w:val="004C45E2"/>
    <w:rsid w:val="004C4B17"/>
    <w:rsid w:val="004C5085"/>
    <w:rsid w:val="004C537C"/>
    <w:rsid w:val="004C5771"/>
    <w:rsid w:val="004C6F4C"/>
    <w:rsid w:val="004C73BC"/>
    <w:rsid w:val="004C74F8"/>
    <w:rsid w:val="004C77AF"/>
    <w:rsid w:val="004C787A"/>
    <w:rsid w:val="004C790B"/>
    <w:rsid w:val="004C79BF"/>
    <w:rsid w:val="004D0135"/>
    <w:rsid w:val="004D0948"/>
    <w:rsid w:val="004D0994"/>
    <w:rsid w:val="004D09F8"/>
    <w:rsid w:val="004D0A22"/>
    <w:rsid w:val="004D0A4E"/>
    <w:rsid w:val="004D0E7E"/>
    <w:rsid w:val="004D11E1"/>
    <w:rsid w:val="004D190E"/>
    <w:rsid w:val="004D19D6"/>
    <w:rsid w:val="004D1F6B"/>
    <w:rsid w:val="004D221A"/>
    <w:rsid w:val="004D2260"/>
    <w:rsid w:val="004D25A6"/>
    <w:rsid w:val="004D266C"/>
    <w:rsid w:val="004D275E"/>
    <w:rsid w:val="004D2F6B"/>
    <w:rsid w:val="004D2F9D"/>
    <w:rsid w:val="004D3A4D"/>
    <w:rsid w:val="004D3C43"/>
    <w:rsid w:val="004D42CE"/>
    <w:rsid w:val="004D4A04"/>
    <w:rsid w:val="004D4BE7"/>
    <w:rsid w:val="004D4C48"/>
    <w:rsid w:val="004D51D3"/>
    <w:rsid w:val="004D5481"/>
    <w:rsid w:val="004D5A3B"/>
    <w:rsid w:val="004D5BE7"/>
    <w:rsid w:val="004D5D2D"/>
    <w:rsid w:val="004D6A21"/>
    <w:rsid w:val="004D6EEE"/>
    <w:rsid w:val="004D707E"/>
    <w:rsid w:val="004D76D2"/>
    <w:rsid w:val="004D7BFD"/>
    <w:rsid w:val="004D7F30"/>
    <w:rsid w:val="004E014F"/>
    <w:rsid w:val="004E0B12"/>
    <w:rsid w:val="004E0D33"/>
    <w:rsid w:val="004E12D7"/>
    <w:rsid w:val="004E1827"/>
    <w:rsid w:val="004E1F32"/>
    <w:rsid w:val="004E2089"/>
    <w:rsid w:val="004E20B5"/>
    <w:rsid w:val="004E2B7A"/>
    <w:rsid w:val="004E2C2C"/>
    <w:rsid w:val="004E2EAA"/>
    <w:rsid w:val="004E2EED"/>
    <w:rsid w:val="004E3F4B"/>
    <w:rsid w:val="004E43BE"/>
    <w:rsid w:val="004E53E9"/>
    <w:rsid w:val="004E54CF"/>
    <w:rsid w:val="004E5CAB"/>
    <w:rsid w:val="004E5FD8"/>
    <w:rsid w:val="004E63D4"/>
    <w:rsid w:val="004E6524"/>
    <w:rsid w:val="004E65FF"/>
    <w:rsid w:val="004E6808"/>
    <w:rsid w:val="004E690A"/>
    <w:rsid w:val="004E6955"/>
    <w:rsid w:val="004E7266"/>
    <w:rsid w:val="004E7292"/>
    <w:rsid w:val="004E78AE"/>
    <w:rsid w:val="004E7D18"/>
    <w:rsid w:val="004E7FF6"/>
    <w:rsid w:val="004F0790"/>
    <w:rsid w:val="004F0791"/>
    <w:rsid w:val="004F0995"/>
    <w:rsid w:val="004F0BE7"/>
    <w:rsid w:val="004F0E77"/>
    <w:rsid w:val="004F1265"/>
    <w:rsid w:val="004F1515"/>
    <w:rsid w:val="004F154B"/>
    <w:rsid w:val="004F1613"/>
    <w:rsid w:val="004F1932"/>
    <w:rsid w:val="004F1A88"/>
    <w:rsid w:val="004F1F18"/>
    <w:rsid w:val="004F282D"/>
    <w:rsid w:val="004F2855"/>
    <w:rsid w:val="004F2A0E"/>
    <w:rsid w:val="004F2B75"/>
    <w:rsid w:val="004F2DB0"/>
    <w:rsid w:val="004F2EDE"/>
    <w:rsid w:val="004F2F62"/>
    <w:rsid w:val="004F3372"/>
    <w:rsid w:val="004F338C"/>
    <w:rsid w:val="004F386D"/>
    <w:rsid w:val="004F38FB"/>
    <w:rsid w:val="004F4180"/>
    <w:rsid w:val="004F4952"/>
    <w:rsid w:val="004F4986"/>
    <w:rsid w:val="004F4B58"/>
    <w:rsid w:val="004F4C8D"/>
    <w:rsid w:val="004F4DE0"/>
    <w:rsid w:val="004F4FDF"/>
    <w:rsid w:val="004F556E"/>
    <w:rsid w:val="004F5F40"/>
    <w:rsid w:val="004F6B40"/>
    <w:rsid w:val="004F6FE2"/>
    <w:rsid w:val="004F719B"/>
    <w:rsid w:val="004F7604"/>
    <w:rsid w:val="005000C7"/>
    <w:rsid w:val="00500273"/>
    <w:rsid w:val="00500776"/>
    <w:rsid w:val="00500A98"/>
    <w:rsid w:val="0050186A"/>
    <w:rsid w:val="00501A8F"/>
    <w:rsid w:val="00501BBE"/>
    <w:rsid w:val="00501D97"/>
    <w:rsid w:val="00501F6F"/>
    <w:rsid w:val="00502490"/>
    <w:rsid w:val="00502686"/>
    <w:rsid w:val="00502930"/>
    <w:rsid w:val="00502E09"/>
    <w:rsid w:val="0050347B"/>
    <w:rsid w:val="00503562"/>
    <w:rsid w:val="00503C33"/>
    <w:rsid w:val="00503F2B"/>
    <w:rsid w:val="00504AA5"/>
    <w:rsid w:val="00504BBE"/>
    <w:rsid w:val="00504CF7"/>
    <w:rsid w:val="0050508A"/>
    <w:rsid w:val="005051D6"/>
    <w:rsid w:val="00505C34"/>
    <w:rsid w:val="00506651"/>
    <w:rsid w:val="0050679D"/>
    <w:rsid w:val="005069E6"/>
    <w:rsid w:val="00506EFE"/>
    <w:rsid w:val="00506F8A"/>
    <w:rsid w:val="0050716A"/>
    <w:rsid w:val="005071F0"/>
    <w:rsid w:val="00507CF5"/>
    <w:rsid w:val="00507E62"/>
    <w:rsid w:val="00510638"/>
    <w:rsid w:val="00510916"/>
    <w:rsid w:val="00510CB8"/>
    <w:rsid w:val="005110D1"/>
    <w:rsid w:val="0051133A"/>
    <w:rsid w:val="005118D5"/>
    <w:rsid w:val="00512065"/>
    <w:rsid w:val="005120D7"/>
    <w:rsid w:val="00512334"/>
    <w:rsid w:val="0051257F"/>
    <w:rsid w:val="00512595"/>
    <w:rsid w:val="0051276D"/>
    <w:rsid w:val="00512982"/>
    <w:rsid w:val="0051298D"/>
    <w:rsid w:val="00512EB6"/>
    <w:rsid w:val="00513212"/>
    <w:rsid w:val="005133C6"/>
    <w:rsid w:val="0051351B"/>
    <w:rsid w:val="005136C5"/>
    <w:rsid w:val="00513DC0"/>
    <w:rsid w:val="0051404E"/>
    <w:rsid w:val="005143C5"/>
    <w:rsid w:val="005145E8"/>
    <w:rsid w:val="00514643"/>
    <w:rsid w:val="00514799"/>
    <w:rsid w:val="005147C0"/>
    <w:rsid w:val="00514D8E"/>
    <w:rsid w:val="00515D42"/>
    <w:rsid w:val="00515E91"/>
    <w:rsid w:val="00515F6C"/>
    <w:rsid w:val="00516D7D"/>
    <w:rsid w:val="00516EA8"/>
    <w:rsid w:val="00517918"/>
    <w:rsid w:val="005205BE"/>
    <w:rsid w:val="005207FA"/>
    <w:rsid w:val="00520AC6"/>
    <w:rsid w:val="00520EC8"/>
    <w:rsid w:val="0052126B"/>
    <w:rsid w:val="00521464"/>
    <w:rsid w:val="005217E9"/>
    <w:rsid w:val="00521A1D"/>
    <w:rsid w:val="005225B2"/>
    <w:rsid w:val="0052263C"/>
    <w:rsid w:val="00522F29"/>
    <w:rsid w:val="00522F4F"/>
    <w:rsid w:val="0052327F"/>
    <w:rsid w:val="0052388A"/>
    <w:rsid w:val="00523A14"/>
    <w:rsid w:val="00523BB6"/>
    <w:rsid w:val="00523C16"/>
    <w:rsid w:val="00523E78"/>
    <w:rsid w:val="0052439D"/>
    <w:rsid w:val="00524B23"/>
    <w:rsid w:val="0052546C"/>
    <w:rsid w:val="005258AC"/>
    <w:rsid w:val="00525C0C"/>
    <w:rsid w:val="00525CEF"/>
    <w:rsid w:val="00525DB1"/>
    <w:rsid w:val="0052655A"/>
    <w:rsid w:val="00526691"/>
    <w:rsid w:val="0052696A"/>
    <w:rsid w:val="00526987"/>
    <w:rsid w:val="005269C6"/>
    <w:rsid w:val="0052786B"/>
    <w:rsid w:val="00527E4B"/>
    <w:rsid w:val="00530438"/>
    <w:rsid w:val="005304DD"/>
    <w:rsid w:val="00530B31"/>
    <w:rsid w:val="00530FC0"/>
    <w:rsid w:val="00531D81"/>
    <w:rsid w:val="00531DC4"/>
    <w:rsid w:val="00531F6C"/>
    <w:rsid w:val="00532510"/>
    <w:rsid w:val="00532B3E"/>
    <w:rsid w:val="00532CE8"/>
    <w:rsid w:val="0053321F"/>
    <w:rsid w:val="00533259"/>
    <w:rsid w:val="005337D0"/>
    <w:rsid w:val="00533B0C"/>
    <w:rsid w:val="00533E8B"/>
    <w:rsid w:val="005344E6"/>
    <w:rsid w:val="0053574D"/>
    <w:rsid w:val="00535BAF"/>
    <w:rsid w:val="00535CF1"/>
    <w:rsid w:val="00535D1B"/>
    <w:rsid w:val="00535D5D"/>
    <w:rsid w:val="00535E37"/>
    <w:rsid w:val="00535EAE"/>
    <w:rsid w:val="0053605D"/>
    <w:rsid w:val="005362F2"/>
    <w:rsid w:val="00536AFD"/>
    <w:rsid w:val="00536DEE"/>
    <w:rsid w:val="00536EC6"/>
    <w:rsid w:val="00537205"/>
    <w:rsid w:val="00537A7F"/>
    <w:rsid w:val="00537B26"/>
    <w:rsid w:val="00540108"/>
    <w:rsid w:val="00540247"/>
    <w:rsid w:val="005405A9"/>
    <w:rsid w:val="005408CC"/>
    <w:rsid w:val="00541438"/>
    <w:rsid w:val="00541498"/>
    <w:rsid w:val="005415E3"/>
    <w:rsid w:val="00541638"/>
    <w:rsid w:val="0054166C"/>
    <w:rsid w:val="00541825"/>
    <w:rsid w:val="00541904"/>
    <w:rsid w:val="0054190E"/>
    <w:rsid w:val="005419D2"/>
    <w:rsid w:val="005420B7"/>
    <w:rsid w:val="005420F7"/>
    <w:rsid w:val="00542B62"/>
    <w:rsid w:val="00542D14"/>
    <w:rsid w:val="00543125"/>
    <w:rsid w:val="00543400"/>
    <w:rsid w:val="005434D9"/>
    <w:rsid w:val="005435F5"/>
    <w:rsid w:val="00543A24"/>
    <w:rsid w:val="00543C89"/>
    <w:rsid w:val="0054439B"/>
    <w:rsid w:val="00544993"/>
    <w:rsid w:val="005449B5"/>
    <w:rsid w:val="00544AE4"/>
    <w:rsid w:val="00544B02"/>
    <w:rsid w:val="00544E4E"/>
    <w:rsid w:val="00544EEA"/>
    <w:rsid w:val="0054513C"/>
    <w:rsid w:val="005456C9"/>
    <w:rsid w:val="005461D6"/>
    <w:rsid w:val="005466EE"/>
    <w:rsid w:val="00546EC4"/>
    <w:rsid w:val="00547567"/>
    <w:rsid w:val="00547D7A"/>
    <w:rsid w:val="00550616"/>
    <w:rsid w:val="0055078B"/>
    <w:rsid w:val="005507E1"/>
    <w:rsid w:val="00550CE2"/>
    <w:rsid w:val="00550D5A"/>
    <w:rsid w:val="00550D91"/>
    <w:rsid w:val="005514EC"/>
    <w:rsid w:val="00552505"/>
    <w:rsid w:val="00552567"/>
    <w:rsid w:val="005527B4"/>
    <w:rsid w:val="005527D7"/>
    <w:rsid w:val="00552CDE"/>
    <w:rsid w:val="00552DC3"/>
    <w:rsid w:val="00552E24"/>
    <w:rsid w:val="00553235"/>
    <w:rsid w:val="00553278"/>
    <w:rsid w:val="005558B6"/>
    <w:rsid w:val="00555997"/>
    <w:rsid w:val="00555BFE"/>
    <w:rsid w:val="005561D4"/>
    <w:rsid w:val="00556371"/>
    <w:rsid w:val="005563E0"/>
    <w:rsid w:val="005568B3"/>
    <w:rsid w:val="005568F6"/>
    <w:rsid w:val="00556B0C"/>
    <w:rsid w:val="00556CAF"/>
    <w:rsid w:val="00557607"/>
    <w:rsid w:val="0055770D"/>
    <w:rsid w:val="00557985"/>
    <w:rsid w:val="00557D57"/>
    <w:rsid w:val="00557D8A"/>
    <w:rsid w:val="00560039"/>
    <w:rsid w:val="0056012E"/>
    <w:rsid w:val="0056016D"/>
    <w:rsid w:val="00560462"/>
    <w:rsid w:val="005607F2"/>
    <w:rsid w:val="00560E6E"/>
    <w:rsid w:val="00560FA0"/>
    <w:rsid w:val="0056136E"/>
    <w:rsid w:val="00561BC4"/>
    <w:rsid w:val="0056237F"/>
    <w:rsid w:val="00562F2E"/>
    <w:rsid w:val="0056329C"/>
    <w:rsid w:val="00563828"/>
    <w:rsid w:val="00563E3E"/>
    <w:rsid w:val="0056415C"/>
    <w:rsid w:val="0056423A"/>
    <w:rsid w:val="00564C52"/>
    <w:rsid w:val="00564F1E"/>
    <w:rsid w:val="005654B4"/>
    <w:rsid w:val="005659C9"/>
    <w:rsid w:val="00565D94"/>
    <w:rsid w:val="00565DCE"/>
    <w:rsid w:val="005662B3"/>
    <w:rsid w:val="0056683B"/>
    <w:rsid w:val="00566BC7"/>
    <w:rsid w:val="00567153"/>
    <w:rsid w:val="00567305"/>
    <w:rsid w:val="00567B70"/>
    <w:rsid w:val="005700F3"/>
    <w:rsid w:val="0057020A"/>
    <w:rsid w:val="005708D4"/>
    <w:rsid w:val="0057162B"/>
    <w:rsid w:val="00571760"/>
    <w:rsid w:val="00571DC2"/>
    <w:rsid w:val="00571E70"/>
    <w:rsid w:val="00571EA8"/>
    <w:rsid w:val="00572018"/>
    <w:rsid w:val="00572E30"/>
    <w:rsid w:val="00573B2A"/>
    <w:rsid w:val="00574699"/>
    <w:rsid w:val="00574ADA"/>
    <w:rsid w:val="00574B6A"/>
    <w:rsid w:val="00575273"/>
    <w:rsid w:val="0057540D"/>
    <w:rsid w:val="00575E63"/>
    <w:rsid w:val="00575F49"/>
    <w:rsid w:val="00575F91"/>
    <w:rsid w:val="00576328"/>
    <w:rsid w:val="005765F0"/>
    <w:rsid w:val="005767C9"/>
    <w:rsid w:val="0057683B"/>
    <w:rsid w:val="00576AD1"/>
    <w:rsid w:val="00577160"/>
    <w:rsid w:val="00577231"/>
    <w:rsid w:val="00577D11"/>
    <w:rsid w:val="00580241"/>
    <w:rsid w:val="005803A9"/>
    <w:rsid w:val="0058083A"/>
    <w:rsid w:val="00581192"/>
    <w:rsid w:val="00581648"/>
    <w:rsid w:val="005823E0"/>
    <w:rsid w:val="0058319F"/>
    <w:rsid w:val="005838A4"/>
    <w:rsid w:val="00583E12"/>
    <w:rsid w:val="00583FE2"/>
    <w:rsid w:val="005844E8"/>
    <w:rsid w:val="005848A0"/>
    <w:rsid w:val="005856DB"/>
    <w:rsid w:val="00586237"/>
    <w:rsid w:val="00586B87"/>
    <w:rsid w:val="00586DAD"/>
    <w:rsid w:val="00586DF0"/>
    <w:rsid w:val="00586FB6"/>
    <w:rsid w:val="0058708D"/>
    <w:rsid w:val="00587564"/>
    <w:rsid w:val="0058773B"/>
    <w:rsid w:val="00587A07"/>
    <w:rsid w:val="00587E92"/>
    <w:rsid w:val="00590425"/>
    <w:rsid w:val="00590BB4"/>
    <w:rsid w:val="00590C93"/>
    <w:rsid w:val="00590D6A"/>
    <w:rsid w:val="00591623"/>
    <w:rsid w:val="00591AEA"/>
    <w:rsid w:val="00592550"/>
    <w:rsid w:val="00592642"/>
    <w:rsid w:val="005927E3"/>
    <w:rsid w:val="00592ABA"/>
    <w:rsid w:val="00592FB8"/>
    <w:rsid w:val="005932CB"/>
    <w:rsid w:val="00593BD3"/>
    <w:rsid w:val="00594AF4"/>
    <w:rsid w:val="00594CE5"/>
    <w:rsid w:val="0059533A"/>
    <w:rsid w:val="005965F0"/>
    <w:rsid w:val="00596775"/>
    <w:rsid w:val="0059735E"/>
    <w:rsid w:val="00597525"/>
    <w:rsid w:val="005975D7"/>
    <w:rsid w:val="005977F0"/>
    <w:rsid w:val="00597E29"/>
    <w:rsid w:val="005A0361"/>
    <w:rsid w:val="005A04DC"/>
    <w:rsid w:val="005A0918"/>
    <w:rsid w:val="005A1648"/>
    <w:rsid w:val="005A1A82"/>
    <w:rsid w:val="005A1E7D"/>
    <w:rsid w:val="005A1F04"/>
    <w:rsid w:val="005A25FC"/>
    <w:rsid w:val="005A27D5"/>
    <w:rsid w:val="005A2980"/>
    <w:rsid w:val="005A2B25"/>
    <w:rsid w:val="005A355C"/>
    <w:rsid w:val="005A38D9"/>
    <w:rsid w:val="005A3DDF"/>
    <w:rsid w:val="005A3FE8"/>
    <w:rsid w:val="005A4ACC"/>
    <w:rsid w:val="005A4B8A"/>
    <w:rsid w:val="005A4DDF"/>
    <w:rsid w:val="005A4F5D"/>
    <w:rsid w:val="005A5F94"/>
    <w:rsid w:val="005A6057"/>
    <w:rsid w:val="005A785C"/>
    <w:rsid w:val="005A7F5C"/>
    <w:rsid w:val="005B0624"/>
    <w:rsid w:val="005B08ED"/>
    <w:rsid w:val="005B0C77"/>
    <w:rsid w:val="005B0E50"/>
    <w:rsid w:val="005B167E"/>
    <w:rsid w:val="005B1748"/>
    <w:rsid w:val="005B20C5"/>
    <w:rsid w:val="005B23C7"/>
    <w:rsid w:val="005B2414"/>
    <w:rsid w:val="005B24CC"/>
    <w:rsid w:val="005B27C4"/>
    <w:rsid w:val="005B2826"/>
    <w:rsid w:val="005B2C0F"/>
    <w:rsid w:val="005B345A"/>
    <w:rsid w:val="005B3ED9"/>
    <w:rsid w:val="005B3F73"/>
    <w:rsid w:val="005B4786"/>
    <w:rsid w:val="005B4DF8"/>
    <w:rsid w:val="005B4E0D"/>
    <w:rsid w:val="005B516D"/>
    <w:rsid w:val="005B540E"/>
    <w:rsid w:val="005B5432"/>
    <w:rsid w:val="005B5494"/>
    <w:rsid w:val="005B56CB"/>
    <w:rsid w:val="005B58FC"/>
    <w:rsid w:val="005B59A4"/>
    <w:rsid w:val="005B619F"/>
    <w:rsid w:val="005B6231"/>
    <w:rsid w:val="005B6462"/>
    <w:rsid w:val="005B6C19"/>
    <w:rsid w:val="005B6C5E"/>
    <w:rsid w:val="005B6D40"/>
    <w:rsid w:val="005B6D9B"/>
    <w:rsid w:val="005B73EF"/>
    <w:rsid w:val="005B76B3"/>
    <w:rsid w:val="005B7A52"/>
    <w:rsid w:val="005B7EC6"/>
    <w:rsid w:val="005C0331"/>
    <w:rsid w:val="005C076A"/>
    <w:rsid w:val="005C0ECA"/>
    <w:rsid w:val="005C0EE1"/>
    <w:rsid w:val="005C12AA"/>
    <w:rsid w:val="005C13A9"/>
    <w:rsid w:val="005C18FD"/>
    <w:rsid w:val="005C197B"/>
    <w:rsid w:val="005C1B49"/>
    <w:rsid w:val="005C1E7E"/>
    <w:rsid w:val="005C21F8"/>
    <w:rsid w:val="005C2DAF"/>
    <w:rsid w:val="005C3871"/>
    <w:rsid w:val="005C3C39"/>
    <w:rsid w:val="005C3DF0"/>
    <w:rsid w:val="005C4045"/>
    <w:rsid w:val="005C4291"/>
    <w:rsid w:val="005C4303"/>
    <w:rsid w:val="005C45D9"/>
    <w:rsid w:val="005C4E45"/>
    <w:rsid w:val="005C55BD"/>
    <w:rsid w:val="005C56C6"/>
    <w:rsid w:val="005C59C5"/>
    <w:rsid w:val="005C5B90"/>
    <w:rsid w:val="005C6279"/>
    <w:rsid w:val="005C6ED8"/>
    <w:rsid w:val="005C7540"/>
    <w:rsid w:val="005C772B"/>
    <w:rsid w:val="005C7BE7"/>
    <w:rsid w:val="005D00F7"/>
    <w:rsid w:val="005D0A0F"/>
    <w:rsid w:val="005D0AF2"/>
    <w:rsid w:val="005D15E2"/>
    <w:rsid w:val="005D1601"/>
    <w:rsid w:val="005D1D02"/>
    <w:rsid w:val="005D215E"/>
    <w:rsid w:val="005D2792"/>
    <w:rsid w:val="005D2996"/>
    <w:rsid w:val="005D2A07"/>
    <w:rsid w:val="005D2ADA"/>
    <w:rsid w:val="005D2DB9"/>
    <w:rsid w:val="005D2E8C"/>
    <w:rsid w:val="005D3280"/>
    <w:rsid w:val="005D3664"/>
    <w:rsid w:val="005D39E1"/>
    <w:rsid w:val="005D4491"/>
    <w:rsid w:val="005D4635"/>
    <w:rsid w:val="005D4689"/>
    <w:rsid w:val="005D46C6"/>
    <w:rsid w:val="005D501F"/>
    <w:rsid w:val="005D50DF"/>
    <w:rsid w:val="005D5765"/>
    <w:rsid w:val="005D599F"/>
    <w:rsid w:val="005D59F3"/>
    <w:rsid w:val="005D5C65"/>
    <w:rsid w:val="005D5F62"/>
    <w:rsid w:val="005D620B"/>
    <w:rsid w:val="005D62A0"/>
    <w:rsid w:val="005D664F"/>
    <w:rsid w:val="005D69BD"/>
    <w:rsid w:val="005D6DD9"/>
    <w:rsid w:val="005D6F57"/>
    <w:rsid w:val="005D7573"/>
    <w:rsid w:val="005D7F11"/>
    <w:rsid w:val="005E0245"/>
    <w:rsid w:val="005E050E"/>
    <w:rsid w:val="005E0A01"/>
    <w:rsid w:val="005E1209"/>
    <w:rsid w:val="005E13DA"/>
    <w:rsid w:val="005E175A"/>
    <w:rsid w:val="005E1A92"/>
    <w:rsid w:val="005E2246"/>
    <w:rsid w:val="005E2A65"/>
    <w:rsid w:val="005E2E46"/>
    <w:rsid w:val="005E31AD"/>
    <w:rsid w:val="005E4442"/>
    <w:rsid w:val="005E510A"/>
    <w:rsid w:val="005E569F"/>
    <w:rsid w:val="005E56CC"/>
    <w:rsid w:val="005E57FA"/>
    <w:rsid w:val="005E59A4"/>
    <w:rsid w:val="005E5EBD"/>
    <w:rsid w:val="005E60F5"/>
    <w:rsid w:val="005E61B2"/>
    <w:rsid w:val="005E64D7"/>
    <w:rsid w:val="005E6AD2"/>
    <w:rsid w:val="005E6C74"/>
    <w:rsid w:val="005E721A"/>
    <w:rsid w:val="005E770D"/>
    <w:rsid w:val="005E78A1"/>
    <w:rsid w:val="005E79CF"/>
    <w:rsid w:val="005E7E26"/>
    <w:rsid w:val="005E7F80"/>
    <w:rsid w:val="005F0049"/>
    <w:rsid w:val="005F014D"/>
    <w:rsid w:val="005F0583"/>
    <w:rsid w:val="005F06C3"/>
    <w:rsid w:val="005F074C"/>
    <w:rsid w:val="005F0750"/>
    <w:rsid w:val="005F0789"/>
    <w:rsid w:val="005F086D"/>
    <w:rsid w:val="005F0BB4"/>
    <w:rsid w:val="005F0D5B"/>
    <w:rsid w:val="005F0EFF"/>
    <w:rsid w:val="005F10C2"/>
    <w:rsid w:val="005F138D"/>
    <w:rsid w:val="005F1A38"/>
    <w:rsid w:val="005F2085"/>
    <w:rsid w:val="005F23BF"/>
    <w:rsid w:val="005F2C60"/>
    <w:rsid w:val="005F30AD"/>
    <w:rsid w:val="005F375E"/>
    <w:rsid w:val="005F3949"/>
    <w:rsid w:val="005F3A09"/>
    <w:rsid w:val="005F3F86"/>
    <w:rsid w:val="005F3F92"/>
    <w:rsid w:val="005F4572"/>
    <w:rsid w:val="005F4FB0"/>
    <w:rsid w:val="005F511F"/>
    <w:rsid w:val="005F5973"/>
    <w:rsid w:val="005F5A11"/>
    <w:rsid w:val="005F5CCB"/>
    <w:rsid w:val="005F5FF8"/>
    <w:rsid w:val="005F6638"/>
    <w:rsid w:val="005F6C3E"/>
    <w:rsid w:val="005F6CF5"/>
    <w:rsid w:val="005F6E67"/>
    <w:rsid w:val="005F6E8D"/>
    <w:rsid w:val="005F6F16"/>
    <w:rsid w:val="005F74DF"/>
    <w:rsid w:val="005F78A0"/>
    <w:rsid w:val="005F7B7E"/>
    <w:rsid w:val="005F7C4F"/>
    <w:rsid w:val="005F7CE8"/>
    <w:rsid w:val="005F7F0E"/>
    <w:rsid w:val="00600088"/>
    <w:rsid w:val="00600917"/>
    <w:rsid w:val="006009DC"/>
    <w:rsid w:val="00600C31"/>
    <w:rsid w:val="00600EA0"/>
    <w:rsid w:val="00601BB6"/>
    <w:rsid w:val="00601DC6"/>
    <w:rsid w:val="00601DD4"/>
    <w:rsid w:val="00602898"/>
    <w:rsid w:val="00602B9F"/>
    <w:rsid w:val="00602BBA"/>
    <w:rsid w:val="00602E1A"/>
    <w:rsid w:val="006035E4"/>
    <w:rsid w:val="006049EC"/>
    <w:rsid w:val="00604A61"/>
    <w:rsid w:val="00605257"/>
    <w:rsid w:val="006053BA"/>
    <w:rsid w:val="00605ADC"/>
    <w:rsid w:val="00605FB4"/>
    <w:rsid w:val="00606D8C"/>
    <w:rsid w:val="006073A9"/>
    <w:rsid w:val="00607546"/>
    <w:rsid w:val="00607555"/>
    <w:rsid w:val="00607E10"/>
    <w:rsid w:val="00610E77"/>
    <w:rsid w:val="006110C0"/>
    <w:rsid w:val="0061175C"/>
    <w:rsid w:val="00611D53"/>
    <w:rsid w:val="0061261F"/>
    <w:rsid w:val="006131AE"/>
    <w:rsid w:val="00613281"/>
    <w:rsid w:val="006138BF"/>
    <w:rsid w:val="0061438B"/>
    <w:rsid w:val="006143DC"/>
    <w:rsid w:val="00614C05"/>
    <w:rsid w:val="00614C08"/>
    <w:rsid w:val="0061501D"/>
    <w:rsid w:val="00615751"/>
    <w:rsid w:val="006158BB"/>
    <w:rsid w:val="0061592F"/>
    <w:rsid w:val="00615B1A"/>
    <w:rsid w:val="00615D61"/>
    <w:rsid w:val="006161D3"/>
    <w:rsid w:val="00616654"/>
    <w:rsid w:val="00616702"/>
    <w:rsid w:val="00616CA3"/>
    <w:rsid w:val="00617248"/>
    <w:rsid w:val="006178BB"/>
    <w:rsid w:val="00617AA9"/>
    <w:rsid w:val="00617B5E"/>
    <w:rsid w:val="00617B65"/>
    <w:rsid w:val="00617DD4"/>
    <w:rsid w:val="00620105"/>
    <w:rsid w:val="0062037F"/>
    <w:rsid w:val="00620579"/>
    <w:rsid w:val="006207FF"/>
    <w:rsid w:val="00620A19"/>
    <w:rsid w:val="00620C1F"/>
    <w:rsid w:val="00621451"/>
    <w:rsid w:val="00621CA3"/>
    <w:rsid w:val="00621D78"/>
    <w:rsid w:val="00621E55"/>
    <w:rsid w:val="00622051"/>
    <w:rsid w:val="006224A8"/>
    <w:rsid w:val="006224BE"/>
    <w:rsid w:val="00622714"/>
    <w:rsid w:val="006229F9"/>
    <w:rsid w:val="00623087"/>
    <w:rsid w:val="006236BA"/>
    <w:rsid w:val="00623BE5"/>
    <w:rsid w:val="00623CBF"/>
    <w:rsid w:val="0062504F"/>
    <w:rsid w:val="006253C4"/>
    <w:rsid w:val="00625EAC"/>
    <w:rsid w:val="006261F1"/>
    <w:rsid w:val="00626676"/>
    <w:rsid w:val="00626B00"/>
    <w:rsid w:val="00626C08"/>
    <w:rsid w:val="00626CAA"/>
    <w:rsid w:val="0062710F"/>
    <w:rsid w:val="00627A0F"/>
    <w:rsid w:val="00627C4F"/>
    <w:rsid w:val="00627EFB"/>
    <w:rsid w:val="00627FDF"/>
    <w:rsid w:val="0063024E"/>
    <w:rsid w:val="006306A1"/>
    <w:rsid w:val="0063075E"/>
    <w:rsid w:val="0063080C"/>
    <w:rsid w:val="00630817"/>
    <w:rsid w:val="0063099C"/>
    <w:rsid w:val="00630A44"/>
    <w:rsid w:val="00630AE8"/>
    <w:rsid w:val="0063118F"/>
    <w:rsid w:val="00631238"/>
    <w:rsid w:val="0063125B"/>
    <w:rsid w:val="006313BB"/>
    <w:rsid w:val="0063159D"/>
    <w:rsid w:val="00631A47"/>
    <w:rsid w:val="00632179"/>
    <w:rsid w:val="006328EE"/>
    <w:rsid w:val="006329E7"/>
    <w:rsid w:val="00632FBD"/>
    <w:rsid w:val="00633537"/>
    <w:rsid w:val="00633977"/>
    <w:rsid w:val="006339F5"/>
    <w:rsid w:val="00634538"/>
    <w:rsid w:val="00634942"/>
    <w:rsid w:val="00634B2B"/>
    <w:rsid w:val="00634F5E"/>
    <w:rsid w:val="00635055"/>
    <w:rsid w:val="006350CE"/>
    <w:rsid w:val="00635568"/>
    <w:rsid w:val="006358DB"/>
    <w:rsid w:val="00635936"/>
    <w:rsid w:val="00635A9E"/>
    <w:rsid w:val="00635FBD"/>
    <w:rsid w:val="00636109"/>
    <w:rsid w:val="00636950"/>
    <w:rsid w:val="00636A23"/>
    <w:rsid w:val="00636E8B"/>
    <w:rsid w:val="006370DF"/>
    <w:rsid w:val="0063725A"/>
    <w:rsid w:val="006373A9"/>
    <w:rsid w:val="00637512"/>
    <w:rsid w:val="0063765E"/>
    <w:rsid w:val="00637734"/>
    <w:rsid w:val="00637FE0"/>
    <w:rsid w:val="00640027"/>
    <w:rsid w:val="006401F2"/>
    <w:rsid w:val="00640433"/>
    <w:rsid w:val="00640AAA"/>
    <w:rsid w:val="00640C46"/>
    <w:rsid w:val="00640D9B"/>
    <w:rsid w:val="00640F5F"/>
    <w:rsid w:val="0064109A"/>
    <w:rsid w:val="00641B0B"/>
    <w:rsid w:val="00642BE8"/>
    <w:rsid w:val="00642E56"/>
    <w:rsid w:val="00642EE9"/>
    <w:rsid w:val="0064313F"/>
    <w:rsid w:val="00643334"/>
    <w:rsid w:val="0064344B"/>
    <w:rsid w:val="0064347A"/>
    <w:rsid w:val="006435ED"/>
    <w:rsid w:val="0064398E"/>
    <w:rsid w:val="00643D39"/>
    <w:rsid w:val="00644166"/>
    <w:rsid w:val="006442A1"/>
    <w:rsid w:val="006443A4"/>
    <w:rsid w:val="00644437"/>
    <w:rsid w:val="00645610"/>
    <w:rsid w:val="00645799"/>
    <w:rsid w:val="00645849"/>
    <w:rsid w:val="00645943"/>
    <w:rsid w:val="0064601B"/>
    <w:rsid w:val="006464A8"/>
    <w:rsid w:val="006465A5"/>
    <w:rsid w:val="00646730"/>
    <w:rsid w:val="006468BF"/>
    <w:rsid w:val="006469BC"/>
    <w:rsid w:val="00646DC7"/>
    <w:rsid w:val="00647197"/>
    <w:rsid w:val="00647CBE"/>
    <w:rsid w:val="00650637"/>
    <w:rsid w:val="00650781"/>
    <w:rsid w:val="00650D36"/>
    <w:rsid w:val="00650DC6"/>
    <w:rsid w:val="0065100F"/>
    <w:rsid w:val="006513C7"/>
    <w:rsid w:val="0065158D"/>
    <w:rsid w:val="00651760"/>
    <w:rsid w:val="006517CC"/>
    <w:rsid w:val="00652202"/>
    <w:rsid w:val="0065241A"/>
    <w:rsid w:val="00653199"/>
    <w:rsid w:val="006532C5"/>
    <w:rsid w:val="00653369"/>
    <w:rsid w:val="0065360C"/>
    <w:rsid w:val="00653A23"/>
    <w:rsid w:val="00653D8B"/>
    <w:rsid w:val="006546DD"/>
    <w:rsid w:val="006552DE"/>
    <w:rsid w:val="0065577E"/>
    <w:rsid w:val="0065615F"/>
    <w:rsid w:val="0065629A"/>
    <w:rsid w:val="0065634A"/>
    <w:rsid w:val="006564B3"/>
    <w:rsid w:val="00656680"/>
    <w:rsid w:val="006566A5"/>
    <w:rsid w:val="00656C16"/>
    <w:rsid w:val="00656C6B"/>
    <w:rsid w:val="00656D35"/>
    <w:rsid w:val="00656DD7"/>
    <w:rsid w:val="00656E01"/>
    <w:rsid w:val="00657097"/>
    <w:rsid w:val="00657101"/>
    <w:rsid w:val="0065730A"/>
    <w:rsid w:val="00657EA3"/>
    <w:rsid w:val="00660522"/>
    <w:rsid w:val="006606B7"/>
    <w:rsid w:val="00660F7B"/>
    <w:rsid w:val="006613E1"/>
    <w:rsid w:val="006616C1"/>
    <w:rsid w:val="00661A63"/>
    <w:rsid w:val="00662A09"/>
    <w:rsid w:val="00662CD1"/>
    <w:rsid w:val="00662D22"/>
    <w:rsid w:val="00662D59"/>
    <w:rsid w:val="00662F75"/>
    <w:rsid w:val="006632CA"/>
    <w:rsid w:val="006634B7"/>
    <w:rsid w:val="0066390A"/>
    <w:rsid w:val="00663B80"/>
    <w:rsid w:val="00664344"/>
    <w:rsid w:val="00664607"/>
    <w:rsid w:val="006646D7"/>
    <w:rsid w:val="00664805"/>
    <w:rsid w:val="00664DEC"/>
    <w:rsid w:val="00664E8C"/>
    <w:rsid w:val="00665148"/>
    <w:rsid w:val="00665268"/>
    <w:rsid w:val="006652B8"/>
    <w:rsid w:val="0066544C"/>
    <w:rsid w:val="00665678"/>
    <w:rsid w:val="006660D8"/>
    <w:rsid w:val="006660F9"/>
    <w:rsid w:val="00666498"/>
    <w:rsid w:val="00666643"/>
    <w:rsid w:val="0066667B"/>
    <w:rsid w:val="00666C30"/>
    <w:rsid w:val="00666F82"/>
    <w:rsid w:val="006674C9"/>
    <w:rsid w:val="006677CE"/>
    <w:rsid w:val="00667D3D"/>
    <w:rsid w:val="0067004F"/>
    <w:rsid w:val="006703FF"/>
    <w:rsid w:val="00670975"/>
    <w:rsid w:val="006709E2"/>
    <w:rsid w:val="00670D57"/>
    <w:rsid w:val="00671053"/>
    <w:rsid w:val="006711A7"/>
    <w:rsid w:val="00671246"/>
    <w:rsid w:val="006714EE"/>
    <w:rsid w:val="00671A33"/>
    <w:rsid w:val="00671CA3"/>
    <w:rsid w:val="00671DF9"/>
    <w:rsid w:val="006723C9"/>
    <w:rsid w:val="006724A7"/>
    <w:rsid w:val="00672534"/>
    <w:rsid w:val="00672740"/>
    <w:rsid w:val="006727AC"/>
    <w:rsid w:val="0067295A"/>
    <w:rsid w:val="00672ABA"/>
    <w:rsid w:val="00672D59"/>
    <w:rsid w:val="00673339"/>
    <w:rsid w:val="00673EA8"/>
    <w:rsid w:val="0067418B"/>
    <w:rsid w:val="006741B9"/>
    <w:rsid w:val="006747E4"/>
    <w:rsid w:val="006756C2"/>
    <w:rsid w:val="006758FA"/>
    <w:rsid w:val="00675D0C"/>
    <w:rsid w:val="00675FBC"/>
    <w:rsid w:val="00676062"/>
    <w:rsid w:val="00676486"/>
    <w:rsid w:val="00676533"/>
    <w:rsid w:val="006767B9"/>
    <w:rsid w:val="0067697B"/>
    <w:rsid w:val="00676A98"/>
    <w:rsid w:val="00676CBB"/>
    <w:rsid w:val="006770B2"/>
    <w:rsid w:val="00677134"/>
    <w:rsid w:val="00677B24"/>
    <w:rsid w:val="00677F16"/>
    <w:rsid w:val="0068020B"/>
    <w:rsid w:val="006803C2"/>
    <w:rsid w:val="006804D2"/>
    <w:rsid w:val="00680731"/>
    <w:rsid w:val="006807B1"/>
    <w:rsid w:val="00680AB7"/>
    <w:rsid w:val="006817B8"/>
    <w:rsid w:val="00681EB2"/>
    <w:rsid w:val="006825F1"/>
    <w:rsid w:val="0068272F"/>
    <w:rsid w:val="0068308B"/>
    <w:rsid w:val="0068315C"/>
    <w:rsid w:val="00683573"/>
    <w:rsid w:val="00683A2D"/>
    <w:rsid w:val="00683A4A"/>
    <w:rsid w:val="00684201"/>
    <w:rsid w:val="006842AE"/>
    <w:rsid w:val="006844D2"/>
    <w:rsid w:val="00684652"/>
    <w:rsid w:val="0068465B"/>
    <w:rsid w:val="00684D9F"/>
    <w:rsid w:val="00685239"/>
    <w:rsid w:val="00685542"/>
    <w:rsid w:val="006855B1"/>
    <w:rsid w:val="0068608B"/>
    <w:rsid w:val="0068625E"/>
    <w:rsid w:val="00686F7B"/>
    <w:rsid w:val="00687BD8"/>
    <w:rsid w:val="00687E27"/>
    <w:rsid w:val="00690139"/>
    <w:rsid w:val="00690B1C"/>
    <w:rsid w:val="00690E84"/>
    <w:rsid w:val="00691425"/>
    <w:rsid w:val="00691C3A"/>
    <w:rsid w:val="00691F67"/>
    <w:rsid w:val="006926EE"/>
    <w:rsid w:val="0069300E"/>
    <w:rsid w:val="006935BE"/>
    <w:rsid w:val="00693FE8"/>
    <w:rsid w:val="006944DB"/>
    <w:rsid w:val="00694E8F"/>
    <w:rsid w:val="0069526E"/>
    <w:rsid w:val="0069548C"/>
    <w:rsid w:val="00695522"/>
    <w:rsid w:val="00695590"/>
    <w:rsid w:val="00695956"/>
    <w:rsid w:val="00695A3E"/>
    <w:rsid w:val="00695B99"/>
    <w:rsid w:val="00695DC9"/>
    <w:rsid w:val="00695E63"/>
    <w:rsid w:val="00695EEB"/>
    <w:rsid w:val="00696878"/>
    <w:rsid w:val="00696BD9"/>
    <w:rsid w:val="00696E64"/>
    <w:rsid w:val="006971B6"/>
    <w:rsid w:val="00697321"/>
    <w:rsid w:val="006978DE"/>
    <w:rsid w:val="00697D6B"/>
    <w:rsid w:val="006A0502"/>
    <w:rsid w:val="006A0651"/>
    <w:rsid w:val="006A121A"/>
    <w:rsid w:val="006A1256"/>
    <w:rsid w:val="006A1434"/>
    <w:rsid w:val="006A1B64"/>
    <w:rsid w:val="006A1F88"/>
    <w:rsid w:val="006A1FFD"/>
    <w:rsid w:val="006A25E6"/>
    <w:rsid w:val="006A2823"/>
    <w:rsid w:val="006A2879"/>
    <w:rsid w:val="006A2A80"/>
    <w:rsid w:val="006A2D14"/>
    <w:rsid w:val="006A2F2F"/>
    <w:rsid w:val="006A3068"/>
    <w:rsid w:val="006A3667"/>
    <w:rsid w:val="006A3763"/>
    <w:rsid w:val="006A3CB1"/>
    <w:rsid w:val="006A49F8"/>
    <w:rsid w:val="006A4B73"/>
    <w:rsid w:val="006A50F5"/>
    <w:rsid w:val="006A5148"/>
    <w:rsid w:val="006A5863"/>
    <w:rsid w:val="006A58DF"/>
    <w:rsid w:val="006A593B"/>
    <w:rsid w:val="006A5F82"/>
    <w:rsid w:val="006A62F0"/>
    <w:rsid w:val="006A6D7D"/>
    <w:rsid w:val="006A715B"/>
    <w:rsid w:val="006A7223"/>
    <w:rsid w:val="006A7933"/>
    <w:rsid w:val="006B0159"/>
    <w:rsid w:val="006B05B3"/>
    <w:rsid w:val="006B071E"/>
    <w:rsid w:val="006B0B12"/>
    <w:rsid w:val="006B0D0C"/>
    <w:rsid w:val="006B0F6D"/>
    <w:rsid w:val="006B164B"/>
    <w:rsid w:val="006B1D92"/>
    <w:rsid w:val="006B1FA9"/>
    <w:rsid w:val="006B2135"/>
    <w:rsid w:val="006B28F7"/>
    <w:rsid w:val="006B32E0"/>
    <w:rsid w:val="006B349A"/>
    <w:rsid w:val="006B3C1D"/>
    <w:rsid w:val="006B4462"/>
    <w:rsid w:val="006B4625"/>
    <w:rsid w:val="006B46D2"/>
    <w:rsid w:val="006B4870"/>
    <w:rsid w:val="006B4ABF"/>
    <w:rsid w:val="006B4C28"/>
    <w:rsid w:val="006B4E23"/>
    <w:rsid w:val="006B5106"/>
    <w:rsid w:val="006B547A"/>
    <w:rsid w:val="006B553D"/>
    <w:rsid w:val="006B5EBD"/>
    <w:rsid w:val="006B69CA"/>
    <w:rsid w:val="006B6DE7"/>
    <w:rsid w:val="006B748D"/>
    <w:rsid w:val="006B76B2"/>
    <w:rsid w:val="006B7730"/>
    <w:rsid w:val="006B7A9F"/>
    <w:rsid w:val="006B7B07"/>
    <w:rsid w:val="006B7DEE"/>
    <w:rsid w:val="006B7F44"/>
    <w:rsid w:val="006B7FC7"/>
    <w:rsid w:val="006C0DDC"/>
    <w:rsid w:val="006C0F1E"/>
    <w:rsid w:val="006C164D"/>
    <w:rsid w:val="006C27FA"/>
    <w:rsid w:val="006C2E06"/>
    <w:rsid w:val="006C3CB9"/>
    <w:rsid w:val="006C3E99"/>
    <w:rsid w:val="006C424D"/>
    <w:rsid w:val="006C4303"/>
    <w:rsid w:val="006C4861"/>
    <w:rsid w:val="006C4C9E"/>
    <w:rsid w:val="006C52F5"/>
    <w:rsid w:val="006C59E5"/>
    <w:rsid w:val="006C5BBB"/>
    <w:rsid w:val="006C6BBD"/>
    <w:rsid w:val="006C7B59"/>
    <w:rsid w:val="006C7CDF"/>
    <w:rsid w:val="006D04A2"/>
    <w:rsid w:val="006D07E1"/>
    <w:rsid w:val="006D0C90"/>
    <w:rsid w:val="006D0D3B"/>
    <w:rsid w:val="006D1417"/>
    <w:rsid w:val="006D182B"/>
    <w:rsid w:val="006D1B28"/>
    <w:rsid w:val="006D1E34"/>
    <w:rsid w:val="006D1F20"/>
    <w:rsid w:val="006D245D"/>
    <w:rsid w:val="006D284F"/>
    <w:rsid w:val="006D2B7A"/>
    <w:rsid w:val="006D2E0E"/>
    <w:rsid w:val="006D333B"/>
    <w:rsid w:val="006D397D"/>
    <w:rsid w:val="006D3A65"/>
    <w:rsid w:val="006D3EB9"/>
    <w:rsid w:val="006D4352"/>
    <w:rsid w:val="006D5059"/>
    <w:rsid w:val="006D5C5C"/>
    <w:rsid w:val="006D6550"/>
    <w:rsid w:val="006D6EAD"/>
    <w:rsid w:val="006D6F9A"/>
    <w:rsid w:val="006D7148"/>
    <w:rsid w:val="006E0CB7"/>
    <w:rsid w:val="006E0E3C"/>
    <w:rsid w:val="006E0E91"/>
    <w:rsid w:val="006E1216"/>
    <w:rsid w:val="006E1234"/>
    <w:rsid w:val="006E15C7"/>
    <w:rsid w:val="006E1868"/>
    <w:rsid w:val="006E1A31"/>
    <w:rsid w:val="006E1D04"/>
    <w:rsid w:val="006E1F99"/>
    <w:rsid w:val="006E1FA4"/>
    <w:rsid w:val="006E2277"/>
    <w:rsid w:val="006E2988"/>
    <w:rsid w:val="006E2B1D"/>
    <w:rsid w:val="006E2CD7"/>
    <w:rsid w:val="006E2DF6"/>
    <w:rsid w:val="006E2F8A"/>
    <w:rsid w:val="006E38DA"/>
    <w:rsid w:val="006E3E6B"/>
    <w:rsid w:val="006E424A"/>
    <w:rsid w:val="006E4265"/>
    <w:rsid w:val="006E45FF"/>
    <w:rsid w:val="006E46D2"/>
    <w:rsid w:val="006E4A53"/>
    <w:rsid w:val="006E4C4A"/>
    <w:rsid w:val="006E4DDE"/>
    <w:rsid w:val="006E5053"/>
    <w:rsid w:val="006E529B"/>
    <w:rsid w:val="006E56E0"/>
    <w:rsid w:val="006E5BED"/>
    <w:rsid w:val="006E5C1C"/>
    <w:rsid w:val="006E5ED2"/>
    <w:rsid w:val="006E69B7"/>
    <w:rsid w:val="006E7688"/>
    <w:rsid w:val="006E7721"/>
    <w:rsid w:val="006E7BCF"/>
    <w:rsid w:val="006F0019"/>
    <w:rsid w:val="006F01D7"/>
    <w:rsid w:val="006F0B84"/>
    <w:rsid w:val="006F0D7A"/>
    <w:rsid w:val="006F0E54"/>
    <w:rsid w:val="006F116F"/>
    <w:rsid w:val="006F160D"/>
    <w:rsid w:val="006F18E9"/>
    <w:rsid w:val="006F1B1A"/>
    <w:rsid w:val="006F1C0A"/>
    <w:rsid w:val="006F1E01"/>
    <w:rsid w:val="006F227F"/>
    <w:rsid w:val="006F27F0"/>
    <w:rsid w:val="006F292B"/>
    <w:rsid w:val="006F29CE"/>
    <w:rsid w:val="006F2ABE"/>
    <w:rsid w:val="006F2B75"/>
    <w:rsid w:val="006F2BB6"/>
    <w:rsid w:val="006F3597"/>
    <w:rsid w:val="006F35B1"/>
    <w:rsid w:val="006F35E6"/>
    <w:rsid w:val="006F399F"/>
    <w:rsid w:val="006F3DFE"/>
    <w:rsid w:val="006F4141"/>
    <w:rsid w:val="006F4175"/>
    <w:rsid w:val="006F46F1"/>
    <w:rsid w:val="006F4966"/>
    <w:rsid w:val="006F4A24"/>
    <w:rsid w:val="006F4AF1"/>
    <w:rsid w:val="006F4BDA"/>
    <w:rsid w:val="006F4D4F"/>
    <w:rsid w:val="006F54E3"/>
    <w:rsid w:val="006F566C"/>
    <w:rsid w:val="006F5763"/>
    <w:rsid w:val="006F5818"/>
    <w:rsid w:val="006F5AB9"/>
    <w:rsid w:val="006F5F4E"/>
    <w:rsid w:val="006F6B76"/>
    <w:rsid w:val="006F704E"/>
    <w:rsid w:val="006F70D4"/>
    <w:rsid w:val="006F7367"/>
    <w:rsid w:val="006F743C"/>
    <w:rsid w:val="006F755B"/>
    <w:rsid w:val="006F76BA"/>
    <w:rsid w:val="006F7F75"/>
    <w:rsid w:val="00700D41"/>
    <w:rsid w:val="007013A5"/>
    <w:rsid w:val="007013F3"/>
    <w:rsid w:val="00701785"/>
    <w:rsid w:val="007019E3"/>
    <w:rsid w:val="007023B5"/>
    <w:rsid w:val="00702594"/>
    <w:rsid w:val="00703292"/>
    <w:rsid w:val="00703572"/>
    <w:rsid w:val="007035BB"/>
    <w:rsid w:val="007035DF"/>
    <w:rsid w:val="00703A44"/>
    <w:rsid w:val="00703ACC"/>
    <w:rsid w:val="0070405B"/>
    <w:rsid w:val="0070406C"/>
    <w:rsid w:val="007043C9"/>
    <w:rsid w:val="0070488B"/>
    <w:rsid w:val="00704917"/>
    <w:rsid w:val="00704BD7"/>
    <w:rsid w:val="00705BE0"/>
    <w:rsid w:val="00705C0D"/>
    <w:rsid w:val="00706166"/>
    <w:rsid w:val="0070667F"/>
    <w:rsid w:val="00706693"/>
    <w:rsid w:val="00706B1C"/>
    <w:rsid w:val="00706EBA"/>
    <w:rsid w:val="00706EC2"/>
    <w:rsid w:val="00707415"/>
    <w:rsid w:val="00707853"/>
    <w:rsid w:val="007078D0"/>
    <w:rsid w:val="007079AE"/>
    <w:rsid w:val="00707AD7"/>
    <w:rsid w:val="00710209"/>
    <w:rsid w:val="0071083C"/>
    <w:rsid w:val="00710D95"/>
    <w:rsid w:val="00712149"/>
    <w:rsid w:val="00712314"/>
    <w:rsid w:val="00712339"/>
    <w:rsid w:val="00712897"/>
    <w:rsid w:val="00712EF5"/>
    <w:rsid w:val="0071317D"/>
    <w:rsid w:val="007132C9"/>
    <w:rsid w:val="007136F6"/>
    <w:rsid w:val="00713701"/>
    <w:rsid w:val="00713A33"/>
    <w:rsid w:val="00713AE8"/>
    <w:rsid w:val="0071402F"/>
    <w:rsid w:val="007142E7"/>
    <w:rsid w:val="007145DA"/>
    <w:rsid w:val="00714951"/>
    <w:rsid w:val="00714A19"/>
    <w:rsid w:val="00714AED"/>
    <w:rsid w:val="00714D68"/>
    <w:rsid w:val="007152E1"/>
    <w:rsid w:val="00715BBE"/>
    <w:rsid w:val="00715D4E"/>
    <w:rsid w:val="00715E1A"/>
    <w:rsid w:val="00715EB3"/>
    <w:rsid w:val="007162BD"/>
    <w:rsid w:val="00716A30"/>
    <w:rsid w:val="00716B3C"/>
    <w:rsid w:val="00717425"/>
    <w:rsid w:val="00717DA7"/>
    <w:rsid w:val="00717E12"/>
    <w:rsid w:val="00720327"/>
    <w:rsid w:val="0072034A"/>
    <w:rsid w:val="007205AB"/>
    <w:rsid w:val="00720DBB"/>
    <w:rsid w:val="00721435"/>
    <w:rsid w:val="0072174E"/>
    <w:rsid w:val="007217DE"/>
    <w:rsid w:val="007218C4"/>
    <w:rsid w:val="007219C7"/>
    <w:rsid w:val="00721A7C"/>
    <w:rsid w:val="00721EA3"/>
    <w:rsid w:val="007222E2"/>
    <w:rsid w:val="00722317"/>
    <w:rsid w:val="00723500"/>
    <w:rsid w:val="00723501"/>
    <w:rsid w:val="00723536"/>
    <w:rsid w:val="0072379C"/>
    <w:rsid w:val="00723836"/>
    <w:rsid w:val="00723B0A"/>
    <w:rsid w:val="00723BB9"/>
    <w:rsid w:val="00723C4E"/>
    <w:rsid w:val="0072417E"/>
    <w:rsid w:val="00724606"/>
    <w:rsid w:val="00724699"/>
    <w:rsid w:val="00724772"/>
    <w:rsid w:val="00724BB8"/>
    <w:rsid w:val="00724DA3"/>
    <w:rsid w:val="0072534E"/>
    <w:rsid w:val="007253E8"/>
    <w:rsid w:val="007254C3"/>
    <w:rsid w:val="00725751"/>
    <w:rsid w:val="007258B0"/>
    <w:rsid w:val="007258C7"/>
    <w:rsid w:val="00725F05"/>
    <w:rsid w:val="007261E1"/>
    <w:rsid w:val="00726CB0"/>
    <w:rsid w:val="00726D34"/>
    <w:rsid w:val="00726F14"/>
    <w:rsid w:val="00727349"/>
    <w:rsid w:val="0072792F"/>
    <w:rsid w:val="00727BE1"/>
    <w:rsid w:val="00727DBD"/>
    <w:rsid w:val="007304FF"/>
    <w:rsid w:val="00730735"/>
    <w:rsid w:val="00731085"/>
    <w:rsid w:val="00731892"/>
    <w:rsid w:val="007318AE"/>
    <w:rsid w:val="007318E1"/>
    <w:rsid w:val="00731BBD"/>
    <w:rsid w:val="0073254E"/>
    <w:rsid w:val="00732DD0"/>
    <w:rsid w:val="00732FEC"/>
    <w:rsid w:val="0073300B"/>
    <w:rsid w:val="00733124"/>
    <w:rsid w:val="00733161"/>
    <w:rsid w:val="007337DE"/>
    <w:rsid w:val="007338D4"/>
    <w:rsid w:val="00733958"/>
    <w:rsid w:val="0073397B"/>
    <w:rsid w:val="00733C94"/>
    <w:rsid w:val="00733DC1"/>
    <w:rsid w:val="00734238"/>
    <w:rsid w:val="007345AC"/>
    <w:rsid w:val="007348EF"/>
    <w:rsid w:val="00734A3F"/>
    <w:rsid w:val="00734DAF"/>
    <w:rsid w:val="00735168"/>
    <w:rsid w:val="0073538C"/>
    <w:rsid w:val="0073551B"/>
    <w:rsid w:val="00735A18"/>
    <w:rsid w:val="007364DC"/>
    <w:rsid w:val="007369EE"/>
    <w:rsid w:val="00736D44"/>
    <w:rsid w:val="007370E9"/>
    <w:rsid w:val="00737246"/>
    <w:rsid w:val="007373D6"/>
    <w:rsid w:val="007373FD"/>
    <w:rsid w:val="0073764B"/>
    <w:rsid w:val="00737F21"/>
    <w:rsid w:val="00740018"/>
    <w:rsid w:val="0074045C"/>
    <w:rsid w:val="007404B3"/>
    <w:rsid w:val="007405DE"/>
    <w:rsid w:val="00740EAA"/>
    <w:rsid w:val="00741574"/>
    <w:rsid w:val="00741B20"/>
    <w:rsid w:val="00741D49"/>
    <w:rsid w:val="00741DDF"/>
    <w:rsid w:val="00741F8C"/>
    <w:rsid w:val="00742AED"/>
    <w:rsid w:val="00742CC3"/>
    <w:rsid w:val="00742E64"/>
    <w:rsid w:val="0074302A"/>
    <w:rsid w:val="007433D7"/>
    <w:rsid w:val="0074353A"/>
    <w:rsid w:val="007435E9"/>
    <w:rsid w:val="00743A72"/>
    <w:rsid w:val="00743F0F"/>
    <w:rsid w:val="0074420F"/>
    <w:rsid w:val="00744723"/>
    <w:rsid w:val="00744D1F"/>
    <w:rsid w:val="00745019"/>
    <w:rsid w:val="00745041"/>
    <w:rsid w:val="00745AF4"/>
    <w:rsid w:val="00745E31"/>
    <w:rsid w:val="0074642A"/>
    <w:rsid w:val="00746603"/>
    <w:rsid w:val="00746BA9"/>
    <w:rsid w:val="00746CD2"/>
    <w:rsid w:val="00746D97"/>
    <w:rsid w:val="0074703C"/>
    <w:rsid w:val="00747636"/>
    <w:rsid w:val="007479E6"/>
    <w:rsid w:val="00747C45"/>
    <w:rsid w:val="00750937"/>
    <w:rsid w:val="007516E8"/>
    <w:rsid w:val="0075188B"/>
    <w:rsid w:val="00751CC5"/>
    <w:rsid w:val="00752E9C"/>
    <w:rsid w:val="007530CB"/>
    <w:rsid w:val="007533DD"/>
    <w:rsid w:val="007538BE"/>
    <w:rsid w:val="007540C0"/>
    <w:rsid w:val="007540D6"/>
    <w:rsid w:val="007557B3"/>
    <w:rsid w:val="00755A23"/>
    <w:rsid w:val="00755B55"/>
    <w:rsid w:val="00755EB2"/>
    <w:rsid w:val="0075671C"/>
    <w:rsid w:val="00756A74"/>
    <w:rsid w:val="00756AB1"/>
    <w:rsid w:val="007574A4"/>
    <w:rsid w:val="00757D0C"/>
    <w:rsid w:val="00757ED3"/>
    <w:rsid w:val="007610A6"/>
    <w:rsid w:val="00761441"/>
    <w:rsid w:val="0076146B"/>
    <w:rsid w:val="007617B9"/>
    <w:rsid w:val="00761B5B"/>
    <w:rsid w:val="00761BBD"/>
    <w:rsid w:val="00761F5F"/>
    <w:rsid w:val="00762C94"/>
    <w:rsid w:val="00763912"/>
    <w:rsid w:val="00763BA1"/>
    <w:rsid w:val="00763FF3"/>
    <w:rsid w:val="00764067"/>
    <w:rsid w:val="00764130"/>
    <w:rsid w:val="00764196"/>
    <w:rsid w:val="00764576"/>
    <w:rsid w:val="00764758"/>
    <w:rsid w:val="007649E2"/>
    <w:rsid w:val="00764AFB"/>
    <w:rsid w:val="0076524C"/>
    <w:rsid w:val="00765303"/>
    <w:rsid w:val="007658FF"/>
    <w:rsid w:val="00765BF7"/>
    <w:rsid w:val="00766132"/>
    <w:rsid w:val="00766473"/>
    <w:rsid w:val="00766C6F"/>
    <w:rsid w:val="007670EE"/>
    <w:rsid w:val="00767443"/>
    <w:rsid w:val="007676AA"/>
    <w:rsid w:val="00767F19"/>
    <w:rsid w:val="00770060"/>
    <w:rsid w:val="00770181"/>
    <w:rsid w:val="007701AB"/>
    <w:rsid w:val="00770B29"/>
    <w:rsid w:val="00771072"/>
    <w:rsid w:val="0077111E"/>
    <w:rsid w:val="00771307"/>
    <w:rsid w:val="00771336"/>
    <w:rsid w:val="00771A0D"/>
    <w:rsid w:val="00772223"/>
    <w:rsid w:val="00772A43"/>
    <w:rsid w:val="00772F7B"/>
    <w:rsid w:val="007731AC"/>
    <w:rsid w:val="00773576"/>
    <w:rsid w:val="007737B7"/>
    <w:rsid w:val="007739D7"/>
    <w:rsid w:val="00773A3D"/>
    <w:rsid w:val="00773AF7"/>
    <w:rsid w:val="007740F0"/>
    <w:rsid w:val="00774CC1"/>
    <w:rsid w:val="007756BF"/>
    <w:rsid w:val="007757FB"/>
    <w:rsid w:val="00775931"/>
    <w:rsid w:val="00775EEC"/>
    <w:rsid w:val="007762E6"/>
    <w:rsid w:val="0077645D"/>
    <w:rsid w:val="00776CDC"/>
    <w:rsid w:val="0077739C"/>
    <w:rsid w:val="00777B36"/>
    <w:rsid w:val="00777E8B"/>
    <w:rsid w:val="00777EE7"/>
    <w:rsid w:val="00780312"/>
    <w:rsid w:val="0078069E"/>
    <w:rsid w:val="007807D6"/>
    <w:rsid w:val="00780938"/>
    <w:rsid w:val="00781C0A"/>
    <w:rsid w:val="007820D5"/>
    <w:rsid w:val="00782A57"/>
    <w:rsid w:val="00783033"/>
    <w:rsid w:val="0078323A"/>
    <w:rsid w:val="00783A5A"/>
    <w:rsid w:val="007847FD"/>
    <w:rsid w:val="00784A07"/>
    <w:rsid w:val="00784A40"/>
    <w:rsid w:val="00785C65"/>
    <w:rsid w:val="00786A94"/>
    <w:rsid w:val="00786B3C"/>
    <w:rsid w:val="00786BB9"/>
    <w:rsid w:val="007871C1"/>
    <w:rsid w:val="0078747C"/>
    <w:rsid w:val="00787B71"/>
    <w:rsid w:val="00787D4D"/>
    <w:rsid w:val="00787EA3"/>
    <w:rsid w:val="00790BA0"/>
    <w:rsid w:val="00790CB0"/>
    <w:rsid w:val="00791792"/>
    <w:rsid w:val="00791CC0"/>
    <w:rsid w:val="00791D8B"/>
    <w:rsid w:val="00791E8B"/>
    <w:rsid w:val="00792230"/>
    <w:rsid w:val="0079291F"/>
    <w:rsid w:val="00793002"/>
    <w:rsid w:val="007932D2"/>
    <w:rsid w:val="007934AF"/>
    <w:rsid w:val="007935B8"/>
    <w:rsid w:val="007935F1"/>
    <w:rsid w:val="00793AF2"/>
    <w:rsid w:val="00793DDA"/>
    <w:rsid w:val="007940A9"/>
    <w:rsid w:val="007947C7"/>
    <w:rsid w:val="00795021"/>
    <w:rsid w:val="0079518F"/>
    <w:rsid w:val="00795E53"/>
    <w:rsid w:val="007964DB"/>
    <w:rsid w:val="00796604"/>
    <w:rsid w:val="00796A22"/>
    <w:rsid w:val="00796AB8"/>
    <w:rsid w:val="00796FDC"/>
    <w:rsid w:val="007971ED"/>
    <w:rsid w:val="007974E4"/>
    <w:rsid w:val="0079762D"/>
    <w:rsid w:val="0079784E"/>
    <w:rsid w:val="00797B53"/>
    <w:rsid w:val="00797DAD"/>
    <w:rsid w:val="007A0893"/>
    <w:rsid w:val="007A0C49"/>
    <w:rsid w:val="007A0CAF"/>
    <w:rsid w:val="007A0EA7"/>
    <w:rsid w:val="007A0EB7"/>
    <w:rsid w:val="007A0F72"/>
    <w:rsid w:val="007A1DD6"/>
    <w:rsid w:val="007A1E6F"/>
    <w:rsid w:val="007A24E4"/>
    <w:rsid w:val="007A2AB3"/>
    <w:rsid w:val="007A31F5"/>
    <w:rsid w:val="007A3557"/>
    <w:rsid w:val="007A3710"/>
    <w:rsid w:val="007A3CB3"/>
    <w:rsid w:val="007A3EAA"/>
    <w:rsid w:val="007A4486"/>
    <w:rsid w:val="007A45C4"/>
    <w:rsid w:val="007A45C7"/>
    <w:rsid w:val="007A4966"/>
    <w:rsid w:val="007A4A9A"/>
    <w:rsid w:val="007A4B7F"/>
    <w:rsid w:val="007A4C89"/>
    <w:rsid w:val="007A4EB2"/>
    <w:rsid w:val="007A51F0"/>
    <w:rsid w:val="007A5214"/>
    <w:rsid w:val="007A5626"/>
    <w:rsid w:val="007A5628"/>
    <w:rsid w:val="007A64E9"/>
    <w:rsid w:val="007A6608"/>
    <w:rsid w:val="007A6769"/>
    <w:rsid w:val="007A6A54"/>
    <w:rsid w:val="007A6D5E"/>
    <w:rsid w:val="007A7242"/>
    <w:rsid w:val="007A7566"/>
    <w:rsid w:val="007A756F"/>
    <w:rsid w:val="007A7721"/>
    <w:rsid w:val="007A7AF7"/>
    <w:rsid w:val="007A7B91"/>
    <w:rsid w:val="007A7CF3"/>
    <w:rsid w:val="007B0020"/>
    <w:rsid w:val="007B01DD"/>
    <w:rsid w:val="007B0A4D"/>
    <w:rsid w:val="007B0C56"/>
    <w:rsid w:val="007B1878"/>
    <w:rsid w:val="007B1903"/>
    <w:rsid w:val="007B1906"/>
    <w:rsid w:val="007B19A3"/>
    <w:rsid w:val="007B1F44"/>
    <w:rsid w:val="007B1F73"/>
    <w:rsid w:val="007B1F74"/>
    <w:rsid w:val="007B1FCB"/>
    <w:rsid w:val="007B2066"/>
    <w:rsid w:val="007B21C0"/>
    <w:rsid w:val="007B232E"/>
    <w:rsid w:val="007B244C"/>
    <w:rsid w:val="007B26B5"/>
    <w:rsid w:val="007B2CDA"/>
    <w:rsid w:val="007B40C5"/>
    <w:rsid w:val="007B4118"/>
    <w:rsid w:val="007B4945"/>
    <w:rsid w:val="007B5207"/>
    <w:rsid w:val="007B52CA"/>
    <w:rsid w:val="007B576B"/>
    <w:rsid w:val="007B60B5"/>
    <w:rsid w:val="007B61AF"/>
    <w:rsid w:val="007B6441"/>
    <w:rsid w:val="007B645E"/>
    <w:rsid w:val="007B65B1"/>
    <w:rsid w:val="007B671A"/>
    <w:rsid w:val="007B67E2"/>
    <w:rsid w:val="007B70F1"/>
    <w:rsid w:val="007B7500"/>
    <w:rsid w:val="007B7575"/>
    <w:rsid w:val="007C02A2"/>
    <w:rsid w:val="007C0508"/>
    <w:rsid w:val="007C07BD"/>
    <w:rsid w:val="007C0997"/>
    <w:rsid w:val="007C0A78"/>
    <w:rsid w:val="007C10EE"/>
    <w:rsid w:val="007C133A"/>
    <w:rsid w:val="007C15DA"/>
    <w:rsid w:val="007C169A"/>
    <w:rsid w:val="007C17FB"/>
    <w:rsid w:val="007C1AF4"/>
    <w:rsid w:val="007C1B27"/>
    <w:rsid w:val="007C1EE0"/>
    <w:rsid w:val="007C1FD8"/>
    <w:rsid w:val="007C2060"/>
    <w:rsid w:val="007C230C"/>
    <w:rsid w:val="007C24E1"/>
    <w:rsid w:val="007C24EB"/>
    <w:rsid w:val="007C2D24"/>
    <w:rsid w:val="007C2E5C"/>
    <w:rsid w:val="007C2E92"/>
    <w:rsid w:val="007C2EB5"/>
    <w:rsid w:val="007C37D5"/>
    <w:rsid w:val="007C3F8F"/>
    <w:rsid w:val="007C4091"/>
    <w:rsid w:val="007C40C0"/>
    <w:rsid w:val="007C4192"/>
    <w:rsid w:val="007C4281"/>
    <w:rsid w:val="007C44B4"/>
    <w:rsid w:val="007C4508"/>
    <w:rsid w:val="007C48D6"/>
    <w:rsid w:val="007C4BB5"/>
    <w:rsid w:val="007C4C94"/>
    <w:rsid w:val="007C4D0C"/>
    <w:rsid w:val="007C50BF"/>
    <w:rsid w:val="007C52E7"/>
    <w:rsid w:val="007C53F9"/>
    <w:rsid w:val="007C542C"/>
    <w:rsid w:val="007C55AC"/>
    <w:rsid w:val="007C5A02"/>
    <w:rsid w:val="007C5B68"/>
    <w:rsid w:val="007C5FA2"/>
    <w:rsid w:val="007C646F"/>
    <w:rsid w:val="007C6D3C"/>
    <w:rsid w:val="007C6DFC"/>
    <w:rsid w:val="007C70B0"/>
    <w:rsid w:val="007C70FB"/>
    <w:rsid w:val="007C734B"/>
    <w:rsid w:val="007D0146"/>
    <w:rsid w:val="007D0AA0"/>
    <w:rsid w:val="007D0FC0"/>
    <w:rsid w:val="007D1580"/>
    <w:rsid w:val="007D18D0"/>
    <w:rsid w:val="007D200A"/>
    <w:rsid w:val="007D201D"/>
    <w:rsid w:val="007D22B5"/>
    <w:rsid w:val="007D2353"/>
    <w:rsid w:val="007D2522"/>
    <w:rsid w:val="007D259C"/>
    <w:rsid w:val="007D2A67"/>
    <w:rsid w:val="007D2B1E"/>
    <w:rsid w:val="007D2C59"/>
    <w:rsid w:val="007D3571"/>
    <w:rsid w:val="007D37B5"/>
    <w:rsid w:val="007D39A9"/>
    <w:rsid w:val="007D3D70"/>
    <w:rsid w:val="007D3DE7"/>
    <w:rsid w:val="007D3F98"/>
    <w:rsid w:val="007D4D00"/>
    <w:rsid w:val="007D565F"/>
    <w:rsid w:val="007D5B13"/>
    <w:rsid w:val="007D5BE5"/>
    <w:rsid w:val="007D5DC4"/>
    <w:rsid w:val="007D5EC8"/>
    <w:rsid w:val="007D6053"/>
    <w:rsid w:val="007D624A"/>
    <w:rsid w:val="007D655D"/>
    <w:rsid w:val="007D6B72"/>
    <w:rsid w:val="007D76EE"/>
    <w:rsid w:val="007D7771"/>
    <w:rsid w:val="007D787E"/>
    <w:rsid w:val="007D7C4D"/>
    <w:rsid w:val="007E0097"/>
    <w:rsid w:val="007E0279"/>
    <w:rsid w:val="007E0C65"/>
    <w:rsid w:val="007E101D"/>
    <w:rsid w:val="007E106C"/>
    <w:rsid w:val="007E13F7"/>
    <w:rsid w:val="007E1584"/>
    <w:rsid w:val="007E1849"/>
    <w:rsid w:val="007E2230"/>
    <w:rsid w:val="007E22E7"/>
    <w:rsid w:val="007E2786"/>
    <w:rsid w:val="007E344C"/>
    <w:rsid w:val="007E3648"/>
    <w:rsid w:val="007E38CE"/>
    <w:rsid w:val="007E39DA"/>
    <w:rsid w:val="007E44A2"/>
    <w:rsid w:val="007E4A75"/>
    <w:rsid w:val="007E4FA9"/>
    <w:rsid w:val="007E53FD"/>
    <w:rsid w:val="007E5756"/>
    <w:rsid w:val="007E5F89"/>
    <w:rsid w:val="007E5FC9"/>
    <w:rsid w:val="007E614C"/>
    <w:rsid w:val="007E6221"/>
    <w:rsid w:val="007E6695"/>
    <w:rsid w:val="007E69BB"/>
    <w:rsid w:val="007E6F3C"/>
    <w:rsid w:val="007E772D"/>
    <w:rsid w:val="007E78B5"/>
    <w:rsid w:val="007E7933"/>
    <w:rsid w:val="007E7A94"/>
    <w:rsid w:val="007E7B46"/>
    <w:rsid w:val="007E7E5C"/>
    <w:rsid w:val="007E7FE8"/>
    <w:rsid w:val="007F0446"/>
    <w:rsid w:val="007F056D"/>
    <w:rsid w:val="007F0616"/>
    <w:rsid w:val="007F0881"/>
    <w:rsid w:val="007F0F94"/>
    <w:rsid w:val="007F12D0"/>
    <w:rsid w:val="007F1314"/>
    <w:rsid w:val="007F15E3"/>
    <w:rsid w:val="007F1C41"/>
    <w:rsid w:val="007F1D8A"/>
    <w:rsid w:val="007F1D8E"/>
    <w:rsid w:val="007F2D75"/>
    <w:rsid w:val="007F2E02"/>
    <w:rsid w:val="007F33BD"/>
    <w:rsid w:val="007F3AE1"/>
    <w:rsid w:val="007F3C3D"/>
    <w:rsid w:val="007F41DD"/>
    <w:rsid w:val="007F4352"/>
    <w:rsid w:val="007F449D"/>
    <w:rsid w:val="007F470E"/>
    <w:rsid w:val="007F4822"/>
    <w:rsid w:val="007F498C"/>
    <w:rsid w:val="007F4E43"/>
    <w:rsid w:val="007F4F7F"/>
    <w:rsid w:val="007F594C"/>
    <w:rsid w:val="007F5B77"/>
    <w:rsid w:val="007F5C2F"/>
    <w:rsid w:val="007F62B3"/>
    <w:rsid w:val="007F6537"/>
    <w:rsid w:val="007F65CA"/>
    <w:rsid w:val="007F6D80"/>
    <w:rsid w:val="007F6E2F"/>
    <w:rsid w:val="007F701F"/>
    <w:rsid w:val="007F70B0"/>
    <w:rsid w:val="0080008D"/>
    <w:rsid w:val="00800B17"/>
    <w:rsid w:val="008013D1"/>
    <w:rsid w:val="00801CF2"/>
    <w:rsid w:val="0080233D"/>
    <w:rsid w:val="0080239B"/>
    <w:rsid w:val="00802635"/>
    <w:rsid w:val="00802FB4"/>
    <w:rsid w:val="008033D2"/>
    <w:rsid w:val="008033E9"/>
    <w:rsid w:val="00803816"/>
    <w:rsid w:val="00803924"/>
    <w:rsid w:val="00803B62"/>
    <w:rsid w:val="00803BED"/>
    <w:rsid w:val="00803CAB"/>
    <w:rsid w:val="00803CBA"/>
    <w:rsid w:val="00803F27"/>
    <w:rsid w:val="00804C60"/>
    <w:rsid w:val="008052A1"/>
    <w:rsid w:val="00805792"/>
    <w:rsid w:val="00805794"/>
    <w:rsid w:val="0080582B"/>
    <w:rsid w:val="00805876"/>
    <w:rsid w:val="00805A27"/>
    <w:rsid w:val="00805EB1"/>
    <w:rsid w:val="00806A3C"/>
    <w:rsid w:val="00806DFD"/>
    <w:rsid w:val="0080798D"/>
    <w:rsid w:val="00807B5B"/>
    <w:rsid w:val="008101D9"/>
    <w:rsid w:val="00810D7A"/>
    <w:rsid w:val="00810EF5"/>
    <w:rsid w:val="00810F85"/>
    <w:rsid w:val="008111FB"/>
    <w:rsid w:val="00811372"/>
    <w:rsid w:val="0081146F"/>
    <w:rsid w:val="008115EC"/>
    <w:rsid w:val="00811AEF"/>
    <w:rsid w:val="00811C00"/>
    <w:rsid w:val="00811C2F"/>
    <w:rsid w:val="00811E2B"/>
    <w:rsid w:val="008120BF"/>
    <w:rsid w:val="00813BF5"/>
    <w:rsid w:val="00813C17"/>
    <w:rsid w:val="0081433D"/>
    <w:rsid w:val="0081538E"/>
    <w:rsid w:val="00815DE6"/>
    <w:rsid w:val="0081608A"/>
    <w:rsid w:val="008160C8"/>
    <w:rsid w:val="00816492"/>
    <w:rsid w:val="00816646"/>
    <w:rsid w:val="008169E9"/>
    <w:rsid w:val="008171DA"/>
    <w:rsid w:val="00820842"/>
    <w:rsid w:val="00820D00"/>
    <w:rsid w:val="00820E57"/>
    <w:rsid w:val="00821600"/>
    <w:rsid w:val="008218CF"/>
    <w:rsid w:val="008221EC"/>
    <w:rsid w:val="0082281B"/>
    <w:rsid w:val="00822916"/>
    <w:rsid w:val="00822E11"/>
    <w:rsid w:val="00823A83"/>
    <w:rsid w:val="00823CE1"/>
    <w:rsid w:val="00823D2D"/>
    <w:rsid w:val="0082416B"/>
    <w:rsid w:val="00824238"/>
    <w:rsid w:val="00824364"/>
    <w:rsid w:val="00824E8A"/>
    <w:rsid w:val="00825074"/>
    <w:rsid w:val="008257A7"/>
    <w:rsid w:val="00825805"/>
    <w:rsid w:val="00826A94"/>
    <w:rsid w:val="00826BB2"/>
    <w:rsid w:val="00826C76"/>
    <w:rsid w:val="008278A6"/>
    <w:rsid w:val="008279AA"/>
    <w:rsid w:val="008304B6"/>
    <w:rsid w:val="00830A33"/>
    <w:rsid w:val="0083101D"/>
    <w:rsid w:val="0083123E"/>
    <w:rsid w:val="0083155F"/>
    <w:rsid w:val="00831AA8"/>
    <w:rsid w:val="00832F4C"/>
    <w:rsid w:val="00832F7D"/>
    <w:rsid w:val="00833490"/>
    <w:rsid w:val="0083361C"/>
    <w:rsid w:val="0083387E"/>
    <w:rsid w:val="00833A2F"/>
    <w:rsid w:val="00833FBE"/>
    <w:rsid w:val="00834151"/>
    <w:rsid w:val="00834225"/>
    <w:rsid w:val="0083481A"/>
    <w:rsid w:val="00834DD8"/>
    <w:rsid w:val="00834E26"/>
    <w:rsid w:val="00835D28"/>
    <w:rsid w:val="00835DF4"/>
    <w:rsid w:val="008364BA"/>
    <w:rsid w:val="00836539"/>
    <w:rsid w:val="0083679C"/>
    <w:rsid w:val="008367EB"/>
    <w:rsid w:val="00836DB1"/>
    <w:rsid w:val="00837254"/>
    <w:rsid w:val="00837257"/>
    <w:rsid w:val="0083753D"/>
    <w:rsid w:val="00840B73"/>
    <w:rsid w:val="00841194"/>
    <w:rsid w:val="0084130E"/>
    <w:rsid w:val="008416AC"/>
    <w:rsid w:val="00841964"/>
    <w:rsid w:val="00841B3D"/>
    <w:rsid w:val="00841BEB"/>
    <w:rsid w:val="00841C05"/>
    <w:rsid w:val="00841D18"/>
    <w:rsid w:val="00841ECB"/>
    <w:rsid w:val="0084256A"/>
    <w:rsid w:val="008426EF"/>
    <w:rsid w:val="00842A91"/>
    <w:rsid w:val="00842C89"/>
    <w:rsid w:val="00843893"/>
    <w:rsid w:val="00843CB5"/>
    <w:rsid w:val="00843D8F"/>
    <w:rsid w:val="008441F5"/>
    <w:rsid w:val="00844931"/>
    <w:rsid w:val="0084499D"/>
    <w:rsid w:val="00844E83"/>
    <w:rsid w:val="0084664D"/>
    <w:rsid w:val="00846666"/>
    <w:rsid w:val="00846819"/>
    <w:rsid w:val="00846CAA"/>
    <w:rsid w:val="00846CE0"/>
    <w:rsid w:val="00846CF5"/>
    <w:rsid w:val="0084712D"/>
    <w:rsid w:val="00847AD9"/>
    <w:rsid w:val="00850339"/>
    <w:rsid w:val="00850499"/>
    <w:rsid w:val="00850A9F"/>
    <w:rsid w:val="00850C4A"/>
    <w:rsid w:val="00850E54"/>
    <w:rsid w:val="008510E2"/>
    <w:rsid w:val="008519CF"/>
    <w:rsid w:val="00851C03"/>
    <w:rsid w:val="00851C07"/>
    <w:rsid w:val="00852AE7"/>
    <w:rsid w:val="0085303B"/>
    <w:rsid w:val="00853134"/>
    <w:rsid w:val="00853437"/>
    <w:rsid w:val="008538D1"/>
    <w:rsid w:val="00854068"/>
    <w:rsid w:val="008548EF"/>
    <w:rsid w:val="00854C41"/>
    <w:rsid w:val="00854E72"/>
    <w:rsid w:val="0085509A"/>
    <w:rsid w:val="008555ED"/>
    <w:rsid w:val="00855861"/>
    <w:rsid w:val="00855B02"/>
    <w:rsid w:val="00855CFF"/>
    <w:rsid w:val="00855F7C"/>
    <w:rsid w:val="00856DEE"/>
    <w:rsid w:val="00856F35"/>
    <w:rsid w:val="00857522"/>
    <w:rsid w:val="0085752C"/>
    <w:rsid w:val="008576EC"/>
    <w:rsid w:val="00857E5B"/>
    <w:rsid w:val="0086003A"/>
    <w:rsid w:val="00860393"/>
    <w:rsid w:val="008603B2"/>
    <w:rsid w:val="008603BE"/>
    <w:rsid w:val="00860AEF"/>
    <w:rsid w:val="00860B06"/>
    <w:rsid w:val="00860B32"/>
    <w:rsid w:val="008613BD"/>
    <w:rsid w:val="008614A2"/>
    <w:rsid w:val="00861A20"/>
    <w:rsid w:val="00861BDD"/>
    <w:rsid w:val="0086216E"/>
    <w:rsid w:val="00862A26"/>
    <w:rsid w:val="0086383A"/>
    <w:rsid w:val="00863CF8"/>
    <w:rsid w:val="00863DF2"/>
    <w:rsid w:val="0086449E"/>
    <w:rsid w:val="008644B2"/>
    <w:rsid w:val="00864FC0"/>
    <w:rsid w:val="0086515B"/>
    <w:rsid w:val="008652C4"/>
    <w:rsid w:val="008656DC"/>
    <w:rsid w:val="008659DC"/>
    <w:rsid w:val="00865CA3"/>
    <w:rsid w:val="00865FC7"/>
    <w:rsid w:val="00866418"/>
    <w:rsid w:val="008700C6"/>
    <w:rsid w:val="008704D7"/>
    <w:rsid w:val="00870BE1"/>
    <w:rsid w:val="00870DCA"/>
    <w:rsid w:val="00871DB6"/>
    <w:rsid w:val="008723AF"/>
    <w:rsid w:val="0087281F"/>
    <w:rsid w:val="00872A64"/>
    <w:rsid w:val="00872DD4"/>
    <w:rsid w:val="00872F7E"/>
    <w:rsid w:val="008731DF"/>
    <w:rsid w:val="00873346"/>
    <w:rsid w:val="00873943"/>
    <w:rsid w:val="00873D3A"/>
    <w:rsid w:val="008740F5"/>
    <w:rsid w:val="008742EC"/>
    <w:rsid w:val="008743FC"/>
    <w:rsid w:val="00874AED"/>
    <w:rsid w:val="00874D9F"/>
    <w:rsid w:val="00874ED0"/>
    <w:rsid w:val="0087502C"/>
    <w:rsid w:val="008750C3"/>
    <w:rsid w:val="00875171"/>
    <w:rsid w:val="008752CD"/>
    <w:rsid w:val="0087537A"/>
    <w:rsid w:val="0087580F"/>
    <w:rsid w:val="0087584D"/>
    <w:rsid w:val="00875D77"/>
    <w:rsid w:val="00876129"/>
    <w:rsid w:val="00876448"/>
    <w:rsid w:val="008765A0"/>
    <w:rsid w:val="0087685E"/>
    <w:rsid w:val="00876873"/>
    <w:rsid w:val="008769B5"/>
    <w:rsid w:val="00876CDA"/>
    <w:rsid w:val="0087734E"/>
    <w:rsid w:val="00877415"/>
    <w:rsid w:val="00877951"/>
    <w:rsid w:val="00877ACC"/>
    <w:rsid w:val="00877C62"/>
    <w:rsid w:val="00877D6D"/>
    <w:rsid w:val="00877D86"/>
    <w:rsid w:val="00877E97"/>
    <w:rsid w:val="0088024E"/>
    <w:rsid w:val="00880941"/>
    <w:rsid w:val="00880CCB"/>
    <w:rsid w:val="008816DA"/>
    <w:rsid w:val="00881BA3"/>
    <w:rsid w:val="00881D64"/>
    <w:rsid w:val="00881FE8"/>
    <w:rsid w:val="008822AD"/>
    <w:rsid w:val="008823D3"/>
    <w:rsid w:val="00882A80"/>
    <w:rsid w:val="00882EA4"/>
    <w:rsid w:val="00882FEA"/>
    <w:rsid w:val="008834DD"/>
    <w:rsid w:val="008837A9"/>
    <w:rsid w:val="0088409B"/>
    <w:rsid w:val="0088417A"/>
    <w:rsid w:val="00884250"/>
    <w:rsid w:val="008845AD"/>
    <w:rsid w:val="008845BA"/>
    <w:rsid w:val="00884611"/>
    <w:rsid w:val="00885217"/>
    <w:rsid w:val="00885221"/>
    <w:rsid w:val="00885665"/>
    <w:rsid w:val="00885966"/>
    <w:rsid w:val="00885E0A"/>
    <w:rsid w:val="00886058"/>
    <w:rsid w:val="0088681B"/>
    <w:rsid w:val="00886C1A"/>
    <w:rsid w:val="00887108"/>
    <w:rsid w:val="00887159"/>
    <w:rsid w:val="008872EB"/>
    <w:rsid w:val="0088744D"/>
    <w:rsid w:val="0088750F"/>
    <w:rsid w:val="008876A1"/>
    <w:rsid w:val="00887F25"/>
    <w:rsid w:val="008902CB"/>
    <w:rsid w:val="0089039A"/>
    <w:rsid w:val="008907E7"/>
    <w:rsid w:val="00891050"/>
    <w:rsid w:val="0089108C"/>
    <w:rsid w:val="0089109E"/>
    <w:rsid w:val="008915D0"/>
    <w:rsid w:val="00891F0A"/>
    <w:rsid w:val="00892491"/>
    <w:rsid w:val="0089251F"/>
    <w:rsid w:val="008928C8"/>
    <w:rsid w:val="00893220"/>
    <w:rsid w:val="00893439"/>
    <w:rsid w:val="0089358A"/>
    <w:rsid w:val="008935C2"/>
    <w:rsid w:val="0089385D"/>
    <w:rsid w:val="00893F86"/>
    <w:rsid w:val="0089406A"/>
    <w:rsid w:val="008940ED"/>
    <w:rsid w:val="008943C2"/>
    <w:rsid w:val="00894944"/>
    <w:rsid w:val="00894D75"/>
    <w:rsid w:val="00895034"/>
    <w:rsid w:val="008950B5"/>
    <w:rsid w:val="008958E8"/>
    <w:rsid w:val="00895A40"/>
    <w:rsid w:val="00895E4D"/>
    <w:rsid w:val="00896620"/>
    <w:rsid w:val="00896804"/>
    <w:rsid w:val="0089689C"/>
    <w:rsid w:val="0089692D"/>
    <w:rsid w:val="00896DD9"/>
    <w:rsid w:val="00896ED5"/>
    <w:rsid w:val="008970AE"/>
    <w:rsid w:val="00897150"/>
    <w:rsid w:val="00897EF7"/>
    <w:rsid w:val="008A0D7F"/>
    <w:rsid w:val="008A13DD"/>
    <w:rsid w:val="008A16B1"/>
    <w:rsid w:val="008A1D71"/>
    <w:rsid w:val="008A224F"/>
    <w:rsid w:val="008A283C"/>
    <w:rsid w:val="008A2F52"/>
    <w:rsid w:val="008A3011"/>
    <w:rsid w:val="008A31ED"/>
    <w:rsid w:val="008A33ED"/>
    <w:rsid w:val="008A3A49"/>
    <w:rsid w:val="008A3DA6"/>
    <w:rsid w:val="008A3E7B"/>
    <w:rsid w:val="008A4CEC"/>
    <w:rsid w:val="008A51B4"/>
    <w:rsid w:val="008A54F6"/>
    <w:rsid w:val="008A57D9"/>
    <w:rsid w:val="008A5B07"/>
    <w:rsid w:val="008A5C8C"/>
    <w:rsid w:val="008A5D38"/>
    <w:rsid w:val="008A5EC5"/>
    <w:rsid w:val="008A60E7"/>
    <w:rsid w:val="008A63E4"/>
    <w:rsid w:val="008A63F4"/>
    <w:rsid w:val="008A645F"/>
    <w:rsid w:val="008A65A9"/>
    <w:rsid w:val="008A6618"/>
    <w:rsid w:val="008A6662"/>
    <w:rsid w:val="008A671F"/>
    <w:rsid w:val="008A69D0"/>
    <w:rsid w:val="008A6B1D"/>
    <w:rsid w:val="008A6BEA"/>
    <w:rsid w:val="008A6CA0"/>
    <w:rsid w:val="008A6E8B"/>
    <w:rsid w:val="008A746D"/>
    <w:rsid w:val="008A7A9B"/>
    <w:rsid w:val="008A7CC4"/>
    <w:rsid w:val="008A7D35"/>
    <w:rsid w:val="008A7DE7"/>
    <w:rsid w:val="008A7E28"/>
    <w:rsid w:val="008B08C6"/>
    <w:rsid w:val="008B0918"/>
    <w:rsid w:val="008B125F"/>
    <w:rsid w:val="008B17DC"/>
    <w:rsid w:val="008B18DE"/>
    <w:rsid w:val="008B1917"/>
    <w:rsid w:val="008B2D01"/>
    <w:rsid w:val="008B2DBE"/>
    <w:rsid w:val="008B32BD"/>
    <w:rsid w:val="008B34C9"/>
    <w:rsid w:val="008B3F4C"/>
    <w:rsid w:val="008B4D15"/>
    <w:rsid w:val="008B4D86"/>
    <w:rsid w:val="008B4E58"/>
    <w:rsid w:val="008B4EEA"/>
    <w:rsid w:val="008B5C8A"/>
    <w:rsid w:val="008B5D57"/>
    <w:rsid w:val="008B6008"/>
    <w:rsid w:val="008B65DD"/>
    <w:rsid w:val="008B6CF7"/>
    <w:rsid w:val="008B707C"/>
    <w:rsid w:val="008B72E9"/>
    <w:rsid w:val="008B7BBA"/>
    <w:rsid w:val="008C0C3E"/>
    <w:rsid w:val="008C1190"/>
    <w:rsid w:val="008C1407"/>
    <w:rsid w:val="008C14C8"/>
    <w:rsid w:val="008C16BA"/>
    <w:rsid w:val="008C178F"/>
    <w:rsid w:val="008C1925"/>
    <w:rsid w:val="008C19A9"/>
    <w:rsid w:val="008C1C96"/>
    <w:rsid w:val="008C224D"/>
    <w:rsid w:val="008C290F"/>
    <w:rsid w:val="008C36A2"/>
    <w:rsid w:val="008C3961"/>
    <w:rsid w:val="008C4B1E"/>
    <w:rsid w:val="008C4C9B"/>
    <w:rsid w:val="008C4D64"/>
    <w:rsid w:val="008C4F10"/>
    <w:rsid w:val="008C5195"/>
    <w:rsid w:val="008C5897"/>
    <w:rsid w:val="008C58D5"/>
    <w:rsid w:val="008C5CEF"/>
    <w:rsid w:val="008C5DC5"/>
    <w:rsid w:val="008C6405"/>
    <w:rsid w:val="008C643B"/>
    <w:rsid w:val="008C6817"/>
    <w:rsid w:val="008C6DD3"/>
    <w:rsid w:val="008C6F49"/>
    <w:rsid w:val="008C74A3"/>
    <w:rsid w:val="008C7FF7"/>
    <w:rsid w:val="008D0177"/>
    <w:rsid w:val="008D03B9"/>
    <w:rsid w:val="008D05E3"/>
    <w:rsid w:val="008D0AC1"/>
    <w:rsid w:val="008D1008"/>
    <w:rsid w:val="008D108E"/>
    <w:rsid w:val="008D146A"/>
    <w:rsid w:val="008D1C5C"/>
    <w:rsid w:val="008D1C69"/>
    <w:rsid w:val="008D1E39"/>
    <w:rsid w:val="008D21EB"/>
    <w:rsid w:val="008D225A"/>
    <w:rsid w:val="008D2684"/>
    <w:rsid w:val="008D2935"/>
    <w:rsid w:val="008D29BA"/>
    <w:rsid w:val="008D2A5D"/>
    <w:rsid w:val="008D2AA5"/>
    <w:rsid w:val="008D2D6A"/>
    <w:rsid w:val="008D2DDC"/>
    <w:rsid w:val="008D2F25"/>
    <w:rsid w:val="008D2FED"/>
    <w:rsid w:val="008D3202"/>
    <w:rsid w:val="008D378C"/>
    <w:rsid w:val="008D38A5"/>
    <w:rsid w:val="008D4269"/>
    <w:rsid w:val="008D4301"/>
    <w:rsid w:val="008D452A"/>
    <w:rsid w:val="008D4615"/>
    <w:rsid w:val="008D4AB9"/>
    <w:rsid w:val="008D513B"/>
    <w:rsid w:val="008D5398"/>
    <w:rsid w:val="008D567B"/>
    <w:rsid w:val="008D5838"/>
    <w:rsid w:val="008D60CC"/>
    <w:rsid w:val="008D6113"/>
    <w:rsid w:val="008D6511"/>
    <w:rsid w:val="008D6A85"/>
    <w:rsid w:val="008D6CE5"/>
    <w:rsid w:val="008D704B"/>
    <w:rsid w:val="008D765A"/>
    <w:rsid w:val="008D7779"/>
    <w:rsid w:val="008D7ED6"/>
    <w:rsid w:val="008D7FE8"/>
    <w:rsid w:val="008E028D"/>
    <w:rsid w:val="008E06C7"/>
    <w:rsid w:val="008E0909"/>
    <w:rsid w:val="008E0B09"/>
    <w:rsid w:val="008E0DF3"/>
    <w:rsid w:val="008E11B7"/>
    <w:rsid w:val="008E154B"/>
    <w:rsid w:val="008E1B5E"/>
    <w:rsid w:val="008E2338"/>
    <w:rsid w:val="008E2646"/>
    <w:rsid w:val="008E28DA"/>
    <w:rsid w:val="008E2FF2"/>
    <w:rsid w:val="008E324C"/>
    <w:rsid w:val="008E32DE"/>
    <w:rsid w:val="008E333E"/>
    <w:rsid w:val="008E35AD"/>
    <w:rsid w:val="008E36B2"/>
    <w:rsid w:val="008E3BC6"/>
    <w:rsid w:val="008E3C0C"/>
    <w:rsid w:val="008E3E2F"/>
    <w:rsid w:val="008E44C5"/>
    <w:rsid w:val="008E465E"/>
    <w:rsid w:val="008E4899"/>
    <w:rsid w:val="008E4BA0"/>
    <w:rsid w:val="008E4E35"/>
    <w:rsid w:val="008E5062"/>
    <w:rsid w:val="008E5994"/>
    <w:rsid w:val="008E5ADC"/>
    <w:rsid w:val="008E5B69"/>
    <w:rsid w:val="008E5B7C"/>
    <w:rsid w:val="008E618F"/>
    <w:rsid w:val="008E67B6"/>
    <w:rsid w:val="008E6BAF"/>
    <w:rsid w:val="008E7140"/>
    <w:rsid w:val="008E736D"/>
    <w:rsid w:val="008F010F"/>
    <w:rsid w:val="008F0154"/>
    <w:rsid w:val="008F07C4"/>
    <w:rsid w:val="008F10A5"/>
    <w:rsid w:val="008F169A"/>
    <w:rsid w:val="008F185C"/>
    <w:rsid w:val="008F1900"/>
    <w:rsid w:val="008F2110"/>
    <w:rsid w:val="008F25F4"/>
    <w:rsid w:val="008F2773"/>
    <w:rsid w:val="008F28DE"/>
    <w:rsid w:val="008F2ABA"/>
    <w:rsid w:val="008F2B9C"/>
    <w:rsid w:val="008F2C32"/>
    <w:rsid w:val="008F318F"/>
    <w:rsid w:val="008F33EB"/>
    <w:rsid w:val="008F3521"/>
    <w:rsid w:val="008F3928"/>
    <w:rsid w:val="008F3BDD"/>
    <w:rsid w:val="008F3CFE"/>
    <w:rsid w:val="008F3D32"/>
    <w:rsid w:val="008F42BF"/>
    <w:rsid w:val="008F4A09"/>
    <w:rsid w:val="008F4BE1"/>
    <w:rsid w:val="008F51D4"/>
    <w:rsid w:val="008F51EB"/>
    <w:rsid w:val="008F523C"/>
    <w:rsid w:val="008F59DE"/>
    <w:rsid w:val="008F5D87"/>
    <w:rsid w:val="008F631A"/>
    <w:rsid w:val="008F674A"/>
    <w:rsid w:val="008F6B2A"/>
    <w:rsid w:val="008F6CD8"/>
    <w:rsid w:val="008F76AD"/>
    <w:rsid w:val="00900160"/>
    <w:rsid w:val="009003C1"/>
    <w:rsid w:val="00900B28"/>
    <w:rsid w:val="00900FE6"/>
    <w:rsid w:val="00901050"/>
    <w:rsid w:val="0090118F"/>
    <w:rsid w:val="00901689"/>
    <w:rsid w:val="00901ECB"/>
    <w:rsid w:val="00901F76"/>
    <w:rsid w:val="009021D5"/>
    <w:rsid w:val="0090237B"/>
    <w:rsid w:val="00902DC1"/>
    <w:rsid w:val="00902DDA"/>
    <w:rsid w:val="009034C9"/>
    <w:rsid w:val="0090351A"/>
    <w:rsid w:val="00903547"/>
    <w:rsid w:val="009037F5"/>
    <w:rsid w:val="009038E7"/>
    <w:rsid w:val="00903B7A"/>
    <w:rsid w:val="00904012"/>
    <w:rsid w:val="009045E7"/>
    <w:rsid w:val="00904607"/>
    <w:rsid w:val="009047B0"/>
    <w:rsid w:val="00904A84"/>
    <w:rsid w:val="00905370"/>
    <w:rsid w:val="00905463"/>
    <w:rsid w:val="00905468"/>
    <w:rsid w:val="00905528"/>
    <w:rsid w:val="00905600"/>
    <w:rsid w:val="00905D91"/>
    <w:rsid w:val="0090604D"/>
    <w:rsid w:val="0090678A"/>
    <w:rsid w:val="009067DB"/>
    <w:rsid w:val="0090687F"/>
    <w:rsid w:val="00906CF5"/>
    <w:rsid w:val="00906F6C"/>
    <w:rsid w:val="00907432"/>
    <w:rsid w:val="0090766A"/>
    <w:rsid w:val="00910088"/>
    <w:rsid w:val="00910290"/>
    <w:rsid w:val="00910FAD"/>
    <w:rsid w:val="0091161C"/>
    <w:rsid w:val="00911BA4"/>
    <w:rsid w:val="009121E2"/>
    <w:rsid w:val="0091229B"/>
    <w:rsid w:val="00912B6D"/>
    <w:rsid w:val="00912C9A"/>
    <w:rsid w:val="00912D40"/>
    <w:rsid w:val="00912FB7"/>
    <w:rsid w:val="00913419"/>
    <w:rsid w:val="009135C7"/>
    <w:rsid w:val="009136D8"/>
    <w:rsid w:val="00914222"/>
    <w:rsid w:val="00914329"/>
    <w:rsid w:val="009144D1"/>
    <w:rsid w:val="00914642"/>
    <w:rsid w:val="009148AF"/>
    <w:rsid w:val="0091491F"/>
    <w:rsid w:val="00914E09"/>
    <w:rsid w:val="00914E35"/>
    <w:rsid w:val="00914E62"/>
    <w:rsid w:val="00914FA3"/>
    <w:rsid w:val="00915095"/>
    <w:rsid w:val="00915805"/>
    <w:rsid w:val="00915AD7"/>
    <w:rsid w:val="00915F03"/>
    <w:rsid w:val="00915F23"/>
    <w:rsid w:val="00915F88"/>
    <w:rsid w:val="00916546"/>
    <w:rsid w:val="00916764"/>
    <w:rsid w:val="00916887"/>
    <w:rsid w:val="00916904"/>
    <w:rsid w:val="00916CE2"/>
    <w:rsid w:val="00916ED5"/>
    <w:rsid w:val="0091709C"/>
    <w:rsid w:val="0091739C"/>
    <w:rsid w:val="009201B1"/>
    <w:rsid w:val="009201EE"/>
    <w:rsid w:val="009207D4"/>
    <w:rsid w:val="00920806"/>
    <w:rsid w:val="00920DC0"/>
    <w:rsid w:val="009210B0"/>
    <w:rsid w:val="00921194"/>
    <w:rsid w:val="009213FA"/>
    <w:rsid w:val="00921669"/>
    <w:rsid w:val="00921696"/>
    <w:rsid w:val="00921D2E"/>
    <w:rsid w:val="00921DC9"/>
    <w:rsid w:val="00922580"/>
    <w:rsid w:val="009226EB"/>
    <w:rsid w:val="009227DF"/>
    <w:rsid w:val="009228C7"/>
    <w:rsid w:val="00922B1A"/>
    <w:rsid w:val="00922ED9"/>
    <w:rsid w:val="00923424"/>
    <w:rsid w:val="00923735"/>
    <w:rsid w:val="009238E8"/>
    <w:rsid w:val="00923A41"/>
    <w:rsid w:val="00923CD1"/>
    <w:rsid w:val="009243FC"/>
    <w:rsid w:val="00924BC3"/>
    <w:rsid w:val="00924F0B"/>
    <w:rsid w:val="0092512E"/>
    <w:rsid w:val="009255A1"/>
    <w:rsid w:val="0092581D"/>
    <w:rsid w:val="009259D7"/>
    <w:rsid w:val="009262F5"/>
    <w:rsid w:val="00926A89"/>
    <w:rsid w:val="00927631"/>
    <w:rsid w:val="00927BAA"/>
    <w:rsid w:val="00927E59"/>
    <w:rsid w:val="00930B0B"/>
    <w:rsid w:val="009317EC"/>
    <w:rsid w:val="00932060"/>
    <w:rsid w:val="0093244E"/>
    <w:rsid w:val="00932B37"/>
    <w:rsid w:val="00932F2E"/>
    <w:rsid w:val="00933000"/>
    <w:rsid w:val="009335A3"/>
    <w:rsid w:val="009335D0"/>
    <w:rsid w:val="0093380A"/>
    <w:rsid w:val="00933A4B"/>
    <w:rsid w:val="00933AA3"/>
    <w:rsid w:val="00933C8D"/>
    <w:rsid w:val="00933DA9"/>
    <w:rsid w:val="00934029"/>
    <w:rsid w:val="0093405E"/>
    <w:rsid w:val="00934205"/>
    <w:rsid w:val="009345D8"/>
    <w:rsid w:val="0093497D"/>
    <w:rsid w:val="00934EBD"/>
    <w:rsid w:val="00934F7A"/>
    <w:rsid w:val="00935821"/>
    <w:rsid w:val="00935F60"/>
    <w:rsid w:val="009360EA"/>
    <w:rsid w:val="009361F6"/>
    <w:rsid w:val="00936605"/>
    <w:rsid w:val="00936704"/>
    <w:rsid w:val="00936742"/>
    <w:rsid w:val="0093682E"/>
    <w:rsid w:val="009369CA"/>
    <w:rsid w:val="009369ED"/>
    <w:rsid w:val="00936B5E"/>
    <w:rsid w:val="00936DD8"/>
    <w:rsid w:val="00936E73"/>
    <w:rsid w:val="00936F2A"/>
    <w:rsid w:val="009375A3"/>
    <w:rsid w:val="00937FCE"/>
    <w:rsid w:val="00940089"/>
    <w:rsid w:val="00940824"/>
    <w:rsid w:val="00940F00"/>
    <w:rsid w:val="009414CE"/>
    <w:rsid w:val="00941910"/>
    <w:rsid w:val="00941CF9"/>
    <w:rsid w:val="00942B80"/>
    <w:rsid w:val="00942D55"/>
    <w:rsid w:val="00942E63"/>
    <w:rsid w:val="009433D4"/>
    <w:rsid w:val="00943697"/>
    <w:rsid w:val="0094403E"/>
    <w:rsid w:val="00944112"/>
    <w:rsid w:val="009441FC"/>
    <w:rsid w:val="00944311"/>
    <w:rsid w:val="009446C5"/>
    <w:rsid w:val="009449CD"/>
    <w:rsid w:val="00944C8F"/>
    <w:rsid w:val="00944D30"/>
    <w:rsid w:val="00945A48"/>
    <w:rsid w:val="009460D9"/>
    <w:rsid w:val="00946225"/>
    <w:rsid w:val="0094625C"/>
    <w:rsid w:val="0094632C"/>
    <w:rsid w:val="009465C0"/>
    <w:rsid w:val="00946638"/>
    <w:rsid w:val="00946842"/>
    <w:rsid w:val="009475E0"/>
    <w:rsid w:val="009477E9"/>
    <w:rsid w:val="00947C9A"/>
    <w:rsid w:val="00950987"/>
    <w:rsid w:val="00950DF1"/>
    <w:rsid w:val="00950ED8"/>
    <w:rsid w:val="009511F3"/>
    <w:rsid w:val="00951697"/>
    <w:rsid w:val="00951767"/>
    <w:rsid w:val="00951A5F"/>
    <w:rsid w:val="00951A69"/>
    <w:rsid w:val="00951DB5"/>
    <w:rsid w:val="0095203B"/>
    <w:rsid w:val="0095262A"/>
    <w:rsid w:val="00952809"/>
    <w:rsid w:val="00952D64"/>
    <w:rsid w:val="009530AC"/>
    <w:rsid w:val="00953965"/>
    <w:rsid w:val="00953983"/>
    <w:rsid w:val="00953AB3"/>
    <w:rsid w:val="00953B4F"/>
    <w:rsid w:val="00953B99"/>
    <w:rsid w:val="00953BBB"/>
    <w:rsid w:val="009541E1"/>
    <w:rsid w:val="009546F1"/>
    <w:rsid w:val="009551C2"/>
    <w:rsid w:val="00955274"/>
    <w:rsid w:val="009554A6"/>
    <w:rsid w:val="00955628"/>
    <w:rsid w:val="0095588B"/>
    <w:rsid w:val="00955C8E"/>
    <w:rsid w:val="00956060"/>
    <w:rsid w:val="00956C1A"/>
    <w:rsid w:val="00956F4A"/>
    <w:rsid w:val="009570F3"/>
    <w:rsid w:val="00957A31"/>
    <w:rsid w:val="00957A4A"/>
    <w:rsid w:val="00957AF2"/>
    <w:rsid w:val="00957F20"/>
    <w:rsid w:val="00960141"/>
    <w:rsid w:val="009602D3"/>
    <w:rsid w:val="009604AC"/>
    <w:rsid w:val="0096068D"/>
    <w:rsid w:val="009608AD"/>
    <w:rsid w:val="00960959"/>
    <w:rsid w:val="00960B30"/>
    <w:rsid w:val="00961035"/>
    <w:rsid w:val="009613A2"/>
    <w:rsid w:val="009614B9"/>
    <w:rsid w:val="00962685"/>
    <w:rsid w:val="00962C0D"/>
    <w:rsid w:val="009631BA"/>
    <w:rsid w:val="009634B6"/>
    <w:rsid w:val="009637BB"/>
    <w:rsid w:val="009638B7"/>
    <w:rsid w:val="00963B6E"/>
    <w:rsid w:val="00963C4F"/>
    <w:rsid w:val="00964047"/>
    <w:rsid w:val="00964188"/>
    <w:rsid w:val="00964191"/>
    <w:rsid w:val="009641ED"/>
    <w:rsid w:val="00964819"/>
    <w:rsid w:val="00964DF1"/>
    <w:rsid w:val="00964F60"/>
    <w:rsid w:val="00965459"/>
    <w:rsid w:val="00965535"/>
    <w:rsid w:val="009656F9"/>
    <w:rsid w:val="00965DE8"/>
    <w:rsid w:val="00965F16"/>
    <w:rsid w:val="0096600B"/>
    <w:rsid w:val="00966014"/>
    <w:rsid w:val="00966202"/>
    <w:rsid w:val="00966B05"/>
    <w:rsid w:val="00966C59"/>
    <w:rsid w:val="009674E0"/>
    <w:rsid w:val="009676AE"/>
    <w:rsid w:val="00967E7D"/>
    <w:rsid w:val="00967F69"/>
    <w:rsid w:val="00967FB3"/>
    <w:rsid w:val="00967FF2"/>
    <w:rsid w:val="009704D0"/>
    <w:rsid w:val="009725E5"/>
    <w:rsid w:val="00972CDC"/>
    <w:rsid w:val="00972D88"/>
    <w:rsid w:val="00972DC1"/>
    <w:rsid w:val="00972E77"/>
    <w:rsid w:val="0097317B"/>
    <w:rsid w:val="00973671"/>
    <w:rsid w:val="009736C7"/>
    <w:rsid w:val="00973C7F"/>
    <w:rsid w:val="00973FE4"/>
    <w:rsid w:val="00974192"/>
    <w:rsid w:val="009743E5"/>
    <w:rsid w:val="00974905"/>
    <w:rsid w:val="00974AFE"/>
    <w:rsid w:val="00975133"/>
    <w:rsid w:val="0097529D"/>
    <w:rsid w:val="0097531E"/>
    <w:rsid w:val="0097533F"/>
    <w:rsid w:val="00975599"/>
    <w:rsid w:val="00975C07"/>
    <w:rsid w:val="00976068"/>
    <w:rsid w:val="0097616E"/>
    <w:rsid w:val="00976181"/>
    <w:rsid w:val="009761FE"/>
    <w:rsid w:val="0097689E"/>
    <w:rsid w:val="009769F6"/>
    <w:rsid w:val="009772E4"/>
    <w:rsid w:val="009776EC"/>
    <w:rsid w:val="00977D1D"/>
    <w:rsid w:val="009810CE"/>
    <w:rsid w:val="009811C6"/>
    <w:rsid w:val="00981372"/>
    <w:rsid w:val="00981573"/>
    <w:rsid w:val="00981B4E"/>
    <w:rsid w:val="00981E2A"/>
    <w:rsid w:val="009821F7"/>
    <w:rsid w:val="0098262B"/>
    <w:rsid w:val="0098265F"/>
    <w:rsid w:val="00982B48"/>
    <w:rsid w:val="0098315B"/>
    <w:rsid w:val="009838BB"/>
    <w:rsid w:val="009839A1"/>
    <w:rsid w:val="00983BDE"/>
    <w:rsid w:val="00984831"/>
    <w:rsid w:val="00984905"/>
    <w:rsid w:val="0098499C"/>
    <w:rsid w:val="00984A05"/>
    <w:rsid w:val="00984BC3"/>
    <w:rsid w:val="009851C0"/>
    <w:rsid w:val="009852D8"/>
    <w:rsid w:val="009858A7"/>
    <w:rsid w:val="00985B6E"/>
    <w:rsid w:val="00985BF9"/>
    <w:rsid w:val="00985C35"/>
    <w:rsid w:val="00985E97"/>
    <w:rsid w:val="00986CD2"/>
    <w:rsid w:val="00987179"/>
    <w:rsid w:val="00987228"/>
    <w:rsid w:val="00987791"/>
    <w:rsid w:val="0098782A"/>
    <w:rsid w:val="00987963"/>
    <w:rsid w:val="00987C6C"/>
    <w:rsid w:val="00987E4C"/>
    <w:rsid w:val="00987F5B"/>
    <w:rsid w:val="00987FE0"/>
    <w:rsid w:val="00990085"/>
    <w:rsid w:val="00990287"/>
    <w:rsid w:val="009904B1"/>
    <w:rsid w:val="00990736"/>
    <w:rsid w:val="00990DFC"/>
    <w:rsid w:val="00990F54"/>
    <w:rsid w:val="0099121F"/>
    <w:rsid w:val="00991D35"/>
    <w:rsid w:val="00991D3F"/>
    <w:rsid w:val="00991E62"/>
    <w:rsid w:val="00991F8B"/>
    <w:rsid w:val="00992001"/>
    <w:rsid w:val="00992382"/>
    <w:rsid w:val="009924E8"/>
    <w:rsid w:val="009924E9"/>
    <w:rsid w:val="00992655"/>
    <w:rsid w:val="009929C0"/>
    <w:rsid w:val="00992A45"/>
    <w:rsid w:val="00992B8B"/>
    <w:rsid w:val="00992C69"/>
    <w:rsid w:val="00992E22"/>
    <w:rsid w:val="0099301A"/>
    <w:rsid w:val="009930B7"/>
    <w:rsid w:val="00993453"/>
    <w:rsid w:val="00993848"/>
    <w:rsid w:val="00994257"/>
    <w:rsid w:val="009942AB"/>
    <w:rsid w:val="009949C9"/>
    <w:rsid w:val="00994BC7"/>
    <w:rsid w:val="0099523C"/>
    <w:rsid w:val="0099533A"/>
    <w:rsid w:val="009953C5"/>
    <w:rsid w:val="00995534"/>
    <w:rsid w:val="00995537"/>
    <w:rsid w:val="009956A8"/>
    <w:rsid w:val="0099590A"/>
    <w:rsid w:val="00995A7F"/>
    <w:rsid w:val="00995C15"/>
    <w:rsid w:val="00996A5B"/>
    <w:rsid w:val="00996ACB"/>
    <w:rsid w:val="00997CD7"/>
    <w:rsid w:val="00997D9A"/>
    <w:rsid w:val="009A06ED"/>
    <w:rsid w:val="009A07F1"/>
    <w:rsid w:val="009A08EF"/>
    <w:rsid w:val="009A09F0"/>
    <w:rsid w:val="009A0B1E"/>
    <w:rsid w:val="009A0C73"/>
    <w:rsid w:val="009A0DDF"/>
    <w:rsid w:val="009A0F1F"/>
    <w:rsid w:val="009A0F86"/>
    <w:rsid w:val="009A1439"/>
    <w:rsid w:val="009A1972"/>
    <w:rsid w:val="009A1FC2"/>
    <w:rsid w:val="009A22D7"/>
    <w:rsid w:val="009A2539"/>
    <w:rsid w:val="009A26AF"/>
    <w:rsid w:val="009A2A34"/>
    <w:rsid w:val="009A2AC5"/>
    <w:rsid w:val="009A3055"/>
    <w:rsid w:val="009A3AD2"/>
    <w:rsid w:val="009A4449"/>
    <w:rsid w:val="009A4A2F"/>
    <w:rsid w:val="009A4A9B"/>
    <w:rsid w:val="009A4E97"/>
    <w:rsid w:val="009A50A6"/>
    <w:rsid w:val="009A50E4"/>
    <w:rsid w:val="009A5423"/>
    <w:rsid w:val="009A55D3"/>
    <w:rsid w:val="009A5980"/>
    <w:rsid w:val="009A5A95"/>
    <w:rsid w:val="009A66F4"/>
    <w:rsid w:val="009A683E"/>
    <w:rsid w:val="009A6981"/>
    <w:rsid w:val="009A7031"/>
    <w:rsid w:val="009A75D2"/>
    <w:rsid w:val="009A7BF2"/>
    <w:rsid w:val="009A7E24"/>
    <w:rsid w:val="009A7EAD"/>
    <w:rsid w:val="009B0522"/>
    <w:rsid w:val="009B0D99"/>
    <w:rsid w:val="009B0F0E"/>
    <w:rsid w:val="009B0F74"/>
    <w:rsid w:val="009B1212"/>
    <w:rsid w:val="009B1D5C"/>
    <w:rsid w:val="009B20D7"/>
    <w:rsid w:val="009B2327"/>
    <w:rsid w:val="009B2487"/>
    <w:rsid w:val="009B2588"/>
    <w:rsid w:val="009B27A1"/>
    <w:rsid w:val="009B2905"/>
    <w:rsid w:val="009B2DA8"/>
    <w:rsid w:val="009B34B0"/>
    <w:rsid w:val="009B3948"/>
    <w:rsid w:val="009B3F2F"/>
    <w:rsid w:val="009B406F"/>
    <w:rsid w:val="009B42CA"/>
    <w:rsid w:val="009B44C2"/>
    <w:rsid w:val="009B496B"/>
    <w:rsid w:val="009B4D46"/>
    <w:rsid w:val="009B55C2"/>
    <w:rsid w:val="009B5958"/>
    <w:rsid w:val="009B5D90"/>
    <w:rsid w:val="009B6390"/>
    <w:rsid w:val="009B6647"/>
    <w:rsid w:val="009B6B02"/>
    <w:rsid w:val="009B6CDF"/>
    <w:rsid w:val="009B7007"/>
    <w:rsid w:val="009B7139"/>
    <w:rsid w:val="009B72D8"/>
    <w:rsid w:val="009B73FF"/>
    <w:rsid w:val="009B782C"/>
    <w:rsid w:val="009B7985"/>
    <w:rsid w:val="009B798C"/>
    <w:rsid w:val="009B7CA2"/>
    <w:rsid w:val="009C0009"/>
    <w:rsid w:val="009C02E4"/>
    <w:rsid w:val="009C03E3"/>
    <w:rsid w:val="009C0E5D"/>
    <w:rsid w:val="009C1378"/>
    <w:rsid w:val="009C15AA"/>
    <w:rsid w:val="009C2150"/>
    <w:rsid w:val="009C2613"/>
    <w:rsid w:val="009C267A"/>
    <w:rsid w:val="009C338A"/>
    <w:rsid w:val="009C389A"/>
    <w:rsid w:val="009C40EE"/>
    <w:rsid w:val="009C4321"/>
    <w:rsid w:val="009C4566"/>
    <w:rsid w:val="009C4CA6"/>
    <w:rsid w:val="009C4EDB"/>
    <w:rsid w:val="009C5095"/>
    <w:rsid w:val="009C5BB2"/>
    <w:rsid w:val="009C5CEC"/>
    <w:rsid w:val="009C619B"/>
    <w:rsid w:val="009C6291"/>
    <w:rsid w:val="009C6A69"/>
    <w:rsid w:val="009C6BFA"/>
    <w:rsid w:val="009C7331"/>
    <w:rsid w:val="009C7432"/>
    <w:rsid w:val="009C75DB"/>
    <w:rsid w:val="009C7FEA"/>
    <w:rsid w:val="009D00E6"/>
    <w:rsid w:val="009D05BB"/>
    <w:rsid w:val="009D076B"/>
    <w:rsid w:val="009D0DCF"/>
    <w:rsid w:val="009D0E0F"/>
    <w:rsid w:val="009D1085"/>
    <w:rsid w:val="009D1A0B"/>
    <w:rsid w:val="009D1A9E"/>
    <w:rsid w:val="009D1D91"/>
    <w:rsid w:val="009D2472"/>
    <w:rsid w:val="009D25D7"/>
    <w:rsid w:val="009D2860"/>
    <w:rsid w:val="009D2FB8"/>
    <w:rsid w:val="009D3244"/>
    <w:rsid w:val="009D346E"/>
    <w:rsid w:val="009D35ED"/>
    <w:rsid w:val="009D368C"/>
    <w:rsid w:val="009D3756"/>
    <w:rsid w:val="009D3CD1"/>
    <w:rsid w:val="009D4050"/>
    <w:rsid w:val="009D41CC"/>
    <w:rsid w:val="009D4AF2"/>
    <w:rsid w:val="009D4E40"/>
    <w:rsid w:val="009D6175"/>
    <w:rsid w:val="009D61E4"/>
    <w:rsid w:val="009D6490"/>
    <w:rsid w:val="009D7138"/>
    <w:rsid w:val="009D72E3"/>
    <w:rsid w:val="009D7482"/>
    <w:rsid w:val="009D76F3"/>
    <w:rsid w:val="009D77DD"/>
    <w:rsid w:val="009D7881"/>
    <w:rsid w:val="009D78DF"/>
    <w:rsid w:val="009D7C53"/>
    <w:rsid w:val="009D7D41"/>
    <w:rsid w:val="009E1872"/>
    <w:rsid w:val="009E18C9"/>
    <w:rsid w:val="009E196D"/>
    <w:rsid w:val="009E224F"/>
    <w:rsid w:val="009E2848"/>
    <w:rsid w:val="009E2A04"/>
    <w:rsid w:val="009E2E31"/>
    <w:rsid w:val="009E3406"/>
    <w:rsid w:val="009E3497"/>
    <w:rsid w:val="009E360B"/>
    <w:rsid w:val="009E36D5"/>
    <w:rsid w:val="009E3AC5"/>
    <w:rsid w:val="009E3D5F"/>
    <w:rsid w:val="009E4163"/>
    <w:rsid w:val="009E432D"/>
    <w:rsid w:val="009E4DCA"/>
    <w:rsid w:val="009E4F1B"/>
    <w:rsid w:val="009E54EC"/>
    <w:rsid w:val="009E55F9"/>
    <w:rsid w:val="009E5605"/>
    <w:rsid w:val="009E5B08"/>
    <w:rsid w:val="009E604F"/>
    <w:rsid w:val="009E6788"/>
    <w:rsid w:val="009E6B31"/>
    <w:rsid w:val="009E71C2"/>
    <w:rsid w:val="009E7618"/>
    <w:rsid w:val="009E7B4D"/>
    <w:rsid w:val="009E7E59"/>
    <w:rsid w:val="009E7F93"/>
    <w:rsid w:val="009F00C4"/>
    <w:rsid w:val="009F04B2"/>
    <w:rsid w:val="009F05D5"/>
    <w:rsid w:val="009F082C"/>
    <w:rsid w:val="009F0D67"/>
    <w:rsid w:val="009F102C"/>
    <w:rsid w:val="009F109D"/>
    <w:rsid w:val="009F1E48"/>
    <w:rsid w:val="009F1EE4"/>
    <w:rsid w:val="009F2611"/>
    <w:rsid w:val="009F2683"/>
    <w:rsid w:val="009F272F"/>
    <w:rsid w:val="009F295E"/>
    <w:rsid w:val="009F2A21"/>
    <w:rsid w:val="009F2C3B"/>
    <w:rsid w:val="009F39B4"/>
    <w:rsid w:val="009F3A6E"/>
    <w:rsid w:val="009F433B"/>
    <w:rsid w:val="009F4410"/>
    <w:rsid w:val="009F49E9"/>
    <w:rsid w:val="009F4E0A"/>
    <w:rsid w:val="009F542F"/>
    <w:rsid w:val="009F5451"/>
    <w:rsid w:val="009F55AA"/>
    <w:rsid w:val="009F5B59"/>
    <w:rsid w:val="009F67B1"/>
    <w:rsid w:val="009F6897"/>
    <w:rsid w:val="009F68B7"/>
    <w:rsid w:val="009F6C4B"/>
    <w:rsid w:val="009F6FB1"/>
    <w:rsid w:val="009F703E"/>
    <w:rsid w:val="009F722B"/>
    <w:rsid w:val="009F7352"/>
    <w:rsid w:val="009F7DBC"/>
    <w:rsid w:val="00A000D7"/>
    <w:rsid w:val="00A00225"/>
    <w:rsid w:val="00A00B85"/>
    <w:rsid w:val="00A00ED8"/>
    <w:rsid w:val="00A0185C"/>
    <w:rsid w:val="00A01A49"/>
    <w:rsid w:val="00A01E3D"/>
    <w:rsid w:val="00A02160"/>
    <w:rsid w:val="00A02171"/>
    <w:rsid w:val="00A02633"/>
    <w:rsid w:val="00A02743"/>
    <w:rsid w:val="00A028EA"/>
    <w:rsid w:val="00A0306D"/>
    <w:rsid w:val="00A037AE"/>
    <w:rsid w:val="00A03894"/>
    <w:rsid w:val="00A03B38"/>
    <w:rsid w:val="00A03C3D"/>
    <w:rsid w:val="00A03F1E"/>
    <w:rsid w:val="00A0472C"/>
    <w:rsid w:val="00A04E30"/>
    <w:rsid w:val="00A04F36"/>
    <w:rsid w:val="00A053D7"/>
    <w:rsid w:val="00A053E5"/>
    <w:rsid w:val="00A055F9"/>
    <w:rsid w:val="00A058F2"/>
    <w:rsid w:val="00A05CC6"/>
    <w:rsid w:val="00A05DF4"/>
    <w:rsid w:val="00A060D4"/>
    <w:rsid w:val="00A061AF"/>
    <w:rsid w:val="00A0649B"/>
    <w:rsid w:val="00A06CC7"/>
    <w:rsid w:val="00A06E16"/>
    <w:rsid w:val="00A07488"/>
    <w:rsid w:val="00A07B6B"/>
    <w:rsid w:val="00A07EEB"/>
    <w:rsid w:val="00A10216"/>
    <w:rsid w:val="00A10335"/>
    <w:rsid w:val="00A10665"/>
    <w:rsid w:val="00A109EA"/>
    <w:rsid w:val="00A10DCE"/>
    <w:rsid w:val="00A10E69"/>
    <w:rsid w:val="00A11B82"/>
    <w:rsid w:val="00A11D48"/>
    <w:rsid w:val="00A11E38"/>
    <w:rsid w:val="00A11F7B"/>
    <w:rsid w:val="00A14028"/>
    <w:rsid w:val="00A1416D"/>
    <w:rsid w:val="00A146B6"/>
    <w:rsid w:val="00A14C4F"/>
    <w:rsid w:val="00A14DCB"/>
    <w:rsid w:val="00A14ED3"/>
    <w:rsid w:val="00A151EF"/>
    <w:rsid w:val="00A1530A"/>
    <w:rsid w:val="00A154EB"/>
    <w:rsid w:val="00A157EC"/>
    <w:rsid w:val="00A15E38"/>
    <w:rsid w:val="00A16D18"/>
    <w:rsid w:val="00A16EAB"/>
    <w:rsid w:val="00A17444"/>
    <w:rsid w:val="00A17634"/>
    <w:rsid w:val="00A17700"/>
    <w:rsid w:val="00A17CF2"/>
    <w:rsid w:val="00A20181"/>
    <w:rsid w:val="00A20A8D"/>
    <w:rsid w:val="00A20CFA"/>
    <w:rsid w:val="00A21205"/>
    <w:rsid w:val="00A21CEA"/>
    <w:rsid w:val="00A21F0A"/>
    <w:rsid w:val="00A2273F"/>
    <w:rsid w:val="00A22D52"/>
    <w:rsid w:val="00A23126"/>
    <w:rsid w:val="00A233A5"/>
    <w:rsid w:val="00A23BC8"/>
    <w:rsid w:val="00A23FBC"/>
    <w:rsid w:val="00A24089"/>
    <w:rsid w:val="00A240F1"/>
    <w:rsid w:val="00A2464E"/>
    <w:rsid w:val="00A24ECB"/>
    <w:rsid w:val="00A25396"/>
    <w:rsid w:val="00A25606"/>
    <w:rsid w:val="00A25B45"/>
    <w:rsid w:val="00A25CAD"/>
    <w:rsid w:val="00A25D38"/>
    <w:rsid w:val="00A26048"/>
    <w:rsid w:val="00A26B45"/>
    <w:rsid w:val="00A26CFD"/>
    <w:rsid w:val="00A26F4E"/>
    <w:rsid w:val="00A2771A"/>
    <w:rsid w:val="00A279BC"/>
    <w:rsid w:val="00A3003B"/>
    <w:rsid w:val="00A30BE0"/>
    <w:rsid w:val="00A314D0"/>
    <w:rsid w:val="00A314FD"/>
    <w:rsid w:val="00A31DBB"/>
    <w:rsid w:val="00A31EA9"/>
    <w:rsid w:val="00A321AC"/>
    <w:rsid w:val="00A323B2"/>
    <w:rsid w:val="00A3274C"/>
    <w:rsid w:val="00A327C1"/>
    <w:rsid w:val="00A32A8C"/>
    <w:rsid w:val="00A32BA3"/>
    <w:rsid w:val="00A330C9"/>
    <w:rsid w:val="00A3349C"/>
    <w:rsid w:val="00A334D8"/>
    <w:rsid w:val="00A3383D"/>
    <w:rsid w:val="00A339FC"/>
    <w:rsid w:val="00A33A91"/>
    <w:rsid w:val="00A345DC"/>
    <w:rsid w:val="00A346EE"/>
    <w:rsid w:val="00A348F9"/>
    <w:rsid w:val="00A3496F"/>
    <w:rsid w:val="00A34B77"/>
    <w:rsid w:val="00A3507A"/>
    <w:rsid w:val="00A3517B"/>
    <w:rsid w:val="00A35486"/>
    <w:rsid w:val="00A35C55"/>
    <w:rsid w:val="00A35C8E"/>
    <w:rsid w:val="00A36211"/>
    <w:rsid w:val="00A36664"/>
    <w:rsid w:val="00A367D7"/>
    <w:rsid w:val="00A36AB7"/>
    <w:rsid w:val="00A36B14"/>
    <w:rsid w:val="00A36BD2"/>
    <w:rsid w:val="00A36D73"/>
    <w:rsid w:val="00A37057"/>
    <w:rsid w:val="00A37390"/>
    <w:rsid w:val="00A37526"/>
    <w:rsid w:val="00A37719"/>
    <w:rsid w:val="00A377A8"/>
    <w:rsid w:val="00A37D2A"/>
    <w:rsid w:val="00A37DDD"/>
    <w:rsid w:val="00A37FAF"/>
    <w:rsid w:val="00A40708"/>
    <w:rsid w:val="00A409F3"/>
    <w:rsid w:val="00A410A4"/>
    <w:rsid w:val="00A410D6"/>
    <w:rsid w:val="00A41180"/>
    <w:rsid w:val="00A418C3"/>
    <w:rsid w:val="00A41CD9"/>
    <w:rsid w:val="00A41D34"/>
    <w:rsid w:val="00A41F96"/>
    <w:rsid w:val="00A423DC"/>
    <w:rsid w:val="00A4253E"/>
    <w:rsid w:val="00A4256C"/>
    <w:rsid w:val="00A4307E"/>
    <w:rsid w:val="00A43158"/>
    <w:rsid w:val="00A43574"/>
    <w:rsid w:val="00A43993"/>
    <w:rsid w:val="00A43AE5"/>
    <w:rsid w:val="00A43E0D"/>
    <w:rsid w:val="00A44386"/>
    <w:rsid w:val="00A44418"/>
    <w:rsid w:val="00A4483B"/>
    <w:rsid w:val="00A448A1"/>
    <w:rsid w:val="00A44AE7"/>
    <w:rsid w:val="00A44C19"/>
    <w:rsid w:val="00A45619"/>
    <w:rsid w:val="00A45989"/>
    <w:rsid w:val="00A4622D"/>
    <w:rsid w:val="00A46339"/>
    <w:rsid w:val="00A464C9"/>
    <w:rsid w:val="00A46ECA"/>
    <w:rsid w:val="00A475D9"/>
    <w:rsid w:val="00A47EA8"/>
    <w:rsid w:val="00A50027"/>
    <w:rsid w:val="00A50230"/>
    <w:rsid w:val="00A50852"/>
    <w:rsid w:val="00A50921"/>
    <w:rsid w:val="00A50C77"/>
    <w:rsid w:val="00A50E3F"/>
    <w:rsid w:val="00A50EA3"/>
    <w:rsid w:val="00A510CF"/>
    <w:rsid w:val="00A51543"/>
    <w:rsid w:val="00A5155F"/>
    <w:rsid w:val="00A516E8"/>
    <w:rsid w:val="00A51956"/>
    <w:rsid w:val="00A52373"/>
    <w:rsid w:val="00A526A8"/>
    <w:rsid w:val="00A52873"/>
    <w:rsid w:val="00A529ED"/>
    <w:rsid w:val="00A531FD"/>
    <w:rsid w:val="00A54433"/>
    <w:rsid w:val="00A54867"/>
    <w:rsid w:val="00A54BBD"/>
    <w:rsid w:val="00A54E2F"/>
    <w:rsid w:val="00A54EA1"/>
    <w:rsid w:val="00A55124"/>
    <w:rsid w:val="00A554AC"/>
    <w:rsid w:val="00A55641"/>
    <w:rsid w:val="00A55D09"/>
    <w:rsid w:val="00A562FD"/>
    <w:rsid w:val="00A56E5E"/>
    <w:rsid w:val="00A56F5B"/>
    <w:rsid w:val="00A574CF"/>
    <w:rsid w:val="00A575AE"/>
    <w:rsid w:val="00A5784B"/>
    <w:rsid w:val="00A57DFB"/>
    <w:rsid w:val="00A6001F"/>
    <w:rsid w:val="00A601F8"/>
    <w:rsid w:val="00A6023A"/>
    <w:rsid w:val="00A604F6"/>
    <w:rsid w:val="00A604FC"/>
    <w:rsid w:val="00A60912"/>
    <w:rsid w:val="00A60A5E"/>
    <w:rsid w:val="00A60E2B"/>
    <w:rsid w:val="00A6102D"/>
    <w:rsid w:val="00A613CB"/>
    <w:rsid w:val="00A61721"/>
    <w:rsid w:val="00A61BE4"/>
    <w:rsid w:val="00A61F11"/>
    <w:rsid w:val="00A6203F"/>
    <w:rsid w:val="00A62C09"/>
    <w:rsid w:val="00A62DFB"/>
    <w:rsid w:val="00A63280"/>
    <w:rsid w:val="00A633EE"/>
    <w:rsid w:val="00A63BB3"/>
    <w:rsid w:val="00A65035"/>
    <w:rsid w:val="00A65068"/>
    <w:rsid w:val="00A65603"/>
    <w:rsid w:val="00A65640"/>
    <w:rsid w:val="00A65B02"/>
    <w:rsid w:val="00A667E0"/>
    <w:rsid w:val="00A668FC"/>
    <w:rsid w:val="00A66950"/>
    <w:rsid w:val="00A66DF8"/>
    <w:rsid w:val="00A66FA5"/>
    <w:rsid w:val="00A6708D"/>
    <w:rsid w:val="00A6789D"/>
    <w:rsid w:val="00A678D1"/>
    <w:rsid w:val="00A67993"/>
    <w:rsid w:val="00A702DB"/>
    <w:rsid w:val="00A704D2"/>
    <w:rsid w:val="00A7072B"/>
    <w:rsid w:val="00A70BD1"/>
    <w:rsid w:val="00A70E9F"/>
    <w:rsid w:val="00A7176B"/>
    <w:rsid w:val="00A71BA0"/>
    <w:rsid w:val="00A71FFC"/>
    <w:rsid w:val="00A72430"/>
    <w:rsid w:val="00A72893"/>
    <w:rsid w:val="00A72BDB"/>
    <w:rsid w:val="00A72E4E"/>
    <w:rsid w:val="00A731D8"/>
    <w:rsid w:val="00A73827"/>
    <w:rsid w:val="00A738FA"/>
    <w:rsid w:val="00A73AC5"/>
    <w:rsid w:val="00A73BF1"/>
    <w:rsid w:val="00A73C13"/>
    <w:rsid w:val="00A73CC9"/>
    <w:rsid w:val="00A73CE5"/>
    <w:rsid w:val="00A73CFA"/>
    <w:rsid w:val="00A73D77"/>
    <w:rsid w:val="00A741F9"/>
    <w:rsid w:val="00A74E1A"/>
    <w:rsid w:val="00A75D9E"/>
    <w:rsid w:val="00A75F0E"/>
    <w:rsid w:val="00A762F7"/>
    <w:rsid w:val="00A773F0"/>
    <w:rsid w:val="00A77464"/>
    <w:rsid w:val="00A77620"/>
    <w:rsid w:val="00A801B3"/>
    <w:rsid w:val="00A80AAE"/>
    <w:rsid w:val="00A8105B"/>
    <w:rsid w:val="00A81097"/>
    <w:rsid w:val="00A814F5"/>
    <w:rsid w:val="00A81519"/>
    <w:rsid w:val="00A8195A"/>
    <w:rsid w:val="00A819B5"/>
    <w:rsid w:val="00A81C1B"/>
    <w:rsid w:val="00A81C1E"/>
    <w:rsid w:val="00A823DD"/>
    <w:rsid w:val="00A825CD"/>
    <w:rsid w:val="00A8286B"/>
    <w:rsid w:val="00A8289E"/>
    <w:rsid w:val="00A828A3"/>
    <w:rsid w:val="00A82CC8"/>
    <w:rsid w:val="00A835FC"/>
    <w:rsid w:val="00A8360F"/>
    <w:rsid w:val="00A83638"/>
    <w:rsid w:val="00A83761"/>
    <w:rsid w:val="00A8379A"/>
    <w:rsid w:val="00A837F5"/>
    <w:rsid w:val="00A8397F"/>
    <w:rsid w:val="00A848F1"/>
    <w:rsid w:val="00A84947"/>
    <w:rsid w:val="00A849B3"/>
    <w:rsid w:val="00A84BE5"/>
    <w:rsid w:val="00A85041"/>
    <w:rsid w:val="00A85208"/>
    <w:rsid w:val="00A85A40"/>
    <w:rsid w:val="00A85CAA"/>
    <w:rsid w:val="00A86244"/>
    <w:rsid w:val="00A869FC"/>
    <w:rsid w:val="00A86BD6"/>
    <w:rsid w:val="00A86C40"/>
    <w:rsid w:val="00A86EA3"/>
    <w:rsid w:val="00A870A7"/>
    <w:rsid w:val="00A87135"/>
    <w:rsid w:val="00A87F5F"/>
    <w:rsid w:val="00A905FC"/>
    <w:rsid w:val="00A90BE6"/>
    <w:rsid w:val="00A90C1A"/>
    <w:rsid w:val="00A90D2F"/>
    <w:rsid w:val="00A9166A"/>
    <w:rsid w:val="00A918CA"/>
    <w:rsid w:val="00A91D7D"/>
    <w:rsid w:val="00A920F2"/>
    <w:rsid w:val="00A9223D"/>
    <w:rsid w:val="00A923C5"/>
    <w:rsid w:val="00A9282F"/>
    <w:rsid w:val="00A93886"/>
    <w:rsid w:val="00A93D19"/>
    <w:rsid w:val="00A94235"/>
    <w:rsid w:val="00A94C1D"/>
    <w:rsid w:val="00A94D99"/>
    <w:rsid w:val="00A9589D"/>
    <w:rsid w:val="00A95A16"/>
    <w:rsid w:val="00A95AC0"/>
    <w:rsid w:val="00A966D6"/>
    <w:rsid w:val="00A9770C"/>
    <w:rsid w:val="00A978B8"/>
    <w:rsid w:val="00A97A55"/>
    <w:rsid w:val="00A97D32"/>
    <w:rsid w:val="00A97DA0"/>
    <w:rsid w:val="00AA0438"/>
    <w:rsid w:val="00AA048F"/>
    <w:rsid w:val="00AA08AB"/>
    <w:rsid w:val="00AA0E11"/>
    <w:rsid w:val="00AA11A9"/>
    <w:rsid w:val="00AA1689"/>
    <w:rsid w:val="00AA2840"/>
    <w:rsid w:val="00AA2CD8"/>
    <w:rsid w:val="00AA2D4B"/>
    <w:rsid w:val="00AA378E"/>
    <w:rsid w:val="00AA3F40"/>
    <w:rsid w:val="00AA467A"/>
    <w:rsid w:val="00AA47E6"/>
    <w:rsid w:val="00AA5235"/>
    <w:rsid w:val="00AA54E4"/>
    <w:rsid w:val="00AA555C"/>
    <w:rsid w:val="00AA56C5"/>
    <w:rsid w:val="00AA617E"/>
    <w:rsid w:val="00AA6589"/>
    <w:rsid w:val="00AA6664"/>
    <w:rsid w:val="00AA691A"/>
    <w:rsid w:val="00AA6B09"/>
    <w:rsid w:val="00AA6FC9"/>
    <w:rsid w:val="00AA761E"/>
    <w:rsid w:val="00AA76B9"/>
    <w:rsid w:val="00AB0095"/>
    <w:rsid w:val="00AB0341"/>
    <w:rsid w:val="00AB0947"/>
    <w:rsid w:val="00AB0E1A"/>
    <w:rsid w:val="00AB1D4F"/>
    <w:rsid w:val="00AB20D0"/>
    <w:rsid w:val="00AB29A4"/>
    <w:rsid w:val="00AB2AEF"/>
    <w:rsid w:val="00AB2D32"/>
    <w:rsid w:val="00AB2DB4"/>
    <w:rsid w:val="00AB3735"/>
    <w:rsid w:val="00AB3F89"/>
    <w:rsid w:val="00AB4B44"/>
    <w:rsid w:val="00AB4CF3"/>
    <w:rsid w:val="00AB4D2D"/>
    <w:rsid w:val="00AB53B9"/>
    <w:rsid w:val="00AB5895"/>
    <w:rsid w:val="00AB58B2"/>
    <w:rsid w:val="00AB5A58"/>
    <w:rsid w:val="00AB603F"/>
    <w:rsid w:val="00AB6448"/>
    <w:rsid w:val="00AB6472"/>
    <w:rsid w:val="00AB6701"/>
    <w:rsid w:val="00AB67B4"/>
    <w:rsid w:val="00AB762C"/>
    <w:rsid w:val="00AB778F"/>
    <w:rsid w:val="00AB7BEF"/>
    <w:rsid w:val="00AB7CEF"/>
    <w:rsid w:val="00AB7D40"/>
    <w:rsid w:val="00AC0223"/>
    <w:rsid w:val="00AC0561"/>
    <w:rsid w:val="00AC14A3"/>
    <w:rsid w:val="00AC14AA"/>
    <w:rsid w:val="00AC1773"/>
    <w:rsid w:val="00AC18D8"/>
    <w:rsid w:val="00AC19A7"/>
    <w:rsid w:val="00AC1BCE"/>
    <w:rsid w:val="00AC1EB3"/>
    <w:rsid w:val="00AC1FAC"/>
    <w:rsid w:val="00AC26B2"/>
    <w:rsid w:val="00AC28CB"/>
    <w:rsid w:val="00AC298F"/>
    <w:rsid w:val="00AC2B03"/>
    <w:rsid w:val="00AC2D82"/>
    <w:rsid w:val="00AC2EB1"/>
    <w:rsid w:val="00AC31BD"/>
    <w:rsid w:val="00AC3215"/>
    <w:rsid w:val="00AC34C8"/>
    <w:rsid w:val="00AC35B1"/>
    <w:rsid w:val="00AC3CD8"/>
    <w:rsid w:val="00AC435D"/>
    <w:rsid w:val="00AC53FF"/>
    <w:rsid w:val="00AC557A"/>
    <w:rsid w:val="00AC6226"/>
    <w:rsid w:val="00AC62C1"/>
    <w:rsid w:val="00AC66FF"/>
    <w:rsid w:val="00AC70EC"/>
    <w:rsid w:val="00AC762E"/>
    <w:rsid w:val="00AC7DEF"/>
    <w:rsid w:val="00AC7F47"/>
    <w:rsid w:val="00AD0427"/>
    <w:rsid w:val="00AD074C"/>
    <w:rsid w:val="00AD154F"/>
    <w:rsid w:val="00AD1D1C"/>
    <w:rsid w:val="00AD1DA9"/>
    <w:rsid w:val="00AD1ECF"/>
    <w:rsid w:val="00AD2796"/>
    <w:rsid w:val="00AD2D76"/>
    <w:rsid w:val="00AD2FAC"/>
    <w:rsid w:val="00AD36FD"/>
    <w:rsid w:val="00AD382E"/>
    <w:rsid w:val="00AD383B"/>
    <w:rsid w:val="00AD4406"/>
    <w:rsid w:val="00AD52CC"/>
    <w:rsid w:val="00AD5556"/>
    <w:rsid w:val="00AD577F"/>
    <w:rsid w:val="00AD5F9B"/>
    <w:rsid w:val="00AD615F"/>
    <w:rsid w:val="00AD6450"/>
    <w:rsid w:val="00AD65D2"/>
    <w:rsid w:val="00AD68C5"/>
    <w:rsid w:val="00AD6A92"/>
    <w:rsid w:val="00AD6AC8"/>
    <w:rsid w:val="00AD6DDA"/>
    <w:rsid w:val="00AD6F4E"/>
    <w:rsid w:val="00AD7312"/>
    <w:rsid w:val="00AD7406"/>
    <w:rsid w:val="00AD74B8"/>
    <w:rsid w:val="00AD7533"/>
    <w:rsid w:val="00AD7C0A"/>
    <w:rsid w:val="00AD7CE8"/>
    <w:rsid w:val="00AD7DB5"/>
    <w:rsid w:val="00AE0102"/>
    <w:rsid w:val="00AE05AE"/>
    <w:rsid w:val="00AE0E24"/>
    <w:rsid w:val="00AE14C4"/>
    <w:rsid w:val="00AE14C6"/>
    <w:rsid w:val="00AE15E8"/>
    <w:rsid w:val="00AE16A3"/>
    <w:rsid w:val="00AE2709"/>
    <w:rsid w:val="00AE2A44"/>
    <w:rsid w:val="00AE2D19"/>
    <w:rsid w:val="00AE36BE"/>
    <w:rsid w:val="00AE400A"/>
    <w:rsid w:val="00AE45D2"/>
    <w:rsid w:val="00AE4870"/>
    <w:rsid w:val="00AE4C60"/>
    <w:rsid w:val="00AE51B9"/>
    <w:rsid w:val="00AE5CD5"/>
    <w:rsid w:val="00AE63EE"/>
    <w:rsid w:val="00AE6687"/>
    <w:rsid w:val="00AE6704"/>
    <w:rsid w:val="00AE670D"/>
    <w:rsid w:val="00AE6A59"/>
    <w:rsid w:val="00AE6AF0"/>
    <w:rsid w:val="00AE6F06"/>
    <w:rsid w:val="00AE7827"/>
    <w:rsid w:val="00AE7894"/>
    <w:rsid w:val="00AE7B1A"/>
    <w:rsid w:val="00AE7FE0"/>
    <w:rsid w:val="00AF0040"/>
    <w:rsid w:val="00AF01FF"/>
    <w:rsid w:val="00AF0241"/>
    <w:rsid w:val="00AF0629"/>
    <w:rsid w:val="00AF0690"/>
    <w:rsid w:val="00AF0C42"/>
    <w:rsid w:val="00AF1622"/>
    <w:rsid w:val="00AF1B0C"/>
    <w:rsid w:val="00AF1B9A"/>
    <w:rsid w:val="00AF1C20"/>
    <w:rsid w:val="00AF2245"/>
    <w:rsid w:val="00AF2446"/>
    <w:rsid w:val="00AF24D8"/>
    <w:rsid w:val="00AF28CA"/>
    <w:rsid w:val="00AF2C2B"/>
    <w:rsid w:val="00AF2E10"/>
    <w:rsid w:val="00AF312C"/>
    <w:rsid w:val="00AF3625"/>
    <w:rsid w:val="00AF369B"/>
    <w:rsid w:val="00AF3E9C"/>
    <w:rsid w:val="00AF4692"/>
    <w:rsid w:val="00AF46ED"/>
    <w:rsid w:val="00AF474A"/>
    <w:rsid w:val="00AF54C5"/>
    <w:rsid w:val="00AF57B9"/>
    <w:rsid w:val="00AF5A08"/>
    <w:rsid w:val="00AF5A4F"/>
    <w:rsid w:val="00AF5B17"/>
    <w:rsid w:val="00AF5CEF"/>
    <w:rsid w:val="00AF623C"/>
    <w:rsid w:val="00AF6A71"/>
    <w:rsid w:val="00AF728A"/>
    <w:rsid w:val="00AF7395"/>
    <w:rsid w:val="00AF73BC"/>
    <w:rsid w:val="00AF7770"/>
    <w:rsid w:val="00AF7E09"/>
    <w:rsid w:val="00B001B8"/>
    <w:rsid w:val="00B001EB"/>
    <w:rsid w:val="00B00289"/>
    <w:rsid w:val="00B00322"/>
    <w:rsid w:val="00B0040C"/>
    <w:rsid w:val="00B0084E"/>
    <w:rsid w:val="00B0099A"/>
    <w:rsid w:val="00B00F94"/>
    <w:rsid w:val="00B01198"/>
    <w:rsid w:val="00B0170C"/>
    <w:rsid w:val="00B01780"/>
    <w:rsid w:val="00B020F7"/>
    <w:rsid w:val="00B02AEE"/>
    <w:rsid w:val="00B02C88"/>
    <w:rsid w:val="00B02E05"/>
    <w:rsid w:val="00B0463E"/>
    <w:rsid w:val="00B04CC7"/>
    <w:rsid w:val="00B050DC"/>
    <w:rsid w:val="00B050FC"/>
    <w:rsid w:val="00B05A3F"/>
    <w:rsid w:val="00B05EB6"/>
    <w:rsid w:val="00B05F18"/>
    <w:rsid w:val="00B05FFD"/>
    <w:rsid w:val="00B06813"/>
    <w:rsid w:val="00B06EBF"/>
    <w:rsid w:val="00B070D5"/>
    <w:rsid w:val="00B0724D"/>
    <w:rsid w:val="00B0748C"/>
    <w:rsid w:val="00B07A28"/>
    <w:rsid w:val="00B07CE4"/>
    <w:rsid w:val="00B101A2"/>
    <w:rsid w:val="00B10568"/>
    <w:rsid w:val="00B107C5"/>
    <w:rsid w:val="00B12621"/>
    <w:rsid w:val="00B1299A"/>
    <w:rsid w:val="00B12DEA"/>
    <w:rsid w:val="00B13347"/>
    <w:rsid w:val="00B13566"/>
    <w:rsid w:val="00B13A03"/>
    <w:rsid w:val="00B13AF8"/>
    <w:rsid w:val="00B13BD6"/>
    <w:rsid w:val="00B13F6B"/>
    <w:rsid w:val="00B14032"/>
    <w:rsid w:val="00B1418D"/>
    <w:rsid w:val="00B1476F"/>
    <w:rsid w:val="00B14B67"/>
    <w:rsid w:val="00B150B8"/>
    <w:rsid w:val="00B1516B"/>
    <w:rsid w:val="00B15175"/>
    <w:rsid w:val="00B154C1"/>
    <w:rsid w:val="00B155B7"/>
    <w:rsid w:val="00B15991"/>
    <w:rsid w:val="00B15F11"/>
    <w:rsid w:val="00B15F84"/>
    <w:rsid w:val="00B15FEA"/>
    <w:rsid w:val="00B1684E"/>
    <w:rsid w:val="00B16A39"/>
    <w:rsid w:val="00B172CE"/>
    <w:rsid w:val="00B17B00"/>
    <w:rsid w:val="00B17B01"/>
    <w:rsid w:val="00B17CA5"/>
    <w:rsid w:val="00B20114"/>
    <w:rsid w:val="00B2048F"/>
    <w:rsid w:val="00B2073D"/>
    <w:rsid w:val="00B20B0F"/>
    <w:rsid w:val="00B21481"/>
    <w:rsid w:val="00B215DB"/>
    <w:rsid w:val="00B21A03"/>
    <w:rsid w:val="00B220F0"/>
    <w:rsid w:val="00B224AC"/>
    <w:rsid w:val="00B2258F"/>
    <w:rsid w:val="00B2286D"/>
    <w:rsid w:val="00B22AE4"/>
    <w:rsid w:val="00B2370F"/>
    <w:rsid w:val="00B23E96"/>
    <w:rsid w:val="00B240FA"/>
    <w:rsid w:val="00B2478B"/>
    <w:rsid w:val="00B24903"/>
    <w:rsid w:val="00B251F7"/>
    <w:rsid w:val="00B25447"/>
    <w:rsid w:val="00B2547A"/>
    <w:rsid w:val="00B255CF"/>
    <w:rsid w:val="00B2561A"/>
    <w:rsid w:val="00B257FF"/>
    <w:rsid w:val="00B25DC8"/>
    <w:rsid w:val="00B26840"/>
    <w:rsid w:val="00B26A29"/>
    <w:rsid w:val="00B2732F"/>
    <w:rsid w:val="00B27841"/>
    <w:rsid w:val="00B27B07"/>
    <w:rsid w:val="00B27D12"/>
    <w:rsid w:val="00B3005F"/>
    <w:rsid w:val="00B302AA"/>
    <w:rsid w:val="00B304DF"/>
    <w:rsid w:val="00B3089E"/>
    <w:rsid w:val="00B30D28"/>
    <w:rsid w:val="00B30FEF"/>
    <w:rsid w:val="00B31942"/>
    <w:rsid w:val="00B31BD4"/>
    <w:rsid w:val="00B31C9F"/>
    <w:rsid w:val="00B31E00"/>
    <w:rsid w:val="00B32C9F"/>
    <w:rsid w:val="00B32DDA"/>
    <w:rsid w:val="00B33028"/>
    <w:rsid w:val="00B333B6"/>
    <w:rsid w:val="00B33877"/>
    <w:rsid w:val="00B338C4"/>
    <w:rsid w:val="00B3413A"/>
    <w:rsid w:val="00B342E7"/>
    <w:rsid w:val="00B34683"/>
    <w:rsid w:val="00B34E3D"/>
    <w:rsid w:val="00B34E82"/>
    <w:rsid w:val="00B34F14"/>
    <w:rsid w:val="00B35963"/>
    <w:rsid w:val="00B35F2C"/>
    <w:rsid w:val="00B36927"/>
    <w:rsid w:val="00B36AAD"/>
    <w:rsid w:val="00B37198"/>
    <w:rsid w:val="00B37555"/>
    <w:rsid w:val="00B375E6"/>
    <w:rsid w:val="00B3787A"/>
    <w:rsid w:val="00B37986"/>
    <w:rsid w:val="00B40D8E"/>
    <w:rsid w:val="00B40F9D"/>
    <w:rsid w:val="00B413D1"/>
    <w:rsid w:val="00B4146A"/>
    <w:rsid w:val="00B415E9"/>
    <w:rsid w:val="00B417AF"/>
    <w:rsid w:val="00B41802"/>
    <w:rsid w:val="00B41DAC"/>
    <w:rsid w:val="00B41EF5"/>
    <w:rsid w:val="00B4284A"/>
    <w:rsid w:val="00B42949"/>
    <w:rsid w:val="00B429A3"/>
    <w:rsid w:val="00B42B84"/>
    <w:rsid w:val="00B42C91"/>
    <w:rsid w:val="00B42D38"/>
    <w:rsid w:val="00B42F27"/>
    <w:rsid w:val="00B436D2"/>
    <w:rsid w:val="00B449D3"/>
    <w:rsid w:val="00B44E94"/>
    <w:rsid w:val="00B4546C"/>
    <w:rsid w:val="00B4609C"/>
    <w:rsid w:val="00B461FB"/>
    <w:rsid w:val="00B462F5"/>
    <w:rsid w:val="00B46E40"/>
    <w:rsid w:val="00B47359"/>
    <w:rsid w:val="00B4736D"/>
    <w:rsid w:val="00B47403"/>
    <w:rsid w:val="00B4751F"/>
    <w:rsid w:val="00B4772D"/>
    <w:rsid w:val="00B47A69"/>
    <w:rsid w:val="00B47B64"/>
    <w:rsid w:val="00B47EC2"/>
    <w:rsid w:val="00B502AB"/>
    <w:rsid w:val="00B50618"/>
    <w:rsid w:val="00B5081C"/>
    <w:rsid w:val="00B50A42"/>
    <w:rsid w:val="00B513E3"/>
    <w:rsid w:val="00B513E9"/>
    <w:rsid w:val="00B52387"/>
    <w:rsid w:val="00B52C51"/>
    <w:rsid w:val="00B53316"/>
    <w:rsid w:val="00B534AB"/>
    <w:rsid w:val="00B53BFB"/>
    <w:rsid w:val="00B53C93"/>
    <w:rsid w:val="00B54337"/>
    <w:rsid w:val="00B54343"/>
    <w:rsid w:val="00B54A83"/>
    <w:rsid w:val="00B54B90"/>
    <w:rsid w:val="00B55413"/>
    <w:rsid w:val="00B554A4"/>
    <w:rsid w:val="00B55543"/>
    <w:rsid w:val="00B55AF1"/>
    <w:rsid w:val="00B55C5F"/>
    <w:rsid w:val="00B55CD5"/>
    <w:rsid w:val="00B55FA2"/>
    <w:rsid w:val="00B5678D"/>
    <w:rsid w:val="00B567F8"/>
    <w:rsid w:val="00B56CD5"/>
    <w:rsid w:val="00B56D65"/>
    <w:rsid w:val="00B5760F"/>
    <w:rsid w:val="00B57F2E"/>
    <w:rsid w:val="00B57FF9"/>
    <w:rsid w:val="00B607BD"/>
    <w:rsid w:val="00B608EC"/>
    <w:rsid w:val="00B60BD1"/>
    <w:rsid w:val="00B60DFF"/>
    <w:rsid w:val="00B60E4B"/>
    <w:rsid w:val="00B60ED4"/>
    <w:rsid w:val="00B60EFA"/>
    <w:rsid w:val="00B614F9"/>
    <w:rsid w:val="00B618A5"/>
    <w:rsid w:val="00B61CA5"/>
    <w:rsid w:val="00B61DF3"/>
    <w:rsid w:val="00B61FE7"/>
    <w:rsid w:val="00B6217C"/>
    <w:rsid w:val="00B62999"/>
    <w:rsid w:val="00B62D4C"/>
    <w:rsid w:val="00B62E20"/>
    <w:rsid w:val="00B640B1"/>
    <w:rsid w:val="00B648F0"/>
    <w:rsid w:val="00B648FC"/>
    <w:rsid w:val="00B64C1D"/>
    <w:rsid w:val="00B64C78"/>
    <w:rsid w:val="00B64D1C"/>
    <w:rsid w:val="00B64F5D"/>
    <w:rsid w:val="00B64FCD"/>
    <w:rsid w:val="00B65800"/>
    <w:rsid w:val="00B659CE"/>
    <w:rsid w:val="00B65C44"/>
    <w:rsid w:val="00B65C4D"/>
    <w:rsid w:val="00B66523"/>
    <w:rsid w:val="00B66D6A"/>
    <w:rsid w:val="00B66FF3"/>
    <w:rsid w:val="00B67190"/>
    <w:rsid w:val="00B67470"/>
    <w:rsid w:val="00B674A7"/>
    <w:rsid w:val="00B677C8"/>
    <w:rsid w:val="00B678B2"/>
    <w:rsid w:val="00B67956"/>
    <w:rsid w:val="00B67AE7"/>
    <w:rsid w:val="00B70513"/>
    <w:rsid w:val="00B7051D"/>
    <w:rsid w:val="00B708DC"/>
    <w:rsid w:val="00B71232"/>
    <w:rsid w:val="00B71C32"/>
    <w:rsid w:val="00B71DC0"/>
    <w:rsid w:val="00B72601"/>
    <w:rsid w:val="00B7277C"/>
    <w:rsid w:val="00B72B69"/>
    <w:rsid w:val="00B72D87"/>
    <w:rsid w:val="00B72E0A"/>
    <w:rsid w:val="00B72F36"/>
    <w:rsid w:val="00B7359D"/>
    <w:rsid w:val="00B737A6"/>
    <w:rsid w:val="00B73AAF"/>
    <w:rsid w:val="00B73C9B"/>
    <w:rsid w:val="00B740EC"/>
    <w:rsid w:val="00B74392"/>
    <w:rsid w:val="00B7466A"/>
    <w:rsid w:val="00B747C4"/>
    <w:rsid w:val="00B7494C"/>
    <w:rsid w:val="00B74AED"/>
    <w:rsid w:val="00B750EE"/>
    <w:rsid w:val="00B75648"/>
    <w:rsid w:val="00B76112"/>
    <w:rsid w:val="00B7636B"/>
    <w:rsid w:val="00B768D5"/>
    <w:rsid w:val="00B77013"/>
    <w:rsid w:val="00B7714E"/>
    <w:rsid w:val="00B777F9"/>
    <w:rsid w:val="00B77F84"/>
    <w:rsid w:val="00B80038"/>
    <w:rsid w:val="00B802F5"/>
    <w:rsid w:val="00B80348"/>
    <w:rsid w:val="00B8040D"/>
    <w:rsid w:val="00B806AD"/>
    <w:rsid w:val="00B80A0E"/>
    <w:rsid w:val="00B80F43"/>
    <w:rsid w:val="00B818FE"/>
    <w:rsid w:val="00B81C34"/>
    <w:rsid w:val="00B81F54"/>
    <w:rsid w:val="00B821A4"/>
    <w:rsid w:val="00B825CD"/>
    <w:rsid w:val="00B82629"/>
    <w:rsid w:val="00B82727"/>
    <w:rsid w:val="00B82FC0"/>
    <w:rsid w:val="00B8304F"/>
    <w:rsid w:val="00B83139"/>
    <w:rsid w:val="00B83140"/>
    <w:rsid w:val="00B83838"/>
    <w:rsid w:val="00B83A6E"/>
    <w:rsid w:val="00B83B45"/>
    <w:rsid w:val="00B83D9D"/>
    <w:rsid w:val="00B847B9"/>
    <w:rsid w:val="00B848E8"/>
    <w:rsid w:val="00B849DC"/>
    <w:rsid w:val="00B8506D"/>
    <w:rsid w:val="00B85283"/>
    <w:rsid w:val="00B85477"/>
    <w:rsid w:val="00B859C9"/>
    <w:rsid w:val="00B85C72"/>
    <w:rsid w:val="00B85DEE"/>
    <w:rsid w:val="00B85E49"/>
    <w:rsid w:val="00B86F18"/>
    <w:rsid w:val="00B87404"/>
    <w:rsid w:val="00B8759E"/>
    <w:rsid w:val="00B87704"/>
    <w:rsid w:val="00B878C4"/>
    <w:rsid w:val="00B87AFF"/>
    <w:rsid w:val="00B9022E"/>
    <w:rsid w:val="00B905A7"/>
    <w:rsid w:val="00B90C2A"/>
    <w:rsid w:val="00B910C3"/>
    <w:rsid w:val="00B91499"/>
    <w:rsid w:val="00B914E0"/>
    <w:rsid w:val="00B9155B"/>
    <w:rsid w:val="00B91595"/>
    <w:rsid w:val="00B915C7"/>
    <w:rsid w:val="00B91807"/>
    <w:rsid w:val="00B91B99"/>
    <w:rsid w:val="00B91E0C"/>
    <w:rsid w:val="00B920AD"/>
    <w:rsid w:val="00B921ED"/>
    <w:rsid w:val="00B92B7D"/>
    <w:rsid w:val="00B92C22"/>
    <w:rsid w:val="00B92FD2"/>
    <w:rsid w:val="00B930A8"/>
    <w:rsid w:val="00B930D4"/>
    <w:rsid w:val="00B9310F"/>
    <w:rsid w:val="00B93AB1"/>
    <w:rsid w:val="00B94718"/>
    <w:rsid w:val="00B94837"/>
    <w:rsid w:val="00B94A79"/>
    <w:rsid w:val="00B94C65"/>
    <w:rsid w:val="00B94E98"/>
    <w:rsid w:val="00B94F8D"/>
    <w:rsid w:val="00B9512E"/>
    <w:rsid w:val="00B95168"/>
    <w:rsid w:val="00B9516E"/>
    <w:rsid w:val="00B9563B"/>
    <w:rsid w:val="00B95DC4"/>
    <w:rsid w:val="00B95EC8"/>
    <w:rsid w:val="00B96336"/>
    <w:rsid w:val="00B96C5A"/>
    <w:rsid w:val="00B97224"/>
    <w:rsid w:val="00B973D1"/>
    <w:rsid w:val="00B9799D"/>
    <w:rsid w:val="00B97A87"/>
    <w:rsid w:val="00BA0E7A"/>
    <w:rsid w:val="00BA27D5"/>
    <w:rsid w:val="00BA349F"/>
    <w:rsid w:val="00BA3811"/>
    <w:rsid w:val="00BA3EAF"/>
    <w:rsid w:val="00BA4021"/>
    <w:rsid w:val="00BA46EB"/>
    <w:rsid w:val="00BA4747"/>
    <w:rsid w:val="00BA4D62"/>
    <w:rsid w:val="00BA5616"/>
    <w:rsid w:val="00BA5A4F"/>
    <w:rsid w:val="00BA5E77"/>
    <w:rsid w:val="00BA5FF7"/>
    <w:rsid w:val="00BA6306"/>
    <w:rsid w:val="00BA6651"/>
    <w:rsid w:val="00BA6881"/>
    <w:rsid w:val="00BA6A14"/>
    <w:rsid w:val="00BA6DF2"/>
    <w:rsid w:val="00BA717F"/>
    <w:rsid w:val="00BA7388"/>
    <w:rsid w:val="00BA7667"/>
    <w:rsid w:val="00BA7B3B"/>
    <w:rsid w:val="00BA7CA1"/>
    <w:rsid w:val="00BA7D1D"/>
    <w:rsid w:val="00BB06A5"/>
    <w:rsid w:val="00BB10CE"/>
    <w:rsid w:val="00BB137D"/>
    <w:rsid w:val="00BB14A6"/>
    <w:rsid w:val="00BB16D9"/>
    <w:rsid w:val="00BB18EA"/>
    <w:rsid w:val="00BB1CAD"/>
    <w:rsid w:val="00BB1EA7"/>
    <w:rsid w:val="00BB22C5"/>
    <w:rsid w:val="00BB2A0C"/>
    <w:rsid w:val="00BB2A9D"/>
    <w:rsid w:val="00BB34BC"/>
    <w:rsid w:val="00BB3B1B"/>
    <w:rsid w:val="00BB4107"/>
    <w:rsid w:val="00BB41D3"/>
    <w:rsid w:val="00BB4267"/>
    <w:rsid w:val="00BB4687"/>
    <w:rsid w:val="00BB4735"/>
    <w:rsid w:val="00BB4818"/>
    <w:rsid w:val="00BB49F7"/>
    <w:rsid w:val="00BB4F3C"/>
    <w:rsid w:val="00BB556E"/>
    <w:rsid w:val="00BB5837"/>
    <w:rsid w:val="00BB5BAC"/>
    <w:rsid w:val="00BB5E22"/>
    <w:rsid w:val="00BB6409"/>
    <w:rsid w:val="00BB658D"/>
    <w:rsid w:val="00BB6BAE"/>
    <w:rsid w:val="00BB6C23"/>
    <w:rsid w:val="00BB7118"/>
    <w:rsid w:val="00BB72DB"/>
    <w:rsid w:val="00BC0124"/>
    <w:rsid w:val="00BC0180"/>
    <w:rsid w:val="00BC0427"/>
    <w:rsid w:val="00BC0484"/>
    <w:rsid w:val="00BC05EE"/>
    <w:rsid w:val="00BC0779"/>
    <w:rsid w:val="00BC0FDF"/>
    <w:rsid w:val="00BC1070"/>
    <w:rsid w:val="00BC1077"/>
    <w:rsid w:val="00BC12B8"/>
    <w:rsid w:val="00BC186B"/>
    <w:rsid w:val="00BC1973"/>
    <w:rsid w:val="00BC1EE4"/>
    <w:rsid w:val="00BC2628"/>
    <w:rsid w:val="00BC26CC"/>
    <w:rsid w:val="00BC2788"/>
    <w:rsid w:val="00BC29A2"/>
    <w:rsid w:val="00BC2F92"/>
    <w:rsid w:val="00BC3382"/>
    <w:rsid w:val="00BC363C"/>
    <w:rsid w:val="00BC3670"/>
    <w:rsid w:val="00BC39CA"/>
    <w:rsid w:val="00BC3AE9"/>
    <w:rsid w:val="00BC3D9B"/>
    <w:rsid w:val="00BC3DC5"/>
    <w:rsid w:val="00BC4169"/>
    <w:rsid w:val="00BC482A"/>
    <w:rsid w:val="00BC4B49"/>
    <w:rsid w:val="00BC53A4"/>
    <w:rsid w:val="00BC53F8"/>
    <w:rsid w:val="00BC543A"/>
    <w:rsid w:val="00BC5677"/>
    <w:rsid w:val="00BC5D68"/>
    <w:rsid w:val="00BC614A"/>
    <w:rsid w:val="00BC614B"/>
    <w:rsid w:val="00BC6281"/>
    <w:rsid w:val="00BC65EA"/>
    <w:rsid w:val="00BC665F"/>
    <w:rsid w:val="00BC6931"/>
    <w:rsid w:val="00BC698C"/>
    <w:rsid w:val="00BC6991"/>
    <w:rsid w:val="00BC6CA4"/>
    <w:rsid w:val="00BC6FE6"/>
    <w:rsid w:val="00BC7214"/>
    <w:rsid w:val="00BC72DA"/>
    <w:rsid w:val="00BC7699"/>
    <w:rsid w:val="00BC7B7A"/>
    <w:rsid w:val="00BD00DE"/>
    <w:rsid w:val="00BD0229"/>
    <w:rsid w:val="00BD0483"/>
    <w:rsid w:val="00BD0CC6"/>
    <w:rsid w:val="00BD0D25"/>
    <w:rsid w:val="00BD1485"/>
    <w:rsid w:val="00BD1CBA"/>
    <w:rsid w:val="00BD226E"/>
    <w:rsid w:val="00BD24C4"/>
    <w:rsid w:val="00BD34FD"/>
    <w:rsid w:val="00BD39E7"/>
    <w:rsid w:val="00BD3A4F"/>
    <w:rsid w:val="00BD3D5E"/>
    <w:rsid w:val="00BD4704"/>
    <w:rsid w:val="00BD4C24"/>
    <w:rsid w:val="00BD53AF"/>
    <w:rsid w:val="00BD58F6"/>
    <w:rsid w:val="00BD5F90"/>
    <w:rsid w:val="00BD64A4"/>
    <w:rsid w:val="00BD67B8"/>
    <w:rsid w:val="00BD696D"/>
    <w:rsid w:val="00BD6E6C"/>
    <w:rsid w:val="00BD6EE9"/>
    <w:rsid w:val="00BD75C4"/>
    <w:rsid w:val="00BD7AAA"/>
    <w:rsid w:val="00BE0346"/>
    <w:rsid w:val="00BE119F"/>
    <w:rsid w:val="00BE1285"/>
    <w:rsid w:val="00BE12C8"/>
    <w:rsid w:val="00BE189E"/>
    <w:rsid w:val="00BE1BAB"/>
    <w:rsid w:val="00BE252A"/>
    <w:rsid w:val="00BE27FA"/>
    <w:rsid w:val="00BE36B9"/>
    <w:rsid w:val="00BE3A2E"/>
    <w:rsid w:val="00BE3C05"/>
    <w:rsid w:val="00BE3E83"/>
    <w:rsid w:val="00BE42DF"/>
    <w:rsid w:val="00BE4434"/>
    <w:rsid w:val="00BE4649"/>
    <w:rsid w:val="00BE48C8"/>
    <w:rsid w:val="00BE5392"/>
    <w:rsid w:val="00BE5BCE"/>
    <w:rsid w:val="00BE6389"/>
    <w:rsid w:val="00BE647E"/>
    <w:rsid w:val="00BE662C"/>
    <w:rsid w:val="00BE6AA7"/>
    <w:rsid w:val="00BE70C3"/>
    <w:rsid w:val="00BE716A"/>
    <w:rsid w:val="00BE746E"/>
    <w:rsid w:val="00BE7780"/>
    <w:rsid w:val="00BE791A"/>
    <w:rsid w:val="00BE7937"/>
    <w:rsid w:val="00BE7A5E"/>
    <w:rsid w:val="00BF0008"/>
    <w:rsid w:val="00BF044B"/>
    <w:rsid w:val="00BF053C"/>
    <w:rsid w:val="00BF0690"/>
    <w:rsid w:val="00BF0AAF"/>
    <w:rsid w:val="00BF10CB"/>
    <w:rsid w:val="00BF117F"/>
    <w:rsid w:val="00BF1602"/>
    <w:rsid w:val="00BF1615"/>
    <w:rsid w:val="00BF1820"/>
    <w:rsid w:val="00BF1FDD"/>
    <w:rsid w:val="00BF22D9"/>
    <w:rsid w:val="00BF2943"/>
    <w:rsid w:val="00BF310A"/>
    <w:rsid w:val="00BF315D"/>
    <w:rsid w:val="00BF331A"/>
    <w:rsid w:val="00BF3354"/>
    <w:rsid w:val="00BF38EF"/>
    <w:rsid w:val="00BF39FD"/>
    <w:rsid w:val="00BF3A92"/>
    <w:rsid w:val="00BF3F51"/>
    <w:rsid w:val="00BF42D8"/>
    <w:rsid w:val="00BF4309"/>
    <w:rsid w:val="00BF431A"/>
    <w:rsid w:val="00BF441A"/>
    <w:rsid w:val="00BF46FB"/>
    <w:rsid w:val="00BF485E"/>
    <w:rsid w:val="00BF4991"/>
    <w:rsid w:val="00BF4AFD"/>
    <w:rsid w:val="00BF4F0D"/>
    <w:rsid w:val="00BF50E7"/>
    <w:rsid w:val="00BF5115"/>
    <w:rsid w:val="00BF5181"/>
    <w:rsid w:val="00BF51A5"/>
    <w:rsid w:val="00BF59B1"/>
    <w:rsid w:val="00BF5A97"/>
    <w:rsid w:val="00BF5D3B"/>
    <w:rsid w:val="00BF64FA"/>
    <w:rsid w:val="00BF6574"/>
    <w:rsid w:val="00BF6656"/>
    <w:rsid w:val="00BF6E0A"/>
    <w:rsid w:val="00BF70E1"/>
    <w:rsid w:val="00BF725D"/>
    <w:rsid w:val="00BF728A"/>
    <w:rsid w:val="00BF79F9"/>
    <w:rsid w:val="00BF7AF5"/>
    <w:rsid w:val="00BF7F97"/>
    <w:rsid w:val="00C0002D"/>
    <w:rsid w:val="00C0005A"/>
    <w:rsid w:val="00C005D3"/>
    <w:rsid w:val="00C00695"/>
    <w:rsid w:val="00C01126"/>
    <w:rsid w:val="00C013BC"/>
    <w:rsid w:val="00C015D3"/>
    <w:rsid w:val="00C01E59"/>
    <w:rsid w:val="00C02822"/>
    <w:rsid w:val="00C029ED"/>
    <w:rsid w:val="00C02F12"/>
    <w:rsid w:val="00C037F7"/>
    <w:rsid w:val="00C0383D"/>
    <w:rsid w:val="00C03876"/>
    <w:rsid w:val="00C0430A"/>
    <w:rsid w:val="00C0434F"/>
    <w:rsid w:val="00C044B7"/>
    <w:rsid w:val="00C04576"/>
    <w:rsid w:val="00C04742"/>
    <w:rsid w:val="00C04AA0"/>
    <w:rsid w:val="00C04BA9"/>
    <w:rsid w:val="00C04E98"/>
    <w:rsid w:val="00C04EBA"/>
    <w:rsid w:val="00C0510D"/>
    <w:rsid w:val="00C051CD"/>
    <w:rsid w:val="00C052CC"/>
    <w:rsid w:val="00C05B6E"/>
    <w:rsid w:val="00C05C1A"/>
    <w:rsid w:val="00C05DBD"/>
    <w:rsid w:val="00C067E2"/>
    <w:rsid w:val="00C06845"/>
    <w:rsid w:val="00C0698E"/>
    <w:rsid w:val="00C070D8"/>
    <w:rsid w:val="00C071D6"/>
    <w:rsid w:val="00C07381"/>
    <w:rsid w:val="00C07386"/>
    <w:rsid w:val="00C0740A"/>
    <w:rsid w:val="00C07723"/>
    <w:rsid w:val="00C10351"/>
    <w:rsid w:val="00C10B7C"/>
    <w:rsid w:val="00C11E25"/>
    <w:rsid w:val="00C1228A"/>
    <w:rsid w:val="00C12340"/>
    <w:rsid w:val="00C124C0"/>
    <w:rsid w:val="00C127C5"/>
    <w:rsid w:val="00C12B9D"/>
    <w:rsid w:val="00C136B5"/>
    <w:rsid w:val="00C13D41"/>
    <w:rsid w:val="00C13D45"/>
    <w:rsid w:val="00C14095"/>
    <w:rsid w:val="00C142D3"/>
    <w:rsid w:val="00C14C52"/>
    <w:rsid w:val="00C150E4"/>
    <w:rsid w:val="00C1576B"/>
    <w:rsid w:val="00C15D7D"/>
    <w:rsid w:val="00C15DCB"/>
    <w:rsid w:val="00C15E54"/>
    <w:rsid w:val="00C1631C"/>
    <w:rsid w:val="00C16A57"/>
    <w:rsid w:val="00C16E36"/>
    <w:rsid w:val="00C16F86"/>
    <w:rsid w:val="00C17A8F"/>
    <w:rsid w:val="00C202FB"/>
    <w:rsid w:val="00C20857"/>
    <w:rsid w:val="00C20C16"/>
    <w:rsid w:val="00C21250"/>
    <w:rsid w:val="00C21434"/>
    <w:rsid w:val="00C21942"/>
    <w:rsid w:val="00C22224"/>
    <w:rsid w:val="00C224EC"/>
    <w:rsid w:val="00C22901"/>
    <w:rsid w:val="00C22BC0"/>
    <w:rsid w:val="00C22C9B"/>
    <w:rsid w:val="00C23AA0"/>
    <w:rsid w:val="00C23AD6"/>
    <w:rsid w:val="00C23C0C"/>
    <w:rsid w:val="00C23CC1"/>
    <w:rsid w:val="00C23D05"/>
    <w:rsid w:val="00C24049"/>
    <w:rsid w:val="00C24772"/>
    <w:rsid w:val="00C24895"/>
    <w:rsid w:val="00C24E9C"/>
    <w:rsid w:val="00C25208"/>
    <w:rsid w:val="00C2533E"/>
    <w:rsid w:val="00C2540D"/>
    <w:rsid w:val="00C26186"/>
    <w:rsid w:val="00C262B8"/>
    <w:rsid w:val="00C26AA0"/>
    <w:rsid w:val="00C26B1E"/>
    <w:rsid w:val="00C26D4E"/>
    <w:rsid w:val="00C273C0"/>
    <w:rsid w:val="00C27599"/>
    <w:rsid w:val="00C27704"/>
    <w:rsid w:val="00C27A38"/>
    <w:rsid w:val="00C27B57"/>
    <w:rsid w:val="00C27CD3"/>
    <w:rsid w:val="00C3011A"/>
    <w:rsid w:val="00C30661"/>
    <w:rsid w:val="00C30ADC"/>
    <w:rsid w:val="00C31EBE"/>
    <w:rsid w:val="00C32340"/>
    <w:rsid w:val="00C323E6"/>
    <w:rsid w:val="00C32722"/>
    <w:rsid w:val="00C32B5B"/>
    <w:rsid w:val="00C32D34"/>
    <w:rsid w:val="00C32F38"/>
    <w:rsid w:val="00C33330"/>
    <w:rsid w:val="00C334CA"/>
    <w:rsid w:val="00C33A6C"/>
    <w:rsid w:val="00C34019"/>
    <w:rsid w:val="00C3495F"/>
    <w:rsid w:val="00C34C1A"/>
    <w:rsid w:val="00C3524D"/>
    <w:rsid w:val="00C353CB"/>
    <w:rsid w:val="00C35492"/>
    <w:rsid w:val="00C3585E"/>
    <w:rsid w:val="00C35F8F"/>
    <w:rsid w:val="00C360FE"/>
    <w:rsid w:val="00C361EE"/>
    <w:rsid w:val="00C36262"/>
    <w:rsid w:val="00C364DF"/>
    <w:rsid w:val="00C366DC"/>
    <w:rsid w:val="00C3674E"/>
    <w:rsid w:val="00C3685C"/>
    <w:rsid w:val="00C36940"/>
    <w:rsid w:val="00C36C4A"/>
    <w:rsid w:val="00C3741B"/>
    <w:rsid w:val="00C3744D"/>
    <w:rsid w:val="00C403B8"/>
    <w:rsid w:val="00C4075A"/>
    <w:rsid w:val="00C40C50"/>
    <w:rsid w:val="00C41357"/>
    <w:rsid w:val="00C413BB"/>
    <w:rsid w:val="00C416D1"/>
    <w:rsid w:val="00C41A21"/>
    <w:rsid w:val="00C4238D"/>
    <w:rsid w:val="00C426F8"/>
    <w:rsid w:val="00C43216"/>
    <w:rsid w:val="00C43467"/>
    <w:rsid w:val="00C43646"/>
    <w:rsid w:val="00C43C74"/>
    <w:rsid w:val="00C43F86"/>
    <w:rsid w:val="00C43F9F"/>
    <w:rsid w:val="00C44226"/>
    <w:rsid w:val="00C44290"/>
    <w:rsid w:val="00C44552"/>
    <w:rsid w:val="00C448A4"/>
    <w:rsid w:val="00C44BCA"/>
    <w:rsid w:val="00C45330"/>
    <w:rsid w:val="00C454C0"/>
    <w:rsid w:val="00C455BE"/>
    <w:rsid w:val="00C459CD"/>
    <w:rsid w:val="00C45D5B"/>
    <w:rsid w:val="00C45DAF"/>
    <w:rsid w:val="00C4614C"/>
    <w:rsid w:val="00C46275"/>
    <w:rsid w:val="00C46958"/>
    <w:rsid w:val="00C46BAC"/>
    <w:rsid w:val="00C46BBF"/>
    <w:rsid w:val="00C47616"/>
    <w:rsid w:val="00C4781E"/>
    <w:rsid w:val="00C5004D"/>
    <w:rsid w:val="00C502B6"/>
    <w:rsid w:val="00C502CF"/>
    <w:rsid w:val="00C5031A"/>
    <w:rsid w:val="00C505C8"/>
    <w:rsid w:val="00C5097C"/>
    <w:rsid w:val="00C5141D"/>
    <w:rsid w:val="00C5160B"/>
    <w:rsid w:val="00C51916"/>
    <w:rsid w:val="00C5198B"/>
    <w:rsid w:val="00C51C87"/>
    <w:rsid w:val="00C51CEF"/>
    <w:rsid w:val="00C51D02"/>
    <w:rsid w:val="00C525B1"/>
    <w:rsid w:val="00C528B2"/>
    <w:rsid w:val="00C52DF2"/>
    <w:rsid w:val="00C5304F"/>
    <w:rsid w:val="00C53F43"/>
    <w:rsid w:val="00C53FDA"/>
    <w:rsid w:val="00C54042"/>
    <w:rsid w:val="00C54B6D"/>
    <w:rsid w:val="00C54CCB"/>
    <w:rsid w:val="00C54D18"/>
    <w:rsid w:val="00C54E39"/>
    <w:rsid w:val="00C553EE"/>
    <w:rsid w:val="00C555F2"/>
    <w:rsid w:val="00C5582E"/>
    <w:rsid w:val="00C55E89"/>
    <w:rsid w:val="00C56017"/>
    <w:rsid w:val="00C56908"/>
    <w:rsid w:val="00C56CB0"/>
    <w:rsid w:val="00C56E49"/>
    <w:rsid w:val="00C56EAC"/>
    <w:rsid w:val="00C57369"/>
    <w:rsid w:val="00C601D9"/>
    <w:rsid w:val="00C60909"/>
    <w:rsid w:val="00C60BCC"/>
    <w:rsid w:val="00C60F0D"/>
    <w:rsid w:val="00C60FAE"/>
    <w:rsid w:val="00C61114"/>
    <w:rsid w:val="00C61661"/>
    <w:rsid w:val="00C61C58"/>
    <w:rsid w:val="00C61F04"/>
    <w:rsid w:val="00C62526"/>
    <w:rsid w:val="00C62DF4"/>
    <w:rsid w:val="00C62EE3"/>
    <w:rsid w:val="00C631F2"/>
    <w:rsid w:val="00C63200"/>
    <w:rsid w:val="00C63924"/>
    <w:rsid w:val="00C63932"/>
    <w:rsid w:val="00C63CCE"/>
    <w:rsid w:val="00C63E27"/>
    <w:rsid w:val="00C6412B"/>
    <w:rsid w:val="00C641F6"/>
    <w:rsid w:val="00C64619"/>
    <w:rsid w:val="00C64F5F"/>
    <w:rsid w:val="00C64FA1"/>
    <w:rsid w:val="00C653EE"/>
    <w:rsid w:val="00C65B02"/>
    <w:rsid w:val="00C65BAC"/>
    <w:rsid w:val="00C65C63"/>
    <w:rsid w:val="00C65EA3"/>
    <w:rsid w:val="00C66371"/>
    <w:rsid w:val="00C6652E"/>
    <w:rsid w:val="00C66CF0"/>
    <w:rsid w:val="00C674EF"/>
    <w:rsid w:val="00C70243"/>
    <w:rsid w:val="00C7033E"/>
    <w:rsid w:val="00C703B2"/>
    <w:rsid w:val="00C70730"/>
    <w:rsid w:val="00C70939"/>
    <w:rsid w:val="00C70A73"/>
    <w:rsid w:val="00C70BAE"/>
    <w:rsid w:val="00C7105F"/>
    <w:rsid w:val="00C71423"/>
    <w:rsid w:val="00C714E4"/>
    <w:rsid w:val="00C717EB"/>
    <w:rsid w:val="00C718EB"/>
    <w:rsid w:val="00C72093"/>
    <w:rsid w:val="00C7213D"/>
    <w:rsid w:val="00C725D2"/>
    <w:rsid w:val="00C72762"/>
    <w:rsid w:val="00C72C25"/>
    <w:rsid w:val="00C72E25"/>
    <w:rsid w:val="00C73F3C"/>
    <w:rsid w:val="00C74112"/>
    <w:rsid w:val="00C748A7"/>
    <w:rsid w:val="00C74931"/>
    <w:rsid w:val="00C74C61"/>
    <w:rsid w:val="00C7511F"/>
    <w:rsid w:val="00C754B8"/>
    <w:rsid w:val="00C754C4"/>
    <w:rsid w:val="00C76234"/>
    <w:rsid w:val="00C76383"/>
    <w:rsid w:val="00C766EF"/>
    <w:rsid w:val="00C76A3B"/>
    <w:rsid w:val="00C76BB4"/>
    <w:rsid w:val="00C76ED0"/>
    <w:rsid w:val="00C77390"/>
    <w:rsid w:val="00C774A3"/>
    <w:rsid w:val="00C778DC"/>
    <w:rsid w:val="00C80258"/>
    <w:rsid w:val="00C803D8"/>
    <w:rsid w:val="00C8092D"/>
    <w:rsid w:val="00C80AEE"/>
    <w:rsid w:val="00C80F26"/>
    <w:rsid w:val="00C80FED"/>
    <w:rsid w:val="00C812AE"/>
    <w:rsid w:val="00C812EC"/>
    <w:rsid w:val="00C81337"/>
    <w:rsid w:val="00C81397"/>
    <w:rsid w:val="00C81531"/>
    <w:rsid w:val="00C819EA"/>
    <w:rsid w:val="00C8250F"/>
    <w:rsid w:val="00C82A07"/>
    <w:rsid w:val="00C82AE1"/>
    <w:rsid w:val="00C82BD8"/>
    <w:rsid w:val="00C8405E"/>
    <w:rsid w:val="00C84269"/>
    <w:rsid w:val="00C842BB"/>
    <w:rsid w:val="00C84908"/>
    <w:rsid w:val="00C84D77"/>
    <w:rsid w:val="00C8509F"/>
    <w:rsid w:val="00C85173"/>
    <w:rsid w:val="00C8520A"/>
    <w:rsid w:val="00C85251"/>
    <w:rsid w:val="00C85798"/>
    <w:rsid w:val="00C8596A"/>
    <w:rsid w:val="00C85CFC"/>
    <w:rsid w:val="00C874BA"/>
    <w:rsid w:val="00C876C1"/>
    <w:rsid w:val="00C87C21"/>
    <w:rsid w:val="00C900DC"/>
    <w:rsid w:val="00C904EC"/>
    <w:rsid w:val="00C90EFA"/>
    <w:rsid w:val="00C91160"/>
    <w:rsid w:val="00C913ED"/>
    <w:rsid w:val="00C91561"/>
    <w:rsid w:val="00C91DB0"/>
    <w:rsid w:val="00C93072"/>
    <w:rsid w:val="00C9352E"/>
    <w:rsid w:val="00C94472"/>
    <w:rsid w:val="00C945F3"/>
    <w:rsid w:val="00C94CBD"/>
    <w:rsid w:val="00C94D63"/>
    <w:rsid w:val="00C9560C"/>
    <w:rsid w:val="00C9565E"/>
    <w:rsid w:val="00C95705"/>
    <w:rsid w:val="00C95B5A"/>
    <w:rsid w:val="00C96521"/>
    <w:rsid w:val="00C96682"/>
    <w:rsid w:val="00C96A6C"/>
    <w:rsid w:val="00C96B91"/>
    <w:rsid w:val="00C973F4"/>
    <w:rsid w:val="00C9743F"/>
    <w:rsid w:val="00C9772F"/>
    <w:rsid w:val="00C97844"/>
    <w:rsid w:val="00C9787D"/>
    <w:rsid w:val="00CA02BB"/>
    <w:rsid w:val="00CA0453"/>
    <w:rsid w:val="00CA050A"/>
    <w:rsid w:val="00CA0519"/>
    <w:rsid w:val="00CA0DCB"/>
    <w:rsid w:val="00CA109A"/>
    <w:rsid w:val="00CA139B"/>
    <w:rsid w:val="00CA1953"/>
    <w:rsid w:val="00CA1C70"/>
    <w:rsid w:val="00CA2468"/>
    <w:rsid w:val="00CA28D0"/>
    <w:rsid w:val="00CA320E"/>
    <w:rsid w:val="00CA35A6"/>
    <w:rsid w:val="00CA3A89"/>
    <w:rsid w:val="00CA3AC6"/>
    <w:rsid w:val="00CA3C1C"/>
    <w:rsid w:val="00CA42A0"/>
    <w:rsid w:val="00CA42AC"/>
    <w:rsid w:val="00CA4686"/>
    <w:rsid w:val="00CA46EE"/>
    <w:rsid w:val="00CA4AA6"/>
    <w:rsid w:val="00CA4AC4"/>
    <w:rsid w:val="00CA4F7B"/>
    <w:rsid w:val="00CA54D1"/>
    <w:rsid w:val="00CA54D6"/>
    <w:rsid w:val="00CA55B4"/>
    <w:rsid w:val="00CA5604"/>
    <w:rsid w:val="00CA5B54"/>
    <w:rsid w:val="00CA5C77"/>
    <w:rsid w:val="00CA5EE4"/>
    <w:rsid w:val="00CA651A"/>
    <w:rsid w:val="00CA73F7"/>
    <w:rsid w:val="00CA7A09"/>
    <w:rsid w:val="00CB045D"/>
    <w:rsid w:val="00CB0713"/>
    <w:rsid w:val="00CB0BA6"/>
    <w:rsid w:val="00CB108F"/>
    <w:rsid w:val="00CB1634"/>
    <w:rsid w:val="00CB176F"/>
    <w:rsid w:val="00CB18F8"/>
    <w:rsid w:val="00CB2947"/>
    <w:rsid w:val="00CB2B75"/>
    <w:rsid w:val="00CB3BF1"/>
    <w:rsid w:val="00CB3EA3"/>
    <w:rsid w:val="00CB4084"/>
    <w:rsid w:val="00CB4225"/>
    <w:rsid w:val="00CB4534"/>
    <w:rsid w:val="00CB4563"/>
    <w:rsid w:val="00CB48A9"/>
    <w:rsid w:val="00CB5000"/>
    <w:rsid w:val="00CB565E"/>
    <w:rsid w:val="00CB584A"/>
    <w:rsid w:val="00CB5AC7"/>
    <w:rsid w:val="00CB5B82"/>
    <w:rsid w:val="00CB5BEB"/>
    <w:rsid w:val="00CB5C14"/>
    <w:rsid w:val="00CB677F"/>
    <w:rsid w:val="00CB6951"/>
    <w:rsid w:val="00CB69F3"/>
    <w:rsid w:val="00CB6F29"/>
    <w:rsid w:val="00CB74BE"/>
    <w:rsid w:val="00CB7D9B"/>
    <w:rsid w:val="00CC103D"/>
    <w:rsid w:val="00CC14E4"/>
    <w:rsid w:val="00CC1874"/>
    <w:rsid w:val="00CC1B20"/>
    <w:rsid w:val="00CC1DBE"/>
    <w:rsid w:val="00CC1E7C"/>
    <w:rsid w:val="00CC2626"/>
    <w:rsid w:val="00CC29D0"/>
    <w:rsid w:val="00CC2B4C"/>
    <w:rsid w:val="00CC2BF4"/>
    <w:rsid w:val="00CC331B"/>
    <w:rsid w:val="00CC363F"/>
    <w:rsid w:val="00CC3EA3"/>
    <w:rsid w:val="00CC4281"/>
    <w:rsid w:val="00CC43FB"/>
    <w:rsid w:val="00CC4E26"/>
    <w:rsid w:val="00CC4F1A"/>
    <w:rsid w:val="00CC60D9"/>
    <w:rsid w:val="00CC6481"/>
    <w:rsid w:val="00CC692A"/>
    <w:rsid w:val="00CC6A19"/>
    <w:rsid w:val="00CC6A49"/>
    <w:rsid w:val="00CC6B74"/>
    <w:rsid w:val="00CC732D"/>
    <w:rsid w:val="00CC7755"/>
    <w:rsid w:val="00CC7CE5"/>
    <w:rsid w:val="00CD0282"/>
    <w:rsid w:val="00CD0D70"/>
    <w:rsid w:val="00CD1024"/>
    <w:rsid w:val="00CD107A"/>
    <w:rsid w:val="00CD15F1"/>
    <w:rsid w:val="00CD16DA"/>
    <w:rsid w:val="00CD17FD"/>
    <w:rsid w:val="00CD1FD6"/>
    <w:rsid w:val="00CD22BA"/>
    <w:rsid w:val="00CD2382"/>
    <w:rsid w:val="00CD24E4"/>
    <w:rsid w:val="00CD2541"/>
    <w:rsid w:val="00CD28CD"/>
    <w:rsid w:val="00CD28ED"/>
    <w:rsid w:val="00CD312C"/>
    <w:rsid w:val="00CD33EB"/>
    <w:rsid w:val="00CD3450"/>
    <w:rsid w:val="00CD36B2"/>
    <w:rsid w:val="00CD3839"/>
    <w:rsid w:val="00CD3F0A"/>
    <w:rsid w:val="00CD4EC0"/>
    <w:rsid w:val="00CD506B"/>
    <w:rsid w:val="00CD5280"/>
    <w:rsid w:val="00CD586F"/>
    <w:rsid w:val="00CD5AA9"/>
    <w:rsid w:val="00CD5C93"/>
    <w:rsid w:val="00CD5F58"/>
    <w:rsid w:val="00CD600A"/>
    <w:rsid w:val="00CD60D4"/>
    <w:rsid w:val="00CD61B1"/>
    <w:rsid w:val="00CD64B2"/>
    <w:rsid w:val="00CD6516"/>
    <w:rsid w:val="00CD6A13"/>
    <w:rsid w:val="00CD6E41"/>
    <w:rsid w:val="00CD6FD6"/>
    <w:rsid w:val="00CD7039"/>
    <w:rsid w:val="00CD75FB"/>
    <w:rsid w:val="00CD7749"/>
    <w:rsid w:val="00CE01E1"/>
    <w:rsid w:val="00CE0343"/>
    <w:rsid w:val="00CE03CA"/>
    <w:rsid w:val="00CE1032"/>
    <w:rsid w:val="00CE1490"/>
    <w:rsid w:val="00CE2027"/>
    <w:rsid w:val="00CE22C2"/>
    <w:rsid w:val="00CE2318"/>
    <w:rsid w:val="00CE24A6"/>
    <w:rsid w:val="00CE2879"/>
    <w:rsid w:val="00CE28CC"/>
    <w:rsid w:val="00CE290A"/>
    <w:rsid w:val="00CE29F1"/>
    <w:rsid w:val="00CE2CCE"/>
    <w:rsid w:val="00CE39C9"/>
    <w:rsid w:val="00CE3D4D"/>
    <w:rsid w:val="00CE3F90"/>
    <w:rsid w:val="00CE4439"/>
    <w:rsid w:val="00CE45EE"/>
    <w:rsid w:val="00CE4652"/>
    <w:rsid w:val="00CE4C4C"/>
    <w:rsid w:val="00CE4C56"/>
    <w:rsid w:val="00CE4E74"/>
    <w:rsid w:val="00CE4FE1"/>
    <w:rsid w:val="00CE55D9"/>
    <w:rsid w:val="00CE5B4F"/>
    <w:rsid w:val="00CE5C9A"/>
    <w:rsid w:val="00CE61B6"/>
    <w:rsid w:val="00CE6256"/>
    <w:rsid w:val="00CE6A43"/>
    <w:rsid w:val="00CE6C82"/>
    <w:rsid w:val="00CE6E92"/>
    <w:rsid w:val="00CE6E93"/>
    <w:rsid w:val="00CE72F9"/>
    <w:rsid w:val="00CE7926"/>
    <w:rsid w:val="00CF00F4"/>
    <w:rsid w:val="00CF050A"/>
    <w:rsid w:val="00CF06BB"/>
    <w:rsid w:val="00CF071E"/>
    <w:rsid w:val="00CF0B44"/>
    <w:rsid w:val="00CF1346"/>
    <w:rsid w:val="00CF26D0"/>
    <w:rsid w:val="00CF3010"/>
    <w:rsid w:val="00CF31DA"/>
    <w:rsid w:val="00CF3C77"/>
    <w:rsid w:val="00CF3E12"/>
    <w:rsid w:val="00CF4277"/>
    <w:rsid w:val="00CF4525"/>
    <w:rsid w:val="00CF4616"/>
    <w:rsid w:val="00CF4A51"/>
    <w:rsid w:val="00CF4E53"/>
    <w:rsid w:val="00CF51C7"/>
    <w:rsid w:val="00CF52A3"/>
    <w:rsid w:val="00CF554F"/>
    <w:rsid w:val="00CF576D"/>
    <w:rsid w:val="00CF5C63"/>
    <w:rsid w:val="00CF5E32"/>
    <w:rsid w:val="00CF6392"/>
    <w:rsid w:val="00CF63CB"/>
    <w:rsid w:val="00CF6A06"/>
    <w:rsid w:val="00CF6BCC"/>
    <w:rsid w:val="00CF6EE1"/>
    <w:rsid w:val="00CF774B"/>
    <w:rsid w:val="00D0015A"/>
    <w:rsid w:val="00D0074E"/>
    <w:rsid w:val="00D008A0"/>
    <w:rsid w:val="00D0096B"/>
    <w:rsid w:val="00D00EBC"/>
    <w:rsid w:val="00D012AE"/>
    <w:rsid w:val="00D015CE"/>
    <w:rsid w:val="00D01F53"/>
    <w:rsid w:val="00D02599"/>
    <w:rsid w:val="00D02A59"/>
    <w:rsid w:val="00D03036"/>
    <w:rsid w:val="00D03278"/>
    <w:rsid w:val="00D034F0"/>
    <w:rsid w:val="00D034FD"/>
    <w:rsid w:val="00D03679"/>
    <w:rsid w:val="00D03E3F"/>
    <w:rsid w:val="00D03F68"/>
    <w:rsid w:val="00D04761"/>
    <w:rsid w:val="00D04910"/>
    <w:rsid w:val="00D04BDE"/>
    <w:rsid w:val="00D0556E"/>
    <w:rsid w:val="00D056DD"/>
    <w:rsid w:val="00D05800"/>
    <w:rsid w:val="00D059C3"/>
    <w:rsid w:val="00D05A24"/>
    <w:rsid w:val="00D063AD"/>
    <w:rsid w:val="00D06793"/>
    <w:rsid w:val="00D06B9A"/>
    <w:rsid w:val="00D074ED"/>
    <w:rsid w:val="00D07625"/>
    <w:rsid w:val="00D07FA6"/>
    <w:rsid w:val="00D07FC1"/>
    <w:rsid w:val="00D10388"/>
    <w:rsid w:val="00D105CB"/>
    <w:rsid w:val="00D10979"/>
    <w:rsid w:val="00D11326"/>
    <w:rsid w:val="00D11460"/>
    <w:rsid w:val="00D11A49"/>
    <w:rsid w:val="00D1225C"/>
    <w:rsid w:val="00D128DF"/>
    <w:rsid w:val="00D131F6"/>
    <w:rsid w:val="00D1364A"/>
    <w:rsid w:val="00D13AE5"/>
    <w:rsid w:val="00D13CC0"/>
    <w:rsid w:val="00D14078"/>
    <w:rsid w:val="00D140E3"/>
    <w:rsid w:val="00D14737"/>
    <w:rsid w:val="00D14F87"/>
    <w:rsid w:val="00D152D4"/>
    <w:rsid w:val="00D15716"/>
    <w:rsid w:val="00D157FA"/>
    <w:rsid w:val="00D15AC9"/>
    <w:rsid w:val="00D15E5B"/>
    <w:rsid w:val="00D15EA2"/>
    <w:rsid w:val="00D15F4E"/>
    <w:rsid w:val="00D15F98"/>
    <w:rsid w:val="00D16122"/>
    <w:rsid w:val="00D1616C"/>
    <w:rsid w:val="00D16278"/>
    <w:rsid w:val="00D16398"/>
    <w:rsid w:val="00D164CF"/>
    <w:rsid w:val="00D16A95"/>
    <w:rsid w:val="00D176E0"/>
    <w:rsid w:val="00D17BAC"/>
    <w:rsid w:val="00D204B8"/>
    <w:rsid w:val="00D2077E"/>
    <w:rsid w:val="00D2121B"/>
    <w:rsid w:val="00D21853"/>
    <w:rsid w:val="00D22204"/>
    <w:rsid w:val="00D22ACB"/>
    <w:rsid w:val="00D22E18"/>
    <w:rsid w:val="00D231A0"/>
    <w:rsid w:val="00D232F2"/>
    <w:rsid w:val="00D23339"/>
    <w:rsid w:val="00D237F6"/>
    <w:rsid w:val="00D24FE4"/>
    <w:rsid w:val="00D251CB"/>
    <w:rsid w:val="00D2548C"/>
    <w:rsid w:val="00D261A5"/>
    <w:rsid w:val="00D26588"/>
    <w:rsid w:val="00D26B01"/>
    <w:rsid w:val="00D26CC2"/>
    <w:rsid w:val="00D26F1B"/>
    <w:rsid w:val="00D26FB1"/>
    <w:rsid w:val="00D2730E"/>
    <w:rsid w:val="00D27495"/>
    <w:rsid w:val="00D27A6F"/>
    <w:rsid w:val="00D305A4"/>
    <w:rsid w:val="00D30DF1"/>
    <w:rsid w:val="00D315A5"/>
    <w:rsid w:val="00D31CB8"/>
    <w:rsid w:val="00D32322"/>
    <w:rsid w:val="00D32863"/>
    <w:rsid w:val="00D32B9C"/>
    <w:rsid w:val="00D32D2E"/>
    <w:rsid w:val="00D32E9D"/>
    <w:rsid w:val="00D32FD2"/>
    <w:rsid w:val="00D3308D"/>
    <w:rsid w:val="00D3313F"/>
    <w:rsid w:val="00D332CB"/>
    <w:rsid w:val="00D332E9"/>
    <w:rsid w:val="00D33769"/>
    <w:rsid w:val="00D338CD"/>
    <w:rsid w:val="00D33F3D"/>
    <w:rsid w:val="00D3436E"/>
    <w:rsid w:val="00D34616"/>
    <w:rsid w:val="00D34677"/>
    <w:rsid w:val="00D35637"/>
    <w:rsid w:val="00D35847"/>
    <w:rsid w:val="00D360EB"/>
    <w:rsid w:val="00D36511"/>
    <w:rsid w:val="00D3693C"/>
    <w:rsid w:val="00D369B6"/>
    <w:rsid w:val="00D36C74"/>
    <w:rsid w:val="00D37121"/>
    <w:rsid w:val="00D373C2"/>
    <w:rsid w:val="00D37A31"/>
    <w:rsid w:val="00D37B9D"/>
    <w:rsid w:val="00D37FA5"/>
    <w:rsid w:val="00D4008D"/>
    <w:rsid w:val="00D4009E"/>
    <w:rsid w:val="00D400E4"/>
    <w:rsid w:val="00D4010E"/>
    <w:rsid w:val="00D40325"/>
    <w:rsid w:val="00D4070D"/>
    <w:rsid w:val="00D40748"/>
    <w:rsid w:val="00D407B7"/>
    <w:rsid w:val="00D40A70"/>
    <w:rsid w:val="00D40D63"/>
    <w:rsid w:val="00D41020"/>
    <w:rsid w:val="00D414E5"/>
    <w:rsid w:val="00D42422"/>
    <w:rsid w:val="00D43041"/>
    <w:rsid w:val="00D4308E"/>
    <w:rsid w:val="00D4374A"/>
    <w:rsid w:val="00D43DFA"/>
    <w:rsid w:val="00D43EFF"/>
    <w:rsid w:val="00D4421F"/>
    <w:rsid w:val="00D4436B"/>
    <w:rsid w:val="00D443C9"/>
    <w:rsid w:val="00D4485A"/>
    <w:rsid w:val="00D44A1E"/>
    <w:rsid w:val="00D458CE"/>
    <w:rsid w:val="00D45BA0"/>
    <w:rsid w:val="00D4627F"/>
    <w:rsid w:val="00D463F6"/>
    <w:rsid w:val="00D46523"/>
    <w:rsid w:val="00D465E7"/>
    <w:rsid w:val="00D46731"/>
    <w:rsid w:val="00D47367"/>
    <w:rsid w:val="00D4744B"/>
    <w:rsid w:val="00D47977"/>
    <w:rsid w:val="00D47A36"/>
    <w:rsid w:val="00D47AFE"/>
    <w:rsid w:val="00D47C1A"/>
    <w:rsid w:val="00D50320"/>
    <w:rsid w:val="00D50AD9"/>
    <w:rsid w:val="00D50B93"/>
    <w:rsid w:val="00D50F7F"/>
    <w:rsid w:val="00D51F44"/>
    <w:rsid w:val="00D5205B"/>
    <w:rsid w:val="00D522EC"/>
    <w:rsid w:val="00D524F8"/>
    <w:rsid w:val="00D52662"/>
    <w:rsid w:val="00D52A81"/>
    <w:rsid w:val="00D52CDC"/>
    <w:rsid w:val="00D534A7"/>
    <w:rsid w:val="00D53A0B"/>
    <w:rsid w:val="00D5431B"/>
    <w:rsid w:val="00D5440C"/>
    <w:rsid w:val="00D548D0"/>
    <w:rsid w:val="00D5492C"/>
    <w:rsid w:val="00D54AC0"/>
    <w:rsid w:val="00D54D81"/>
    <w:rsid w:val="00D55440"/>
    <w:rsid w:val="00D55496"/>
    <w:rsid w:val="00D55AC2"/>
    <w:rsid w:val="00D55D5B"/>
    <w:rsid w:val="00D562E9"/>
    <w:rsid w:val="00D5645F"/>
    <w:rsid w:val="00D5654B"/>
    <w:rsid w:val="00D56A21"/>
    <w:rsid w:val="00D56A7E"/>
    <w:rsid w:val="00D56DE1"/>
    <w:rsid w:val="00D57309"/>
    <w:rsid w:val="00D57417"/>
    <w:rsid w:val="00D60696"/>
    <w:rsid w:val="00D60A99"/>
    <w:rsid w:val="00D620F3"/>
    <w:rsid w:val="00D62650"/>
    <w:rsid w:val="00D62BE2"/>
    <w:rsid w:val="00D62F86"/>
    <w:rsid w:val="00D63671"/>
    <w:rsid w:val="00D63713"/>
    <w:rsid w:val="00D637A4"/>
    <w:rsid w:val="00D638F6"/>
    <w:rsid w:val="00D63904"/>
    <w:rsid w:val="00D63A34"/>
    <w:rsid w:val="00D63D3A"/>
    <w:rsid w:val="00D642C9"/>
    <w:rsid w:val="00D6477E"/>
    <w:rsid w:val="00D64816"/>
    <w:rsid w:val="00D64946"/>
    <w:rsid w:val="00D64AC1"/>
    <w:rsid w:val="00D64C0F"/>
    <w:rsid w:val="00D64D35"/>
    <w:rsid w:val="00D65715"/>
    <w:rsid w:val="00D66A84"/>
    <w:rsid w:val="00D67645"/>
    <w:rsid w:val="00D67C68"/>
    <w:rsid w:val="00D70191"/>
    <w:rsid w:val="00D70A69"/>
    <w:rsid w:val="00D70C29"/>
    <w:rsid w:val="00D70FDE"/>
    <w:rsid w:val="00D7155C"/>
    <w:rsid w:val="00D716A7"/>
    <w:rsid w:val="00D716E4"/>
    <w:rsid w:val="00D716F4"/>
    <w:rsid w:val="00D718E1"/>
    <w:rsid w:val="00D71A16"/>
    <w:rsid w:val="00D71A60"/>
    <w:rsid w:val="00D71AD1"/>
    <w:rsid w:val="00D71F26"/>
    <w:rsid w:val="00D71F30"/>
    <w:rsid w:val="00D71F3A"/>
    <w:rsid w:val="00D7221D"/>
    <w:rsid w:val="00D72DE6"/>
    <w:rsid w:val="00D73008"/>
    <w:rsid w:val="00D735C5"/>
    <w:rsid w:val="00D73AA4"/>
    <w:rsid w:val="00D73BDA"/>
    <w:rsid w:val="00D73F75"/>
    <w:rsid w:val="00D74189"/>
    <w:rsid w:val="00D74251"/>
    <w:rsid w:val="00D744AE"/>
    <w:rsid w:val="00D74885"/>
    <w:rsid w:val="00D74A9D"/>
    <w:rsid w:val="00D74B30"/>
    <w:rsid w:val="00D7515A"/>
    <w:rsid w:val="00D75310"/>
    <w:rsid w:val="00D7587B"/>
    <w:rsid w:val="00D75DB9"/>
    <w:rsid w:val="00D75E3B"/>
    <w:rsid w:val="00D762AC"/>
    <w:rsid w:val="00D76539"/>
    <w:rsid w:val="00D76AC5"/>
    <w:rsid w:val="00D76DCF"/>
    <w:rsid w:val="00D76E5F"/>
    <w:rsid w:val="00D77121"/>
    <w:rsid w:val="00D77A97"/>
    <w:rsid w:val="00D80255"/>
    <w:rsid w:val="00D808A1"/>
    <w:rsid w:val="00D80B49"/>
    <w:rsid w:val="00D80F1D"/>
    <w:rsid w:val="00D8101A"/>
    <w:rsid w:val="00D81518"/>
    <w:rsid w:val="00D81C71"/>
    <w:rsid w:val="00D81E40"/>
    <w:rsid w:val="00D81E57"/>
    <w:rsid w:val="00D81E63"/>
    <w:rsid w:val="00D81FD9"/>
    <w:rsid w:val="00D8249B"/>
    <w:rsid w:val="00D82BC8"/>
    <w:rsid w:val="00D82E4B"/>
    <w:rsid w:val="00D8354C"/>
    <w:rsid w:val="00D8376D"/>
    <w:rsid w:val="00D83770"/>
    <w:rsid w:val="00D83923"/>
    <w:rsid w:val="00D83A92"/>
    <w:rsid w:val="00D83A98"/>
    <w:rsid w:val="00D83AE1"/>
    <w:rsid w:val="00D844FC"/>
    <w:rsid w:val="00D84B1E"/>
    <w:rsid w:val="00D84DBF"/>
    <w:rsid w:val="00D85A68"/>
    <w:rsid w:val="00D85F40"/>
    <w:rsid w:val="00D85F5F"/>
    <w:rsid w:val="00D8697A"/>
    <w:rsid w:val="00D8726E"/>
    <w:rsid w:val="00D8768B"/>
    <w:rsid w:val="00D87760"/>
    <w:rsid w:val="00D87E80"/>
    <w:rsid w:val="00D9047C"/>
    <w:rsid w:val="00D90CAF"/>
    <w:rsid w:val="00D91C19"/>
    <w:rsid w:val="00D91C74"/>
    <w:rsid w:val="00D92046"/>
    <w:rsid w:val="00D920FB"/>
    <w:rsid w:val="00D94287"/>
    <w:rsid w:val="00D945D8"/>
    <w:rsid w:val="00D94ADB"/>
    <w:rsid w:val="00D94F95"/>
    <w:rsid w:val="00D94FD1"/>
    <w:rsid w:val="00D95054"/>
    <w:rsid w:val="00D9552F"/>
    <w:rsid w:val="00D956F9"/>
    <w:rsid w:val="00D95795"/>
    <w:rsid w:val="00D959C0"/>
    <w:rsid w:val="00D95FE9"/>
    <w:rsid w:val="00D96090"/>
    <w:rsid w:val="00D96162"/>
    <w:rsid w:val="00D96705"/>
    <w:rsid w:val="00D9685E"/>
    <w:rsid w:val="00D9692E"/>
    <w:rsid w:val="00D96AF8"/>
    <w:rsid w:val="00D96E83"/>
    <w:rsid w:val="00D972B3"/>
    <w:rsid w:val="00DA07E7"/>
    <w:rsid w:val="00DA0B40"/>
    <w:rsid w:val="00DA0D8C"/>
    <w:rsid w:val="00DA1352"/>
    <w:rsid w:val="00DA1505"/>
    <w:rsid w:val="00DA15F3"/>
    <w:rsid w:val="00DA18E1"/>
    <w:rsid w:val="00DA2262"/>
    <w:rsid w:val="00DA227B"/>
    <w:rsid w:val="00DA239F"/>
    <w:rsid w:val="00DA242B"/>
    <w:rsid w:val="00DA2625"/>
    <w:rsid w:val="00DA2764"/>
    <w:rsid w:val="00DA27EF"/>
    <w:rsid w:val="00DA282F"/>
    <w:rsid w:val="00DA332D"/>
    <w:rsid w:val="00DA3411"/>
    <w:rsid w:val="00DA346C"/>
    <w:rsid w:val="00DA40F9"/>
    <w:rsid w:val="00DA4488"/>
    <w:rsid w:val="00DA47AC"/>
    <w:rsid w:val="00DA483C"/>
    <w:rsid w:val="00DA4D68"/>
    <w:rsid w:val="00DA54A1"/>
    <w:rsid w:val="00DA5D69"/>
    <w:rsid w:val="00DA5F7F"/>
    <w:rsid w:val="00DA6264"/>
    <w:rsid w:val="00DA688F"/>
    <w:rsid w:val="00DA6911"/>
    <w:rsid w:val="00DA691F"/>
    <w:rsid w:val="00DA6EE3"/>
    <w:rsid w:val="00DA7168"/>
    <w:rsid w:val="00DA7BE8"/>
    <w:rsid w:val="00DA7D6E"/>
    <w:rsid w:val="00DB010A"/>
    <w:rsid w:val="00DB0262"/>
    <w:rsid w:val="00DB03FC"/>
    <w:rsid w:val="00DB05AB"/>
    <w:rsid w:val="00DB0A3B"/>
    <w:rsid w:val="00DB0FB4"/>
    <w:rsid w:val="00DB1A9E"/>
    <w:rsid w:val="00DB2436"/>
    <w:rsid w:val="00DB2DA3"/>
    <w:rsid w:val="00DB2FC0"/>
    <w:rsid w:val="00DB357D"/>
    <w:rsid w:val="00DB378F"/>
    <w:rsid w:val="00DB39AD"/>
    <w:rsid w:val="00DB4023"/>
    <w:rsid w:val="00DB42D6"/>
    <w:rsid w:val="00DB4D1C"/>
    <w:rsid w:val="00DB4DA3"/>
    <w:rsid w:val="00DB536B"/>
    <w:rsid w:val="00DB553D"/>
    <w:rsid w:val="00DB5AAD"/>
    <w:rsid w:val="00DB5BBF"/>
    <w:rsid w:val="00DB5E96"/>
    <w:rsid w:val="00DB6047"/>
    <w:rsid w:val="00DB625A"/>
    <w:rsid w:val="00DB6566"/>
    <w:rsid w:val="00DB6761"/>
    <w:rsid w:val="00DB6998"/>
    <w:rsid w:val="00DB6AA6"/>
    <w:rsid w:val="00DB6BA2"/>
    <w:rsid w:val="00DB6FA4"/>
    <w:rsid w:val="00DB72A2"/>
    <w:rsid w:val="00DB72C8"/>
    <w:rsid w:val="00DB763B"/>
    <w:rsid w:val="00DB7736"/>
    <w:rsid w:val="00DC03E9"/>
    <w:rsid w:val="00DC0A76"/>
    <w:rsid w:val="00DC0B2E"/>
    <w:rsid w:val="00DC0BC3"/>
    <w:rsid w:val="00DC12BC"/>
    <w:rsid w:val="00DC1819"/>
    <w:rsid w:val="00DC1867"/>
    <w:rsid w:val="00DC1901"/>
    <w:rsid w:val="00DC1DF9"/>
    <w:rsid w:val="00DC1E4A"/>
    <w:rsid w:val="00DC1EAE"/>
    <w:rsid w:val="00DC1FED"/>
    <w:rsid w:val="00DC22BD"/>
    <w:rsid w:val="00DC258A"/>
    <w:rsid w:val="00DC26AC"/>
    <w:rsid w:val="00DC3696"/>
    <w:rsid w:val="00DC36D7"/>
    <w:rsid w:val="00DC36EA"/>
    <w:rsid w:val="00DC39E7"/>
    <w:rsid w:val="00DC3BCF"/>
    <w:rsid w:val="00DC4157"/>
    <w:rsid w:val="00DC4300"/>
    <w:rsid w:val="00DC4697"/>
    <w:rsid w:val="00DC48EA"/>
    <w:rsid w:val="00DC556A"/>
    <w:rsid w:val="00DC55D9"/>
    <w:rsid w:val="00DC695B"/>
    <w:rsid w:val="00DC699B"/>
    <w:rsid w:val="00DC757B"/>
    <w:rsid w:val="00DC77D7"/>
    <w:rsid w:val="00DC795A"/>
    <w:rsid w:val="00DD00E6"/>
    <w:rsid w:val="00DD0DC8"/>
    <w:rsid w:val="00DD1388"/>
    <w:rsid w:val="00DD1613"/>
    <w:rsid w:val="00DD17F9"/>
    <w:rsid w:val="00DD1E2A"/>
    <w:rsid w:val="00DD24B5"/>
    <w:rsid w:val="00DD2921"/>
    <w:rsid w:val="00DD2ABD"/>
    <w:rsid w:val="00DD2B53"/>
    <w:rsid w:val="00DD2F8D"/>
    <w:rsid w:val="00DD325D"/>
    <w:rsid w:val="00DD3ABE"/>
    <w:rsid w:val="00DD4BBA"/>
    <w:rsid w:val="00DD4C0D"/>
    <w:rsid w:val="00DD50C0"/>
    <w:rsid w:val="00DD5101"/>
    <w:rsid w:val="00DD57FC"/>
    <w:rsid w:val="00DD58AD"/>
    <w:rsid w:val="00DD60A8"/>
    <w:rsid w:val="00DD63E5"/>
    <w:rsid w:val="00DD66A7"/>
    <w:rsid w:val="00DD6FE8"/>
    <w:rsid w:val="00DD7693"/>
    <w:rsid w:val="00DD79FA"/>
    <w:rsid w:val="00DD7D55"/>
    <w:rsid w:val="00DD7D86"/>
    <w:rsid w:val="00DE0800"/>
    <w:rsid w:val="00DE18E1"/>
    <w:rsid w:val="00DE1948"/>
    <w:rsid w:val="00DE1975"/>
    <w:rsid w:val="00DE2696"/>
    <w:rsid w:val="00DE2AB2"/>
    <w:rsid w:val="00DE2C5A"/>
    <w:rsid w:val="00DE2F10"/>
    <w:rsid w:val="00DE3608"/>
    <w:rsid w:val="00DE3776"/>
    <w:rsid w:val="00DE4128"/>
    <w:rsid w:val="00DE438F"/>
    <w:rsid w:val="00DE49EA"/>
    <w:rsid w:val="00DE512F"/>
    <w:rsid w:val="00DE59CA"/>
    <w:rsid w:val="00DE6781"/>
    <w:rsid w:val="00DE6BE7"/>
    <w:rsid w:val="00DE6F97"/>
    <w:rsid w:val="00DE71F0"/>
    <w:rsid w:val="00DE7980"/>
    <w:rsid w:val="00DE7A29"/>
    <w:rsid w:val="00DE7DA6"/>
    <w:rsid w:val="00DF0060"/>
    <w:rsid w:val="00DF0901"/>
    <w:rsid w:val="00DF1054"/>
    <w:rsid w:val="00DF1E76"/>
    <w:rsid w:val="00DF24FD"/>
    <w:rsid w:val="00DF2CCB"/>
    <w:rsid w:val="00DF39C1"/>
    <w:rsid w:val="00DF42B8"/>
    <w:rsid w:val="00DF4C18"/>
    <w:rsid w:val="00DF539E"/>
    <w:rsid w:val="00DF5924"/>
    <w:rsid w:val="00DF5C7B"/>
    <w:rsid w:val="00DF60DA"/>
    <w:rsid w:val="00DF6342"/>
    <w:rsid w:val="00DF6419"/>
    <w:rsid w:val="00DF662D"/>
    <w:rsid w:val="00DF6A05"/>
    <w:rsid w:val="00DF6D7B"/>
    <w:rsid w:val="00DF6FF5"/>
    <w:rsid w:val="00DF7120"/>
    <w:rsid w:val="00DF725C"/>
    <w:rsid w:val="00DF72F9"/>
    <w:rsid w:val="00DF750D"/>
    <w:rsid w:val="00DF773D"/>
    <w:rsid w:val="00DF7D8A"/>
    <w:rsid w:val="00E0054A"/>
    <w:rsid w:val="00E0059F"/>
    <w:rsid w:val="00E007F5"/>
    <w:rsid w:val="00E00D20"/>
    <w:rsid w:val="00E00E9E"/>
    <w:rsid w:val="00E00F85"/>
    <w:rsid w:val="00E02D4B"/>
    <w:rsid w:val="00E02DA6"/>
    <w:rsid w:val="00E03040"/>
    <w:rsid w:val="00E03653"/>
    <w:rsid w:val="00E037A0"/>
    <w:rsid w:val="00E038C8"/>
    <w:rsid w:val="00E04357"/>
    <w:rsid w:val="00E04723"/>
    <w:rsid w:val="00E04778"/>
    <w:rsid w:val="00E04E24"/>
    <w:rsid w:val="00E04EA8"/>
    <w:rsid w:val="00E05A14"/>
    <w:rsid w:val="00E06489"/>
    <w:rsid w:val="00E06561"/>
    <w:rsid w:val="00E0691B"/>
    <w:rsid w:val="00E06A08"/>
    <w:rsid w:val="00E06D23"/>
    <w:rsid w:val="00E07453"/>
    <w:rsid w:val="00E07B1C"/>
    <w:rsid w:val="00E10190"/>
    <w:rsid w:val="00E105DC"/>
    <w:rsid w:val="00E10898"/>
    <w:rsid w:val="00E109B7"/>
    <w:rsid w:val="00E109C5"/>
    <w:rsid w:val="00E10F28"/>
    <w:rsid w:val="00E113A2"/>
    <w:rsid w:val="00E12695"/>
    <w:rsid w:val="00E12D15"/>
    <w:rsid w:val="00E13520"/>
    <w:rsid w:val="00E137B5"/>
    <w:rsid w:val="00E138A9"/>
    <w:rsid w:val="00E13BC5"/>
    <w:rsid w:val="00E14193"/>
    <w:rsid w:val="00E14B11"/>
    <w:rsid w:val="00E14DAE"/>
    <w:rsid w:val="00E14E99"/>
    <w:rsid w:val="00E159CD"/>
    <w:rsid w:val="00E15A55"/>
    <w:rsid w:val="00E161F0"/>
    <w:rsid w:val="00E161FF"/>
    <w:rsid w:val="00E16408"/>
    <w:rsid w:val="00E164F5"/>
    <w:rsid w:val="00E166E9"/>
    <w:rsid w:val="00E16A6F"/>
    <w:rsid w:val="00E16F53"/>
    <w:rsid w:val="00E17451"/>
    <w:rsid w:val="00E17978"/>
    <w:rsid w:val="00E17D9C"/>
    <w:rsid w:val="00E20230"/>
    <w:rsid w:val="00E20955"/>
    <w:rsid w:val="00E20B7C"/>
    <w:rsid w:val="00E21419"/>
    <w:rsid w:val="00E21AC2"/>
    <w:rsid w:val="00E21BF4"/>
    <w:rsid w:val="00E224D8"/>
    <w:rsid w:val="00E227A6"/>
    <w:rsid w:val="00E229B7"/>
    <w:rsid w:val="00E22F9C"/>
    <w:rsid w:val="00E22FA3"/>
    <w:rsid w:val="00E23308"/>
    <w:rsid w:val="00E23675"/>
    <w:rsid w:val="00E236D6"/>
    <w:rsid w:val="00E237EF"/>
    <w:rsid w:val="00E23934"/>
    <w:rsid w:val="00E23CA9"/>
    <w:rsid w:val="00E24784"/>
    <w:rsid w:val="00E249EC"/>
    <w:rsid w:val="00E24EA6"/>
    <w:rsid w:val="00E24F91"/>
    <w:rsid w:val="00E252BE"/>
    <w:rsid w:val="00E2587C"/>
    <w:rsid w:val="00E259BB"/>
    <w:rsid w:val="00E25CEE"/>
    <w:rsid w:val="00E25E7B"/>
    <w:rsid w:val="00E262DC"/>
    <w:rsid w:val="00E263EE"/>
    <w:rsid w:val="00E265FA"/>
    <w:rsid w:val="00E26741"/>
    <w:rsid w:val="00E269B8"/>
    <w:rsid w:val="00E26C70"/>
    <w:rsid w:val="00E273C1"/>
    <w:rsid w:val="00E27711"/>
    <w:rsid w:val="00E300E4"/>
    <w:rsid w:val="00E3057D"/>
    <w:rsid w:val="00E305AC"/>
    <w:rsid w:val="00E30822"/>
    <w:rsid w:val="00E309AD"/>
    <w:rsid w:val="00E3109A"/>
    <w:rsid w:val="00E3136F"/>
    <w:rsid w:val="00E31831"/>
    <w:rsid w:val="00E31A9E"/>
    <w:rsid w:val="00E32092"/>
    <w:rsid w:val="00E32114"/>
    <w:rsid w:val="00E32AA2"/>
    <w:rsid w:val="00E32B20"/>
    <w:rsid w:val="00E335D5"/>
    <w:rsid w:val="00E33664"/>
    <w:rsid w:val="00E33761"/>
    <w:rsid w:val="00E33B9A"/>
    <w:rsid w:val="00E33E6F"/>
    <w:rsid w:val="00E33F76"/>
    <w:rsid w:val="00E34102"/>
    <w:rsid w:val="00E34368"/>
    <w:rsid w:val="00E34782"/>
    <w:rsid w:val="00E34F3F"/>
    <w:rsid w:val="00E34F73"/>
    <w:rsid w:val="00E35039"/>
    <w:rsid w:val="00E3524E"/>
    <w:rsid w:val="00E3621F"/>
    <w:rsid w:val="00E36251"/>
    <w:rsid w:val="00E36362"/>
    <w:rsid w:val="00E369DD"/>
    <w:rsid w:val="00E37246"/>
    <w:rsid w:val="00E3789D"/>
    <w:rsid w:val="00E37E66"/>
    <w:rsid w:val="00E37E79"/>
    <w:rsid w:val="00E37FF5"/>
    <w:rsid w:val="00E400C0"/>
    <w:rsid w:val="00E403BE"/>
    <w:rsid w:val="00E40771"/>
    <w:rsid w:val="00E40AB7"/>
    <w:rsid w:val="00E40D81"/>
    <w:rsid w:val="00E418BB"/>
    <w:rsid w:val="00E418D5"/>
    <w:rsid w:val="00E41A3F"/>
    <w:rsid w:val="00E4248E"/>
    <w:rsid w:val="00E4254A"/>
    <w:rsid w:val="00E42756"/>
    <w:rsid w:val="00E42A90"/>
    <w:rsid w:val="00E42C35"/>
    <w:rsid w:val="00E42C5F"/>
    <w:rsid w:val="00E42DDC"/>
    <w:rsid w:val="00E42F52"/>
    <w:rsid w:val="00E4340A"/>
    <w:rsid w:val="00E43C9E"/>
    <w:rsid w:val="00E44215"/>
    <w:rsid w:val="00E445AA"/>
    <w:rsid w:val="00E44692"/>
    <w:rsid w:val="00E44A04"/>
    <w:rsid w:val="00E454E6"/>
    <w:rsid w:val="00E45654"/>
    <w:rsid w:val="00E459DD"/>
    <w:rsid w:val="00E465BC"/>
    <w:rsid w:val="00E46797"/>
    <w:rsid w:val="00E47322"/>
    <w:rsid w:val="00E47323"/>
    <w:rsid w:val="00E47658"/>
    <w:rsid w:val="00E503CA"/>
    <w:rsid w:val="00E50C2A"/>
    <w:rsid w:val="00E50F03"/>
    <w:rsid w:val="00E51E16"/>
    <w:rsid w:val="00E5204F"/>
    <w:rsid w:val="00E521BB"/>
    <w:rsid w:val="00E5230D"/>
    <w:rsid w:val="00E523C8"/>
    <w:rsid w:val="00E52698"/>
    <w:rsid w:val="00E52DC3"/>
    <w:rsid w:val="00E53065"/>
    <w:rsid w:val="00E531E0"/>
    <w:rsid w:val="00E53535"/>
    <w:rsid w:val="00E54396"/>
    <w:rsid w:val="00E54AE6"/>
    <w:rsid w:val="00E55886"/>
    <w:rsid w:val="00E55BF8"/>
    <w:rsid w:val="00E55C7E"/>
    <w:rsid w:val="00E55C8E"/>
    <w:rsid w:val="00E55CB7"/>
    <w:rsid w:val="00E56354"/>
    <w:rsid w:val="00E5682C"/>
    <w:rsid w:val="00E56A71"/>
    <w:rsid w:val="00E56AEC"/>
    <w:rsid w:val="00E57271"/>
    <w:rsid w:val="00E573CF"/>
    <w:rsid w:val="00E57A7C"/>
    <w:rsid w:val="00E57DEB"/>
    <w:rsid w:val="00E606D7"/>
    <w:rsid w:val="00E60881"/>
    <w:rsid w:val="00E60D5C"/>
    <w:rsid w:val="00E61277"/>
    <w:rsid w:val="00E61430"/>
    <w:rsid w:val="00E61699"/>
    <w:rsid w:val="00E616B6"/>
    <w:rsid w:val="00E61885"/>
    <w:rsid w:val="00E618CD"/>
    <w:rsid w:val="00E61D6A"/>
    <w:rsid w:val="00E61DA6"/>
    <w:rsid w:val="00E61F35"/>
    <w:rsid w:val="00E6213F"/>
    <w:rsid w:val="00E62324"/>
    <w:rsid w:val="00E62803"/>
    <w:rsid w:val="00E62831"/>
    <w:rsid w:val="00E62C1F"/>
    <w:rsid w:val="00E63379"/>
    <w:rsid w:val="00E63723"/>
    <w:rsid w:val="00E6393C"/>
    <w:rsid w:val="00E63B02"/>
    <w:rsid w:val="00E63D33"/>
    <w:rsid w:val="00E63D97"/>
    <w:rsid w:val="00E63F8B"/>
    <w:rsid w:val="00E641B4"/>
    <w:rsid w:val="00E64536"/>
    <w:rsid w:val="00E645CC"/>
    <w:rsid w:val="00E64617"/>
    <w:rsid w:val="00E64636"/>
    <w:rsid w:val="00E64B43"/>
    <w:rsid w:val="00E64FC9"/>
    <w:rsid w:val="00E6586C"/>
    <w:rsid w:val="00E66916"/>
    <w:rsid w:val="00E6699F"/>
    <w:rsid w:val="00E669EA"/>
    <w:rsid w:val="00E67118"/>
    <w:rsid w:val="00E672C3"/>
    <w:rsid w:val="00E6746D"/>
    <w:rsid w:val="00E675B7"/>
    <w:rsid w:val="00E678D9"/>
    <w:rsid w:val="00E67E47"/>
    <w:rsid w:val="00E67FCE"/>
    <w:rsid w:val="00E700C7"/>
    <w:rsid w:val="00E70615"/>
    <w:rsid w:val="00E708D5"/>
    <w:rsid w:val="00E70E71"/>
    <w:rsid w:val="00E70EEA"/>
    <w:rsid w:val="00E71070"/>
    <w:rsid w:val="00E711A1"/>
    <w:rsid w:val="00E71949"/>
    <w:rsid w:val="00E720A4"/>
    <w:rsid w:val="00E726FC"/>
    <w:rsid w:val="00E72797"/>
    <w:rsid w:val="00E72A05"/>
    <w:rsid w:val="00E72E45"/>
    <w:rsid w:val="00E72FEB"/>
    <w:rsid w:val="00E735BD"/>
    <w:rsid w:val="00E740BE"/>
    <w:rsid w:val="00E7427B"/>
    <w:rsid w:val="00E74481"/>
    <w:rsid w:val="00E75186"/>
    <w:rsid w:val="00E75281"/>
    <w:rsid w:val="00E757DE"/>
    <w:rsid w:val="00E75D0F"/>
    <w:rsid w:val="00E75EAE"/>
    <w:rsid w:val="00E7658A"/>
    <w:rsid w:val="00E76819"/>
    <w:rsid w:val="00E7691B"/>
    <w:rsid w:val="00E76F6C"/>
    <w:rsid w:val="00E77156"/>
    <w:rsid w:val="00E7722C"/>
    <w:rsid w:val="00E77C56"/>
    <w:rsid w:val="00E77DD4"/>
    <w:rsid w:val="00E77E3A"/>
    <w:rsid w:val="00E77F85"/>
    <w:rsid w:val="00E80273"/>
    <w:rsid w:val="00E80461"/>
    <w:rsid w:val="00E80527"/>
    <w:rsid w:val="00E806F9"/>
    <w:rsid w:val="00E80997"/>
    <w:rsid w:val="00E809FE"/>
    <w:rsid w:val="00E80B9F"/>
    <w:rsid w:val="00E80D86"/>
    <w:rsid w:val="00E80E64"/>
    <w:rsid w:val="00E8113A"/>
    <w:rsid w:val="00E81DB9"/>
    <w:rsid w:val="00E820C0"/>
    <w:rsid w:val="00E82993"/>
    <w:rsid w:val="00E82FFC"/>
    <w:rsid w:val="00E834E2"/>
    <w:rsid w:val="00E835DE"/>
    <w:rsid w:val="00E839D4"/>
    <w:rsid w:val="00E839EF"/>
    <w:rsid w:val="00E84056"/>
    <w:rsid w:val="00E840CF"/>
    <w:rsid w:val="00E84499"/>
    <w:rsid w:val="00E844DB"/>
    <w:rsid w:val="00E845A9"/>
    <w:rsid w:val="00E8461E"/>
    <w:rsid w:val="00E848AA"/>
    <w:rsid w:val="00E85213"/>
    <w:rsid w:val="00E854FF"/>
    <w:rsid w:val="00E8563A"/>
    <w:rsid w:val="00E85696"/>
    <w:rsid w:val="00E86BF2"/>
    <w:rsid w:val="00E86C53"/>
    <w:rsid w:val="00E86FAF"/>
    <w:rsid w:val="00E8764B"/>
    <w:rsid w:val="00E8795D"/>
    <w:rsid w:val="00E905A0"/>
    <w:rsid w:val="00E907E8"/>
    <w:rsid w:val="00E90DBE"/>
    <w:rsid w:val="00E90DFA"/>
    <w:rsid w:val="00E9118E"/>
    <w:rsid w:val="00E91305"/>
    <w:rsid w:val="00E91423"/>
    <w:rsid w:val="00E916CC"/>
    <w:rsid w:val="00E92093"/>
    <w:rsid w:val="00E921BF"/>
    <w:rsid w:val="00E929CA"/>
    <w:rsid w:val="00E92A8F"/>
    <w:rsid w:val="00E92ADA"/>
    <w:rsid w:val="00E92C36"/>
    <w:rsid w:val="00E92C68"/>
    <w:rsid w:val="00E93167"/>
    <w:rsid w:val="00E93E86"/>
    <w:rsid w:val="00E93EA6"/>
    <w:rsid w:val="00E949E2"/>
    <w:rsid w:val="00E95102"/>
    <w:rsid w:val="00E95138"/>
    <w:rsid w:val="00E953CB"/>
    <w:rsid w:val="00E959D6"/>
    <w:rsid w:val="00E968DB"/>
    <w:rsid w:val="00E96993"/>
    <w:rsid w:val="00E972FC"/>
    <w:rsid w:val="00E973B0"/>
    <w:rsid w:val="00E9743C"/>
    <w:rsid w:val="00E974FC"/>
    <w:rsid w:val="00E975F5"/>
    <w:rsid w:val="00E97613"/>
    <w:rsid w:val="00E9784C"/>
    <w:rsid w:val="00E97951"/>
    <w:rsid w:val="00EA0964"/>
    <w:rsid w:val="00EA0A06"/>
    <w:rsid w:val="00EA0FED"/>
    <w:rsid w:val="00EA12AA"/>
    <w:rsid w:val="00EA1511"/>
    <w:rsid w:val="00EA153E"/>
    <w:rsid w:val="00EA1673"/>
    <w:rsid w:val="00EA23A8"/>
    <w:rsid w:val="00EA278E"/>
    <w:rsid w:val="00EA286E"/>
    <w:rsid w:val="00EA2972"/>
    <w:rsid w:val="00EA2EA3"/>
    <w:rsid w:val="00EA325A"/>
    <w:rsid w:val="00EA41CC"/>
    <w:rsid w:val="00EA44B4"/>
    <w:rsid w:val="00EA460F"/>
    <w:rsid w:val="00EA4C57"/>
    <w:rsid w:val="00EA5705"/>
    <w:rsid w:val="00EA59E1"/>
    <w:rsid w:val="00EA5D47"/>
    <w:rsid w:val="00EA5DF1"/>
    <w:rsid w:val="00EA60D5"/>
    <w:rsid w:val="00EA65E5"/>
    <w:rsid w:val="00EA666D"/>
    <w:rsid w:val="00EA6858"/>
    <w:rsid w:val="00EA6CA1"/>
    <w:rsid w:val="00EA7508"/>
    <w:rsid w:val="00EA7C1F"/>
    <w:rsid w:val="00EA7C43"/>
    <w:rsid w:val="00EA7C4F"/>
    <w:rsid w:val="00EA7D75"/>
    <w:rsid w:val="00EA7E15"/>
    <w:rsid w:val="00EB05FA"/>
    <w:rsid w:val="00EB0699"/>
    <w:rsid w:val="00EB0797"/>
    <w:rsid w:val="00EB0847"/>
    <w:rsid w:val="00EB0E3E"/>
    <w:rsid w:val="00EB0F2A"/>
    <w:rsid w:val="00EB12D1"/>
    <w:rsid w:val="00EB12FB"/>
    <w:rsid w:val="00EB2156"/>
    <w:rsid w:val="00EB25F3"/>
    <w:rsid w:val="00EB26B1"/>
    <w:rsid w:val="00EB30F9"/>
    <w:rsid w:val="00EB3A9A"/>
    <w:rsid w:val="00EB427B"/>
    <w:rsid w:val="00EB436D"/>
    <w:rsid w:val="00EB48D7"/>
    <w:rsid w:val="00EB4B6E"/>
    <w:rsid w:val="00EB5406"/>
    <w:rsid w:val="00EB5564"/>
    <w:rsid w:val="00EB5594"/>
    <w:rsid w:val="00EB5A12"/>
    <w:rsid w:val="00EB5B57"/>
    <w:rsid w:val="00EB5B70"/>
    <w:rsid w:val="00EB5DD9"/>
    <w:rsid w:val="00EB651B"/>
    <w:rsid w:val="00EB6601"/>
    <w:rsid w:val="00EB68D3"/>
    <w:rsid w:val="00EB736F"/>
    <w:rsid w:val="00EB7C33"/>
    <w:rsid w:val="00EB7D5F"/>
    <w:rsid w:val="00EB7F14"/>
    <w:rsid w:val="00EB7F9C"/>
    <w:rsid w:val="00EC02E6"/>
    <w:rsid w:val="00EC05D5"/>
    <w:rsid w:val="00EC07AB"/>
    <w:rsid w:val="00EC0B7F"/>
    <w:rsid w:val="00EC1143"/>
    <w:rsid w:val="00EC155B"/>
    <w:rsid w:val="00EC16A9"/>
    <w:rsid w:val="00EC1783"/>
    <w:rsid w:val="00EC1E14"/>
    <w:rsid w:val="00EC20CA"/>
    <w:rsid w:val="00EC22DB"/>
    <w:rsid w:val="00EC25C8"/>
    <w:rsid w:val="00EC2B66"/>
    <w:rsid w:val="00EC2B72"/>
    <w:rsid w:val="00EC32AD"/>
    <w:rsid w:val="00EC34C1"/>
    <w:rsid w:val="00EC3971"/>
    <w:rsid w:val="00EC3A6D"/>
    <w:rsid w:val="00EC3D9E"/>
    <w:rsid w:val="00EC3E3A"/>
    <w:rsid w:val="00EC4026"/>
    <w:rsid w:val="00EC40B3"/>
    <w:rsid w:val="00EC434E"/>
    <w:rsid w:val="00EC483D"/>
    <w:rsid w:val="00EC49EA"/>
    <w:rsid w:val="00EC53A3"/>
    <w:rsid w:val="00EC542D"/>
    <w:rsid w:val="00EC56E1"/>
    <w:rsid w:val="00EC61E9"/>
    <w:rsid w:val="00EC6278"/>
    <w:rsid w:val="00EC6552"/>
    <w:rsid w:val="00EC6F0E"/>
    <w:rsid w:val="00EC6F4E"/>
    <w:rsid w:val="00EC7029"/>
    <w:rsid w:val="00EC76AF"/>
    <w:rsid w:val="00EC78F9"/>
    <w:rsid w:val="00EC7A13"/>
    <w:rsid w:val="00EC7CA1"/>
    <w:rsid w:val="00EC7DCC"/>
    <w:rsid w:val="00EC7E01"/>
    <w:rsid w:val="00ED0479"/>
    <w:rsid w:val="00ED0953"/>
    <w:rsid w:val="00ED0B62"/>
    <w:rsid w:val="00ED0DBA"/>
    <w:rsid w:val="00ED1267"/>
    <w:rsid w:val="00ED149D"/>
    <w:rsid w:val="00ED16C1"/>
    <w:rsid w:val="00ED1E11"/>
    <w:rsid w:val="00ED265E"/>
    <w:rsid w:val="00ED298D"/>
    <w:rsid w:val="00ED2C97"/>
    <w:rsid w:val="00ED301D"/>
    <w:rsid w:val="00ED38A9"/>
    <w:rsid w:val="00ED3A36"/>
    <w:rsid w:val="00ED3DBD"/>
    <w:rsid w:val="00ED40CE"/>
    <w:rsid w:val="00ED421A"/>
    <w:rsid w:val="00ED521D"/>
    <w:rsid w:val="00ED5516"/>
    <w:rsid w:val="00ED5AF9"/>
    <w:rsid w:val="00ED5B1B"/>
    <w:rsid w:val="00ED6452"/>
    <w:rsid w:val="00ED6BF9"/>
    <w:rsid w:val="00ED6F11"/>
    <w:rsid w:val="00ED70A8"/>
    <w:rsid w:val="00ED7114"/>
    <w:rsid w:val="00ED7455"/>
    <w:rsid w:val="00ED7484"/>
    <w:rsid w:val="00ED7C17"/>
    <w:rsid w:val="00EE02CD"/>
    <w:rsid w:val="00EE0D99"/>
    <w:rsid w:val="00EE0DAE"/>
    <w:rsid w:val="00EE0FB2"/>
    <w:rsid w:val="00EE10AB"/>
    <w:rsid w:val="00EE1107"/>
    <w:rsid w:val="00EE110D"/>
    <w:rsid w:val="00EE130D"/>
    <w:rsid w:val="00EE1558"/>
    <w:rsid w:val="00EE1A20"/>
    <w:rsid w:val="00EE1AF4"/>
    <w:rsid w:val="00EE2234"/>
    <w:rsid w:val="00EE239A"/>
    <w:rsid w:val="00EE23C1"/>
    <w:rsid w:val="00EE34FE"/>
    <w:rsid w:val="00EE3671"/>
    <w:rsid w:val="00EE3C6E"/>
    <w:rsid w:val="00EE3E09"/>
    <w:rsid w:val="00EE40C4"/>
    <w:rsid w:val="00EE4174"/>
    <w:rsid w:val="00EE46DD"/>
    <w:rsid w:val="00EE4AC7"/>
    <w:rsid w:val="00EE5337"/>
    <w:rsid w:val="00EE5B83"/>
    <w:rsid w:val="00EE5EAD"/>
    <w:rsid w:val="00EE6E5D"/>
    <w:rsid w:val="00EE726D"/>
    <w:rsid w:val="00EE76F3"/>
    <w:rsid w:val="00EE7F53"/>
    <w:rsid w:val="00EE7FA8"/>
    <w:rsid w:val="00EF009B"/>
    <w:rsid w:val="00EF056D"/>
    <w:rsid w:val="00EF0657"/>
    <w:rsid w:val="00EF0D59"/>
    <w:rsid w:val="00EF0F92"/>
    <w:rsid w:val="00EF0FAC"/>
    <w:rsid w:val="00EF184F"/>
    <w:rsid w:val="00EF1873"/>
    <w:rsid w:val="00EF1D85"/>
    <w:rsid w:val="00EF1FF6"/>
    <w:rsid w:val="00EF2008"/>
    <w:rsid w:val="00EF23DC"/>
    <w:rsid w:val="00EF282E"/>
    <w:rsid w:val="00EF2B83"/>
    <w:rsid w:val="00EF3046"/>
    <w:rsid w:val="00EF3572"/>
    <w:rsid w:val="00EF470A"/>
    <w:rsid w:val="00EF4BAF"/>
    <w:rsid w:val="00EF5749"/>
    <w:rsid w:val="00EF58D5"/>
    <w:rsid w:val="00EF5EDF"/>
    <w:rsid w:val="00EF641C"/>
    <w:rsid w:val="00EF6CEF"/>
    <w:rsid w:val="00EF70EF"/>
    <w:rsid w:val="00EF7822"/>
    <w:rsid w:val="00EF7DAF"/>
    <w:rsid w:val="00F00012"/>
    <w:rsid w:val="00F0020A"/>
    <w:rsid w:val="00F00359"/>
    <w:rsid w:val="00F0045A"/>
    <w:rsid w:val="00F00691"/>
    <w:rsid w:val="00F0071B"/>
    <w:rsid w:val="00F0096C"/>
    <w:rsid w:val="00F00B45"/>
    <w:rsid w:val="00F016A7"/>
    <w:rsid w:val="00F01876"/>
    <w:rsid w:val="00F01A1F"/>
    <w:rsid w:val="00F01B9F"/>
    <w:rsid w:val="00F01DF5"/>
    <w:rsid w:val="00F01F59"/>
    <w:rsid w:val="00F020D3"/>
    <w:rsid w:val="00F02592"/>
    <w:rsid w:val="00F0291C"/>
    <w:rsid w:val="00F02F57"/>
    <w:rsid w:val="00F02F7E"/>
    <w:rsid w:val="00F0316C"/>
    <w:rsid w:val="00F03749"/>
    <w:rsid w:val="00F03791"/>
    <w:rsid w:val="00F0472C"/>
    <w:rsid w:val="00F04DB8"/>
    <w:rsid w:val="00F054BB"/>
    <w:rsid w:val="00F056F3"/>
    <w:rsid w:val="00F05A35"/>
    <w:rsid w:val="00F05C64"/>
    <w:rsid w:val="00F061DA"/>
    <w:rsid w:val="00F062A0"/>
    <w:rsid w:val="00F06352"/>
    <w:rsid w:val="00F07481"/>
    <w:rsid w:val="00F10714"/>
    <w:rsid w:val="00F115D4"/>
    <w:rsid w:val="00F116A5"/>
    <w:rsid w:val="00F11AF1"/>
    <w:rsid w:val="00F11C75"/>
    <w:rsid w:val="00F121C9"/>
    <w:rsid w:val="00F12A2D"/>
    <w:rsid w:val="00F12A30"/>
    <w:rsid w:val="00F12CFD"/>
    <w:rsid w:val="00F1309D"/>
    <w:rsid w:val="00F131B8"/>
    <w:rsid w:val="00F1323B"/>
    <w:rsid w:val="00F13376"/>
    <w:rsid w:val="00F138D6"/>
    <w:rsid w:val="00F13DBB"/>
    <w:rsid w:val="00F13F00"/>
    <w:rsid w:val="00F142D2"/>
    <w:rsid w:val="00F1443A"/>
    <w:rsid w:val="00F1443E"/>
    <w:rsid w:val="00F149E9"/>
    <w:rsid w:val="00F14B55"/>
    <w:rsid w:val="00F14B89"/>
    <w:rsid w:val="00F14E5E"/>
    <w:rsid w:val="00F14F0B"/>
    <w:rsid w:val="00F152A4"/>
    <w:rsid w:val="00F1561E"/>
    <w:rsid w:val="00F1565C"/>
    <w:rsid w:val="00F15F17"/>
    <w:rsid w:val="00F16425"/>
    <w:rsid w:val="00F16496"/>
    <w:rsid w:val="00F16C67"/>
    <w:rsid w:val="00F16D62"/>
    <w:rsid w:val="00F16E88"/>
    <w:rsid w:val="00F16F7E"/>
    <w:rsid w:val="00F17504"/>
    <w:rsid w:val="00F1763D"/>
    <w:rsid w:val="00F1798A"/>
    <w:rsid w:val="00F17A16"/>
    <w:rsid w:val="00F17BC0"/>
    <w:rsid w:val="00F17CAC"/>
    <w:rsid w:val="00F17FE7"/>
    <w:rsid w:val="00F20503"/>
    <w:rsid w:val="00F20B51"/>
    <w:rsid w:val="00F210D8"/>
    <w:rsid w:val="00F21455"/>
    <w:rsid w:val="00F21D81"/>
    <w:rsid w:val="00F22154"/>
    <w:rsid w:val="00F221F4"/>
    <w:rsid w:val="00F2249A"/>
    <w:rsid w:val="00F22783"/>
    <w:rsid w:val="00F228B9"/>
    <w:rsid w:val="00F22A16"/>
    <w:rsid w:val="00F22A5A"/>
    <w:rsid w:val="00F22E57"/>
    <w:rsid w:val="00F23012"/>
    <w:rsid w:val="00F23102"/>
    <w:rsid w:val="00F236AB"/>
    <w:rsid w:val="00F237F1"/>
    <w:rsid w:val="00F23CF7"/>
    <w:rsid w:val="00F2446F"/>
    <w:rsid w:val="00F247B2"/>
    <w:rsid w:val="00F253EF"/>
    <w:rsid w:val="00F2622A"/>
    <w:rsid w:val="00F26388"/>
    <w:rsid w:val="00F26701"/>
    <w:rsid w:val="00F26B28"/>
    <w:rsid w:val="00F274F5"/>
    <w:rsid w:val="00F27A32"/>
    <w:rsid w:val="00F27A73"/>
    <w:rsid w:val="00F27F4A"/>
    <w:rsid w:val="00F30403"/>
    <w:rsid w:val="00F30457"/>
    <w:rsid w:val="00F30775"/>
    <w:rsid w:val="00F30876"/>
    <w:rsid w:val="00F308E6"/>
    <w:rsid w:val="00F30BA2"/>
    <w:rsid w:val="00F30BB1"/>
    <w:rsid w:val="00F31009"/>
    <w:rsid w:val="00F31325"/>
    <w:rsid w:val="00F3163C"/>
    <w:rsid w:val="00F3186A"/>
    <w:rsid w:val="00F31935"/>
    <w:rsid w:val="00F31C32"/>
    <w:rsid w:val="00F31E06"/>
    <w:rsid w:val="00F3242A"/>
    <w:rsid w:val="00F3242B"/>
    <w:rsid w:val="00F32497"/>
    <w:rsid w:val="00F3330E"/>
    <w:rsid w:val="00F33333"/>
    <w:rsid w:val="00F33373"/>
    <w:rsid w:val="00F33871"/>
    <w:rsid w:val="00F33C1E"/>
    <w:rsid w:val="00F34029"/>
    <w:rsid w:val="00F341A9"/>
    <w:rsid w:val="00F3485D"/>
    <w:rsid w:val="00F35360"/>
    <w:rsid w:val="00F353D5"/>
    <w:rsid w:val="00F36B0A"/>
    <w:rsid w:val="00F37001"/>
    <w:rsid w:val="00F3770E"/>
    <w:rsid w:val="00F377D5"/>
    <w:rsid w:val="00F37855"/>
    <w:rsid w:val="00F37A19"/>
    <w:rsid w:val="00F4034A"/>
    <w:rsid w:val="00F40455"/>
    <w:rsid w:val="00F4052A"/>
    <w:rsid w:val="00F4066D"/>
    <w:rsid w:val="00F40A3F"/>
    <w:rsid w:val="00F40B93"/>
    <w:rsid w:val="00F40FF2"/>
    <w:rsid w:val="00F4163D"/>
    <w:rsid w:val="00F41754"/>
    <w:rsid w:val="00F41C1A"/>
    <w:rsid w:val="00F41E18"/>
    <w:rsid w:val="00F42087"/>
    <w:rsid w:val="00F42136"/>
    <w:rsid w:val="00F42C77"/>
    <w:rsid w:val="00F42DE4"/>
    <w:rsid w:val="00F42E01"/>
    <w:rsid w:val="00F4314A"/>
    <w:rsid w:val="00F44143"/>
    <w:rsid w:val="00F441B5"/>
    <w:rsid w:val="00F44206"/>
    <w:rsid w:val="00F4465E"/>
    <w:rsid w:val="00F4477E"/>
    <w:rsid w:val="00F448B2"/>
    <w:rsid w:val="00F4542C"/>
    <w:rsid w:val="00F45EF2"/>
    <w:rsid w:val="00F45FEC"/>
    <w:rsid w:val="00F46202"/>
    <w:rsid w:val="00F463BF"/>
    <w:rsid w:val="00F46884"/>
    <w:rsid w:val="00F46CC1"/>
    <w:rsid w:val="00F47274"/>
    <w:rsid w:val="00F47393"/>
    <w:rsid w:val="00F473CC"/>
    <w:rsid w:val="00F47A34"/>
    <w:rsid w:val="00F47B40"/>
    <w:rsid w:val="00F47CF0"/>
    <w:rsid w:val="00F47D70"/>
    <w:rsid w:val="00F500E1"/>
    <w:rsid w:val="00F50305"/>
    <w:rsid w:val="00F50565"/>
    <w:rsid w:val="00F5056A"/>
    <w:rsid w:val="00F50E9A"/>
    <w:rsid w:val="00F5124E"/>
    <w:rsid w:val="00F51401"/>
    <w:rsid w:val="00F514A4"/>
    <w:rsid w:val="00F518BC"/>
    <w:rsid w:val="00F51C6B"/>
    <w:rsid w:val="00F51D1A"/>
    <w:rsid w:val="00F51E63"/>
    <w:rsid w:val="00F52285"/>
    <w:rsid w:val="00F523DF"/>
    <w:rsid w:val="00F52569"/>
    <w:rsid w:val="00F536D7"/>
    <w:rsid w:val="00F53852"/>
    <w:rsid w:val="00F53970"/>
    <w:rsid w:val="00F5440D"/>
    <w:rsid w:val="00F54595"/>
    <w:rsid w:val="00F549BB"/>
    <w:rsid w:val="00F54C01"/>
    <w:rsid w:val="00F551D0"/>
    <w:rsid w:val="00F55201"/>
    <w:rsid w:val="00F55409"/>
    <w:rsid w:val="00F55418"/>
    <w:rsid w:val="00F55A9B"/>
    <w:rsid w:val="00F55C24"/>
    <w:rsid w:val="00F55FA8"/>
    <w:rsid w:val="00F5609D"/>
    <w:rsid w:val="00F5653A"/>
    <w:rsid w:val="00F567FF"/>
    <w:rsid w:val="00F57340"/>
    <w:rsid w:val="00F573E5"/>
    <w:rsid w:val="00F57638"/>
    <w:rsid w:val="00F578E2"/>
    <w:rsid w:val="00F57DC4"/>
    <w:rsid w:val="00F6017F"/>
    <w:rsid w:val="00F607E6"/>
    <w:rsid w:val="00F60972"/>
    <w:rsid w:val="00F60AC9"/>
    <w:rsid w:val="00F60ADC"/>
    <w:rsid w:val="00F60D04"/>
    <w:rsid w:val="00F60DBF"/>
    <w:rsid w:val="00F61000"/>
    <w:rsid w:val="00F61127"/>
    <w:rsid w:val="00F61C12"/>
    <w:rsid w:val="00F624C4"/>
    <w:rsid w:val="00F62AAD"/>
    <w:rsid w:val="00F63337"/>
    <w:rsid w:val="00F63355"/>
    <w:rsid w:val="00F633D3"/>
    <w:rsid w:val="00F63558"/>
    <w:rsid w:val="00F63D27"/>
    <w:rsid w:val="00F64295"/>
    <w:rsid w:val="00F646D8"/>
    <w:rsid w:val="00F64B07"/>
    <w:rsid w:val="00F64C94"/>
    <w:rsid w:val="00F65435"/>
    <w:rsid w:val="00F65B2A"/>
    <w:rsid w:val="00F65CA1"/>
    <w:rsid w:val="00F65DE6"/>
    <w:rsid w:val="00F65EF2"/>
    <w:rsid w:val="00F66117"/>
    <w:rsid w:val="00F661A0"/>
    <w:rsid w:val="00F6650A"/>
    <w:rsid w:val="00F66F26"/>
    <w:rsid w:val="00F66F67"/>
    <w:rsid w:val="00F67198"/>
    <w:rsid w:val="00F67337"/>
    <w:rsid w:val="00F67558"/>
    <w:rsid w:val="00F676FA"/>
    <w:rsid w:val="00F67903"/>
    <w:rsid w:val="00F679AA"/>
    <w:rsid w:val="00F67F22"/>
    <w:rsid w:val="00F67FEA"/>
    <w:rsid w:val="00F70034"/>
    <w:rsid w:val="00F704AA"/>
    <w:rsid w:val="00F70CE1"/>
    <w:rsid w:val="00F71761"/>
    <w:rsid w:val="00F718E6"/>
    <w:rsid w:val="00F71CD7"/>
    <w:rsid w:val="00F71DC3"/>
    <w:rsid w:val="00F720D2"/>
    <w:rsid w:val="00F72712"/>
    <w:rsid w:val="00F7311D"/>
    <w:rsid w:val="00F735D3"/>
    <w:rsid w:val="00F735FC"/>
    <w:rsid w:val="00F736FE"/>
    <w:rsid w:val="00F7380C"/>
    <w:rsid w:val="00F73827"/>
    <w:rsid w:val="00F73B33"/>
    <w:rsid w:val="00F7493A"/>
    <w:rsid w:val="00F74E9B"/>
    <w:rsid w:val="00F75094"/>
    <w:rsid w:val="00F75109"/>
    <w:rsid w:val="00F75569"/>
    <w:rsid w:val="00F75D54"/>
    <w:rsid w:val="00F75EBC"/>
    <w:rsid w:val="00F761CE"/>
    <w:rsid w:val="00F767E4"/>
    <w:rsid w:val="00F76C8B"/>
    <w:rsid w:val="00F76E42"/>
    <w:rsid w:val="00F771EC"/>
    <w:rsid w:val="00F772A4"/>
    <w:rsid w:val="00F77993"/>
    <w:rsid w:val="00F77998"/>
    <w:rsid w:val="00F77D8F"/>
    <w:rsid w:val="00F77DE0"/>
    <w:rsid w:val="00F8081E"/>
    <w:rsid w:val="00F80C61"/>
    <w:rsid w:val="00F81218"/>
    <w:rsid w:val="00F8130E"/>
    <w:rsid w:val="00F81423"/>
    <w:rsid w:val="00F815CA"/>
    <w:rsid w:val="00F818F7"/>
    <w:rsid w:val="00F81962"/>
    <w:rsid w:val="00F81A9A"/>
    <w:rsid w:val="00F81AFD"/>
    <w:rsid w:val="00F81CA4"/>
    <w:rsid w:val="00F81CF3"/>
    <w:rsid w:val="00F81E6C"/>
    <w:rsid w:val="00F82395"/>
    <w:rsid w:val="00F82AC3"/>
    <w:rsid w:val="00F82E80"/>
    <w:rsid w:val="00F82FE7"/>
    <w:rsid w:val="00F832C6"/>
    <w:rsid w:val="00F83523"/>
    <w:rsid w:val="00F83DB4"/>
    <w:rsid w:val="00F84160"/>
    <w:rsid w:val="00F8489A"/>
    <w:rsid w:val="00F84919"/>
    <w:rsid w:val="00F84AD6"/>
    <w:rsid w:val="00F84D63"/>
    <w:rsid w:val="00F852EC"/>
    <w:rsid w:val="00F8532A"/>
    <w:rsid w:val="00F85B6B"/>
    <w:rsid w:val="00F8670D"/>
    <w:rsid w:val="00F87113"/>
    <w:rsid w:val="00F8738B"/>
    <w:rsid w:val="00F87449"/>
    <w:rsid w:val="00F8745A"/>
    <w:rsid w:val="00F9009A"/>
    <w:rsid w:val="00F90241"/>
    <w:rsid w:val="00F9024F"/>
    <w:rsid w:val="00F90355"/>
    <w:rsid w:val="00F904E5"/>
    <w:rsid w:val="00F9101B"/>
    <w:rsid w:val="00F914C6"/>
    <w:rsid w:val="00F9162C"/>
    <w:rsid w:val="00F91ABB"/>
    <w:rsid w:val="00F91AFF"/>
    <w:rsid w:val="00F91FB0"/>
    <w:rsid w:val="00F92350"/>
    <w:rsid w:val="00F92BEB"/>
    <w:rsid w:val="00F93004"/>
    <w:rsid w:val="00F930A4"/>
    <w:rsid w:val="00F932B2"/>
    <w:rsid w:val="00F9346C"/>
    <w:rsid w:val="00F938E3"/>
    <w:rsid w:val="00F93E20"/>
    <w:rsid w:val="00F94201"/>
    <w:rsid w:val="00F946BF"/>
    <w:rsid w:val="00F94B64"/>
    <w:rsid w:val="00F94BCF"/>
    <w:rsid w:val="00F94C65"/>
    <w:rsid w:val="00F94F1C"/>
    <w:rsid w:val="00F95284"/>
    <w:rsid w:val="00F95376"/>
    <w:rsid w:val="00F9539C"/>
    <w:rsid w:val="00F95686"/>
    <w:rsid w:val="00F956BF"/>
    <w:rsid w:val="00F957A3"/>
    <w:rsid w:val="00F95AC1"/>
    <w:rsid w:val="00F95C53"/>
    <w:rsid w:val="00F95EBA"/>
    <w:rsid w:val="00F961A8"/>
    <w:rsid w:val="00F967AF"/>
    <w:rsid w:val="00F97017"/>
    <w:rsid w:val="00F97445"/>
    <w:rsid w:val="00F97587"/>
    <w:rsid w:val="00F97D70"/>
    <w:rsid w:val="00F97E62"/>
    <w:rsid w:val="00FA02B1"/>
    <w:rsid w:val="00FA0805"/>
    <w:rsid w:val="00FA0A52"/>
    <w:rsid w:val="00FA0B53"/>
    <w:rsid w:val="00FA14D1"/>
    <w:rsid w:val="00FA1885"/>
    <w:rsid w:val="00FA18DA"/>
    <w:rsid w:val="00FA1A55"/>
    <w:rsid w:val="00FA1DDB"/>
    <w:rsid w:val="00FA1F19"/>
    <w:rsid w:val="00FA202B"/>
    <w:rsid w:val="00FA2573"/>
    <w:rsid w:val="00FA26B0"/>
    <w:rsid w:val="00FA2AC6"/>
    <w:rsid w:val="00FA308A"/>
    <w:rsid w:val="00FA364A"/>
    <w:rsid w:val="00FA379D"/>
    <w:rsid w:val="00FA3B0E"/>
    <w:rsid w:val="00FA3B1C"/>
    <w:rsid w:val="00FA3B61"/>
    <w:rsid w:val="00FA43FD"/>
    <w:rsid w:val="00FA44D9"/>
    <w:rsid w:val="00FA46CA"/>
    <w:rsid w:val="00FA4750"/>
    <w:rsid w:val="00FA4A92"/>
    <w:rsid w:val="00FA4C52"/>
    <w:rsid w:val="00FA4D78"/>
    <w:rsid w:val="00FA4FFA"/>
    <w:rsid w:val="00FA50C7"/>
    <w:rsid w:val="00FA53CB"/>
    <w:rsid w:val="00FA5527"/>
    <w:rsid w:val="00FA5C8B"/>
    <w:rsid w:val="00FA5F7C"/>
    <w:rsid w:val="00FA6537"/>
    <w:rsid w:val="00FA66BD"/>
    <w:rsid w:val="00FA673A"/>
    <w:rsid w:val="00FA6B07"/>
    <w:rsid w:val="00FA6C63"/>
    <w:rsid w:val="00FA75CA"/>
    <w:rsid w:val="00FA78C4"/>
    <w:rsid w:val="00FA7E51"/>
    <w:rsid w:val="00FA7E64"/>
    <w:rsid w:val="00FA7F7D"/>
    <w:rsid w:val="00FB025F"/>
    <w:rsid w:val="00FB0550"/>
    <w:rsid w:val="00FB06D5"/>
    <w:rsid w:val="00FB0959"/>
    <w:rsid w:val="00FB0EF4"/>
    <w:rsid w:val="00FB1910"/>
    <w:rsid w:val="00FB1AAC"/>
    <w:rsid w:val="00FB1CBD"/>
    <w:rsid w:val="00FB2284"/>
    <w:rsid w:val="00FB2765"/>
    <w:rsid w:val="00FB2AE8"/>
    <w:rsid w:val="00FB2DA7"/>
    <w:rsid w:val="00FB2F86"/>
    <w:rsid w:val="00FB39C4"/>
    <w:rsid w:val="00FB3AE7"/>
    <w:rsid w:val="00FB3DFD"/>
    <w:rsid w:val="00FB4171"/>
    <w:rsid w:val="00FB55E7"/>
    <w:rsid w:val="00FB5884"/>
    <w:rsid w:val="00FB596C"/>
    <w:rsid w:val="00FB59E5"/>
    <w:rsid w:val="00FB61A4"/>
    <w:rsid w:val="00FB626E"/>
    <w:rsid w:val="00FB62AF"/>
    <w:rsid w:val="00FB64CC"/>
    <w:rsid w:val="00FB6580"/>
    <w:rsid w:val="00FB6AE9"/>
    <w:rsid w:val="00FB6B63"/>
    <w:rsid w:val="00FB75CE"/>
    <w:rsid w:val="00FB75E1"/>
    <w:rsid w:val="00FB7EBA"/>
    <w:rsid w:val="00FC0724"/>
    <w:rsid w:val="00FC0728"/>
    <w:rsid w:val="00FC074D"/>
    <w:rsid w:val="00FC0ACC"/>
    <w:rsid w:val="00FC0BC9"/>
    <w:rsid w:val="00FC0DF4"/>
    <w:rsid w:val="00FC105D"/>
    <w:rsid w:val="00FC1195"/>
    <w:rsid w:val="00FC15AC"/>
    <w:rsid w:val="00FC1690"/>
    <w:rsid w:val="00FC1B75"/>
    <w:rsid w:val="00FC1EC4"/>
    <w:rsid w:val="00FC1F54"/>
    <w:rsid w:val="00FC20AC"/>
    <w:rsid w:val="00FC2DC4"/>
    <w:rsid w:val="00FC2DD0"/>
    <w:rsid w:val="00FC3760"/>
    <w:rsid w:val="00FC4203"/>
    <w:rsid w:val="00FC4634"/>
    <w:rsid w:val="00FC4D3E"/>
    <w:rsid w:val="00FC4DD1"/>
    <w:rsid w:val="00FC549E"/>
    <w:rsid w:val="00FC54F9"/>
    <w:rsid w:val="00FC594A"/>
    <w:rsid w:val="00FC5F31"/>
    <w:rsid w:val="00FC5FDA"/>
    <w:rsid w:val="00FC6123"/>
    <w:rsid w:val="00FC630F"/>
    <w:rsid w:val="00FC63A0"/>
    <w:rsid w:val="00FC6750"/>
    <w:rsid w:val="00FC6896"/>
    <w:rsid w:val="00FC7178"/>
    <w:rsid w:val="00FC725C"/>
    <w:rsid w:val="00FC7CC1"/>
    <w:rsid w:val="00FD017F"/>
    <w:rsid w:val="00FD0823"/>
    <w:rsid w:val="00FD093B"/>
    <w:rsid w:val="00FD0C2A"/>
    <w:rsid w:val="00FD1422"/>
    <w:rsid w:val="00FD1433"/>
    <w:rsid w:val="00FD1541"/>
    <w:rsid w:val="00FD159D"/>
    <w:rsid w:val="00FD15C4"/>
    <w:rsid w:val="00FD19CB"/>
    <w:rsid w:val="00FD1FE2"/>
    <w:rsid w:val="00FD253A"/>
    <w:rsid w:val="00FD2A48"/>
    <w:rsid w:val="00FD2E6B"/>
    <w:rsid w:val="00FD3504"/>
    <w:rsid w:val="00FD3BAA"/>
    <w:rsid w:val="00FD3FFC"/>
    <w:rsid w:val="00FD40EB"/>
    <w:rsid w:val="00FD4355"/>
    <w:rsid w:val="00FD46B8"/>
    <w:rsid w:val="00FD5533"/>
    <w:rsid w:val="00FD5C77"/>
    <w:rsid w:val="00FD63E9"/>
    <w:rsid w:val="00FD6519"/>
    <w:rsid w:val="00FD73A0"/>
    <w:rsid w:val="00FD78E8"/>
    <w:rsid w:val="00FD7D6B"/>
    <w:rsid w:val="00FD7DBB"/>
    <w:rsid w:val="00FD7FFB"/>
    <w:rsid w:val="00FE04D2"/>
    <w:rsid w:val="00FE075E"/>
    <w:rsid w:val="00FE0E5D"/>
    <w:rsid w:val="00FE11C9"/>
    <w:rsid w:val="00FE1343"/>
    <w:rsid w:val="00FE1354"/>
    <w:rsid w:val="00FE1715"/>
    <w:rsid w:val="00FE1AAD"/>
    <w:rsid w:val="00FE1E6F"/>
    <w:rsid w:val="00FE2452"/>
    <w:rsid w:val="00FE2688"/>
    <w:rsid w:val="00FE26D0"/>
    <w:rsid w:val="00FE28D9"/>
    <w:rsid w:val="00FE29C2"/>
    <w:rsid w:val="00FE36FA"/>
    <w:rsid w:val="00FE3868"/>
    <w:rsid w:val="00FE43FF"/>
    <w:rsid w:val="00FE4445"/>
    <w:rsid w:val="00FE4928"/>
    <w:rsid w:val="00FE4A1E"/>
    <w:rsid w:val="00FE4E1D"/>
    <w:rsid w:val="00FE4F71"/>
    <w:rsid w:val="00FE55B1"/>
    <w:rsid w:val="00FE56DA"/>
    <w:rsid w:val="00FE5774"/>
    <w:rsid w:val="00FE5D5D"/>
    <w:rsid w:val="00FE5FEC"/>
    <w:rsid w:val="00FE6E1F"/>
    <w:rsid w:val="00FE6E24"/>
    <w:rsid w:val="00FE7413"/>
    <w:rsid w:val="00FE7AA3"/>
    <w:rsid w:val="00FF0061"/>
    <w:rsid w:val="00FF10A5"/>
    <w:rsid w:val="00FF1348"/>
    <w:rsid w:val="00FF13C6"/>
    <w:rsid w:val="00FF16A2"/>
    <w:rsid w:val="00FF1A39"/>
    <w:rsid w:val="00FF1D3B"/>
    <w:rsid w:val="00FF1F8B"/>
    <w:rsid w:val="00FF20CF"/>
    <w:rsid w:val="00FF263E"/>
    <w:rsid w:val="00FF3383"/>
    <w:rsid w:val="00FF3704"/>
    <w:rsid w:val="00FF394D"/>
    <w:rsid w:val="00FF3C09"/>
    <w:rsid w:val="00FF3E48"/>
    <w:rsid w:val="00FF4785"/>
    <w:rsid w:val="00FF48C7"/>
    <w:rsid w:val="00FF520C"/>
    <w:rsid w:val="00FF52C2"/>
    <w:rsid w:val="00FF5619"/>
    <w:rsid w:val="00FF5887"/>
    <w:rsid w:val="00FF59AB"/>
    <w:rsid w:val="00FF5F03"/>
    <w:rsid w:val="00FF64C2"/>
    <w:rsid w:val="00FF66C4"/>
    <w:rsid w:val="00FF6A50"/>
    <w:rsid w:val="00FF6D5A"/>
    <w:rsid w:val="00FF7178"/>
    <w:rsid w:val="00FF7263"/>
    <w:rsid w:val="00FF7605"/>
    <w:rsid w:val="00FF78D3"/>
    <w:rsid w:val="00FF7E8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left" o:allowincell="f" fillcolor="none [2412]">
      <v:fill color="none [2412]"/>
      <v:stroke weight=".5pt"/>
    </o:shapedefaults>
    <o:shapelayout v:ext="edit">
      <o:idmap v:ext="edit" data="1"/>
    </o:shapelayout>
  </w:shapeDefaults>
  <w:decimalSymbol w:val=","/>
  <w:listSeparator w:val=";"/>
  <w14:docId w14:val="13043923"/>
  <w15:docId w15:val="{BD0970CA-1A40-471A-ADFB-9F59AE5F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qFormat="1"/>
    <w:lsdException w:name="annotation text" w:semiHidden="1" w:unhideWhenUsed="1" w:qFormat="1"/>
    <w:lsdException w:name="header" w:lock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7A31"/>
    <w:rPr>
      <w:rFonts w:ascii="Arial Narrow" w:hAnsi="Arial Narrow" w:cs="Book Antiqua"/>
    </w:rPr>
  </w:style>
  <w:style w:type="paragraph" w:styleId="Nadpis1">
    <w:name w:val="heading 1"/>
    <w:aliases w:val="Nadpis 1 IFP,Char"/>
    <w:basedOn w:val="Normlny"/>
    <w:next w:val="Normlny"/>
    <w:link w:val="Nadpis1Char"/>
    <w:uiPriority w:val="99"/>
    <w:qFormat/>
    <w:rsid w:val="00583E12"/>
    <w:pPr>
      <w:keepNext/>
      <w:spacing w:after="120"/>
      <w:outlineLvl w:val="0"/>
    </w:pPr>
    <w:rPr>
      <w:b/>
      <w:bCs/>
      <w:color w:val="2C9ADC" w:themeColor="accent1"/>
      <w:sz w:val="28"/>
    </w:rPr>
  </w:style>
  <w:style w:type="paragraph" w:styleId="Nadpis2">
    <w:name w:val="heading 2"/>
    <w:aliases w:val="Nadpis 2 IFP,Char24 Char Char,Char24 Char Char Char"/>
    <w:next w:val="Normlny"/>
    <w:link w:val="Nadpis2Char"/>
    <w:uiPriority w:val="99"/>
    <w:qFormat/>
    <w:rsid w:val="00583E12"/>
    <w:pPr>
      <w:spacing w:before="120"/>
      <w:jc w:val="both"/>
      <w:outlineLvl w:val="1"/>
    </w:pPr>
    <w:rPr>
      <w:rFonts w:ascii="Arial Narrow" w:hAnsi="Arial Narrow" w:cs="Book Antiqua"/>
      <w:color w:val="2C9ADC" w:themeColor="accent1"/>
      <w:sz w:val="24"/>
    </w:rPr>
  </w:style>
  <w:style w:type="paragraph" w:styleId="Nadpis3">
    <w:name w:val="heading 3"/>
    <w:aliases w:val="Tab"/>
    <w:basedOn w:val="Normlny"/>
    <w:next w:val="Normlny"/>
    <w:link w:val="Nadpis3Char"/>
    <w:uiPriority w:val="9"/>
    <w:qFormat/>
    <w:rsid w:val="001543E7"/>
    <w:pPr>
      <w:keepNext/>
      <w:outlineLvl w:val="2"/>
    </w:pPr>
    <w:rPr>
      <w:rFonts w:cs="Arial"/>
      <w:b/>
      <w:bCs/>
      <w:sz w:val="20"/>
      <w:szCs w:val="26"/>
    </w:rPr>
  </w:style>
  <w:style w:type="paragraph" w:styleId="Nadpis4">
    <w:name w:val="heading 4"/>
    <w:basedOn w:val="Normlny"/>
    <w:next w:val="Normlny"/>
    <w:link w:val="Nadpis4Char"/>
    <w:locked/>
    <w:rsid w:val="000F6636"/>
    <w:pPr>
      <w:keepNext/>
      <w:keepLines/>
      <w:spacing w:before="240" w:after="40" w:line="276" w:lineRule="auto"/>
      <w:contextualSpacing/>
      <w:outlineLvl w:val="3"/>
    </w:pPr>
    <w:rPr>
      <w:rFonts w:eastAsia="Arial Narrow" w:cs="Arial Narrow"/>
      <w:b/>
      <w:color w:val="000000"/>
      <w:sz w:val="24"/>
      <w:szCs w:val="24"/>
      <w:lang w:val="en-US" w:eastAsia="en-US"/>
    </w:rPr>
  </w:style>
  <w:style w:type="paragraph" w:styleId="Nadpis5">
    <w:name w:val="heading 5"/>
    <w:basedOn w:val="Normlny"/>
    <w:next w:val="Normlny"/>
    <w:link w:val="Nadpis5Char"/>
    <w:locked/>
    <w:rsid w:val="000F6636"/>
    <w:pPr>
      <w:keepNext/>
      <w:keepLines/>
      <w:spacing w:before="220" w:after="40" w:line="276" w:lineRule="auto"/>
      <w:contextualSpacing/>
      <w:outlineLvl w:val="4"/>
    </w:pPr>
    <w:rPr>
      <w:rFonts w:eastAsia="Arial Narrow" w:cs="Arial Narrow"/>
      <w:b/>
      <w:color w:val="000000"/>
      <w:lang w:val="en-US" w:eastAsia="en-US"/>
    </w:rPr>
  </w:style>
  <w:style w:type="paragraph" w:styleId="Nadpis6">
    <w:name w:val="heading 6"/>
    <w:basedOn w:val="Normlny"/>
    <w:next w:val="Normlny"/>
    <w:link w:val="Nadpis6Char"/>
    <w:locked/>
    <w:rsid w:val="000F6636"/>
    <w:pPr>
      <w:keepNext/>
      <w:keepLines/>
      <w:spacing w:before="200" w:after="40" w:line="276" w:lineRule="auto"/>
      <w:contextualSpacing/>
      <w:outlineLvl w:val="5"/>
    </w:pPr>
    <w:rPr>
      <w:rFonts w:eastAsia="Arial Narrow" w:cs="Arial Narrow"/>
      <w:b/>
      <w:color w:val="000000"/>
      <w:sz w:val="20"/>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IFP Char,Char Char"/>
    <w:basedOn w:val="Predvolenpsmoodseku"/>
    <w:link w:val="Nadpis1"/>
    <w:uiPriority w:val="99"/>
    <w:locked/>
    <w:rsid w:val="00583E12"/>
    <w:rPr>
      <w:rFonts w:ascii="Arial Narrow" w:hAnsi="Arial Narrow" w:cs="Book Antiqua"/>
      <w:b/>
      <w:bCs/>
      <w:color w:val="2C9ADC" w:themeColor="accent1"/>
      <w:sz w:val="28"/>
    </w:rPr>
  </w:style>
  <w:style w:type="character" w:customStyle="1" w:styleId="Nadpis2Char">
    <w:name w:val="Nadpis 2 Char"/>
    <w:aliases w:val="Nadpis 2 IFP Char,Char24 Char Char Char1,Char24 Char Char Char Char"/>
    <w:basedOn w:val="Predvolenpsmoodseku"/>
    <w:link w:val="Nadpis2"/>
    <w:uiPriority w:val="99"/>
    <w:locked/>
    <w:rsid w:val="00583E12"/>
    <w:rPr>
      <w:rFonts w:ascii="Arial Narrow" w:hAnsi="Arial Narrow" w:cs="Book Antiqua"/>
      <w:color w:val="2C9ADC" w:themeColor="accent1"/>
      <w:sz w:val="24"/>
    </w:rPr>
  </w:style>
  <w:style w:type="character" w:customStyle="1" w:styleId="Nadpis3Char">
    <w:name w:val="Nadpis 3 Char"/>
    <w:aliases w:val="Tab Char"/>
    <w:basedOn w:val="Predvolenpsmoodseku"/>
    <w:link w:val="Nadpis3"/>
    <w:uiPriority w:val="9"/>
    <w:locked/>
    <w:rsid w:val="001543E7"/>
    <w:rPr>
      <w:rFonts w:ascii="Arial Narrow" w:hAnsi="Arial Narrow" w:cs="Arial"/>
      <w:b/>
      <w:bCs/>
      <w:sz w:val="26"/>
      <w:szCs w:val="26"/>
      <w:lang w:eastAsia="sk-SK"/>
    </w:rPr>
  </w:style>
  <w:style w:type="paragraph" w:styleId="Textbubliny">
    <w:name w:val="Balloon Text"/>
    <w:basedOn w:val="Normlny"/>
    <w:link w:val="TextbublinyChar"/>
    <w:uiPriority w:val="99"/>
    <w:semiHidden/>
    <w:rsid w:val="001543E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543E7"/>
    <w:rPr>
      <w:rFonts w:ascii="Tahoma" w:hAnsi="Tahoma" w:cs="Tahoma"/>
      <w:sz w:val="16"/>
      <w:szCs w:val="16"/>
      <w:lang w:eastAsia="sk-SK"/>
    </w:rPr>
  </w:style>
  <w:style w:type="paragraph" w:styleId="Zkladntext">
    <w:name w:val="Body Text"/>
    <w:basedOn w:val="Normlny"/>
    <w:link w:val="ZkladntextChar"/>
    <w:uiPriority w:val="99"/>
    <w:rsid w:val="001543E7"/>
    <w:pPr>
      <w:widowControl w:val="0"/>
    </w:pPr>
    <w:rPr>
      <w:color w:val="000000"/>
      <w:sz w:val="24"/>
      <w:szCs w:val="24"/>
    </w:rPr>
  </w:style>
  <w:style w:type="character" w:customStyle="1" w:styleId="ZkladntextChar">
    <w:name w:val="Základný text Char"/>
    <w:basedOn w:val="Predvolenpsmoodseku"/>
    <w:link w:val="Zkladntext"/>
    <w:uiPriority w:val="99"/>
    <w:locked/>
    <w:rsid w:val="001543E7"/>
    <w:rPr>
      <w:rFonts w:ascii="Book Antiqua" w:hAnsi="Book Antiqua" w:cs="Book Antiqua"/>
      <w:color w:val="000000"/>
      <w:sz w:val="24"/>
      <w:szCs w:val="24"/>
      <w:lang w:eastAsia="sk-SK"/>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f,Plonk"/>
    <w:basedOn w:val="Normlny"/>
    <w:link w:val="TextpoznmkypodiarouChar"/>
    <w:uiPriority w:val="99"/>
    <w:qFormat/>
    <w:rsid w:val="001543E7"/>
    <w:rPr>
      <w:sz w:val="20"/>
      <w:szCs w:val="20"/>
      <w:lang w:eastAsia="en-US"/>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 Char,Plonk Char"/>
    <w:basedOn w:val="Predvolenpsmoodseku"/>
    <w:link w:val="Textpoznmkypodiarou"/>
    <w:uiPriority w:val="99"/>
    <w:qFormat/>
    <w:locked/>
    <w:rsid w:val="001543E7"/>
    <w:rPr>
      <w:rFonts w:ascii="Book Antiqua" w:hAnsi="Book Antiqua" w:cs="Book Antiqua"/>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qFormat/>
    <w:rsid w:val="001543E7"/>
    <w:rPr>
      <w:rFonts w:ascii="Arial Narrow" w:hAnsi="Arial Narrow" w:cs="Arial Narrow"/>
      <w:vertAlign w:val="superscript"/>
      <w:lang w:val="en-US" w:eastAsia="en-US"/>
    </w:rPr>
  </w:style>
  <w:style w:type="paragraph" w:styleId="Hlavika">
    <w:name w:val="header"/>
    <w:basedOn w:val="Normlny"/>
    <w:link w:val="HlavikaChar"/>
    <w:uiPriority w:val="99"/>
    <w:rsid w:val="001543E7"/>
    <w:pPr>
      <w:tabs>
        <w:tab w:val="center" w:pos="4536"/>
        <w:tab w:val="right" w:pos="9072"/>
      </w:tabs>
      <w:jc w:val="both"/>
    </w:pPr>
    <w:rPr>
      <w:lang w:eastAsia="cs-CZ"/>
    </w:rPr>
  </w:style>
  <w:style w:type="character" w:customStyle="1" w:styleId="HlavikaChar">
    <w:name w:val="Hlavička Char"/>
    <w:basedOn w:val="Predvolenpsmoodseku"/>
    <w:link w:val="Hlavika"/>
    <w:uiPriority w:val="99"/>
    <w:locked/>
    <w:rsid w:val="001543E7"/>
    <w:rPr>
      <w:rFonts w:ascii="Book Antiqua" w:hAnsi="Book Antiqua" w:cs="Book Antiqua"/>
      <w:lang w:eastAsia="cs-CZ"/>
    </w:rPr>
  </w:style>
  <w:style w:type="paragraph" w:customStyle="1" w:styleId="NormalList">
    <w:name w:val="NormalList"/>
    <w:basedOn w:val="Normlny"/>
    <w:qFormat/>
    <w:rsid w:val="001543E7"/>
    <w:pPr>
      <w:jc w:val="both"/>
    </w:pPr>
    <w:rPr>
      <w:lang w:eastAsia="en-US"/>
    </w:rPr>
  </w:style>
  <w:style w:type="paragraph" w:customStyle="1" w:styleId="Normlny1">
    <w:name w:val="Normálny1"/>
    <w:basedOn w:val="Normlny"/>
    <w:next w:val="Normlny"/>
    <w:uiPriority w:val="99"/>
    <w:rsid w:val="001543E7"/>
    <w:pPr>
      <w:autoSpaceDE w:val="0"/>
      <w:autoSpaceDN w:val="0"/>
      <w:adjustRightInd w:val="0"/>
    </w:pPr>
    <w:rPr>
      <w:sz w:val="24"/>
      <w:szCs w:val="24"/>
      <w:lang w:val="cs-CZ" w:eastAsia="cs-CZ"/>
    </w:rPr>
  </w:style>
  <w:style w:type="paragraph" w:customStyle="1" w:styleId="Normlny4">
    <w:name w:val="Normálny4"/>
    <w:basedOn w:val="Normlny"/>
    <w:next w:val="Normlny"/>
    <w:uiPriority w:val="99"/>
    <w:rsid w:val="001543E7"/>
    <w:pPr>
      <w:autoSpaceDE w:val="0"/>
      <w:autoSpaceDN w:val="0"/>
      <w:adjustRightInd w:val="0"/>
    </w:pPr>
    <w:rPr>
      <w:sz w:val="24"/>
      <w:szCs w:val="24"/>
    </w:rPr>
  </w:style>
  <w:style w:type="paragraph" w:styleId="Odsekzoznamu">
    <w:name w:val="List Paragraph"/>
    <w:aliases w:val="body,Odsek zoznamu2,Dot pt,F5 List Paragraph,No Spacing1,List Paragraph Char Char Char,Indicator Text,Numbered Para 1,Colorful List - Accent 11,Bullet 1,Bullet Points,Párrafo de lista,MAIN CONTENT,Recommendation,numbered list,2,OBC Bullet"/>
    <w:basedOn w:val="Normlny"/>
    <w:link w:val="OdsekzoznamuChar"/>
    <w:uiPriority w:val="34"/>
    <w:qFormat/>
    <w:rsid w:val="001543E7"/>
    <w:pPr>
      <w:ind w:left="720"/>
      <w:contextualSpacing/>
    </w:pPr>
  </w:style>
  <w:style w:type="character" w:customStyle="1" w:styleId="OdsekzoznamuChar">
    <w:name w:val="Odsek zoznamu Char"/>
    <w:aliases w:val="body Char,Odsek zoznamu2 Char,Dot pt Char,F5 List Paragraph Char,No Spacing1 Char,List Paragraph Char Char Char Char,Indicator Text Char,Numbered Para 1 Char,Colorful List - Accent 11 Char,Bullet 1 Char,Bullet Points Char,2 Char"/>
    <w:link w:val="Odsekzoznamu"/>
    <w:uiPriority w:val="34"/>
    <w:qFormat/>
    <w:locked/>
    <w:rsid w:val="00143A58"/>
    <w:rPr>
      <w:rFonts w:ascii="Arial Narrow" w:hAnsi="Arial Narrow" w:cs="Book Antiqua"/>
    </w:rPr>
  </w:style>
  <w:style w:type="character" w:styleId="Odkaznakomentr">
    <w:name w:val="annotation reference"/>
    <w:basedOn w:val="Predvolenpsmoodseku"/>
    <w:uiPriority w:val="99"/>
    <w:qFormat/>
    <w:rsid w:val="001543E7"/>
    <w:rPr>
      <w:rFonts w:cs="Times New Roman"/>
      <w:sz w:val="16"/>
      <w:szCs w:val="16"/>
    </w:rPr>
  </w:style>
  <w:style w:type="paragraph" w:styleId="Textkomentra">
    <w:name w:val="annotation text"/>
    <w:aliases w:val="Char Char Char,Char7 Char,Text komentára Char Char,Comment Text Char Char"/>
    <w:basedOn w:val="Normlny"/>
    <w:link w:val="TextkomentraChar"/>
    <w:uiPriority w:val="99"/>
    <w:qFormat/>
    <w:rsid w:val="001543E7"/>
    <w:rPr>
      <w:sz w:val="20"/>
      <w:szCs w:val="20"/>
    </w:rPr>
  </w:style>
  <w:style w:type="character" w:customStyle="1" w:styleId="TextkomentraChar">
    <w:name w:val="Text komentára Char"/>
    <w:aliases w:val="Char Char Char Char,Char7 Char Char,Text komentára Char Char Char,Comment Text Char Char Char"/>
    <w:basedOn w:val="Predvolenpsmoodseku"/>
    <w:link w:val="Textkomentra"/>
    <w:uiPriority w:val="99"/>
    <w:qFormat/>
    <w:locked/>
    <w:rsid w:val="001543E7"/>
    <w:rPr>
      <w:rFonts w:ascii="Book Antiqua" w:hAnsi="Book Antiqua" w:cs="Book Antiqua"/>
      <w:sz w:val="20"/>
      <w:szCs w:val="20"/>
      <w:lang w:eastAsia="sk-SK"/>
    </w:rPr>
  </w:style>
  <w:style w:type="paragraph" w:styleId="Predmetkomentra">
    <w:name w:val="annotation subject"/>
    <w:basedOn w:val="Textkomentra"/>
    <w:next w:val="Textkomentra"/>
    <w:link w:val="PredmetkomentraChar"/>
    <w:uiPriority w:val="99"/>
    <w:semiHidden/>
    <w:rsid w:val="001543E7"/>
    <w:rPr>
      <w:b/>
      <w:bCs/>
    </w:rPr>
  </w:style>
  <w:style w:type="character" w:customStyle="1" w:styleId="PredmetkomentraChar">
    <w:name w:val="Predmet komentára Char"/>
    <w:basedOn w:val="TextkomentraChar"/>
    <w:link w:val="Predmetkomentra"/>
    <w:uiPriority w:val="99"/>
    <w:semiHidden/>
    <w:locked/>
    <w:rsid w:val="001543E7"/>
    <w:rPr>
      <w:rFonts w:ascii="Book Antiqua" w:hAnsi="Book Antiqua" w:cs="Book Antiqua"/>
      <w:b/>
      <w:bCs/>
      <w:sz w:val="20"/>
      <w:szCs w:val="20"/>
      <w:lang w:eastAsia="sk-SK"/>
    </w:rPr>
  </w:style>
  <w:style w:type="paragraph" w:styleId="Pta">
    <w:name w:val="footer"/>
    <w:basedOn w:val="Normlny"/>
    <w:link w:val="PtaChar"/>
    <w:uiPriority w:val="99"/>
    <w:rsid w:val="001543E7"/>
    <w:pPr>
      <w:tabs>
        <w:tab w:val="center" w:pos="4536"/>
        <w:tab w:val="right" w:pos="9072"/>
      </w:tabs>
    </w:pPr>
  </w:style>
  <w:style w:type="character" w:customStyle="1" w:styleId="PtaChar">
    <w:name w:val="Päta Char"/>
    <w:basedOn w:val="Predvolenpsmoodseku"/>
    <w:link w:val="Pta"/>
    <w:uiPriority w:val="99"/>
    <w:locked/>
    <w:rsid w:val="001543E7"/>
    <w:rPr>
      <w:rFonts w:ascii="Book Antiqua" w:hAnsi="Book Antiqua" w:cs="Book Antiqua"/>
      <w:lang w:eastAsia="sk-SK"/>
    </w:rPr>
  </w:style>
  <w:style w:type="paragraph" w:styleId="Hlavikaobsahu">
    <w:name w:val="TOC Heading"/>
    <w:basedOn w:val="Nadpis1"/>
    <w:next w:val="Normlny"/>
    <w:uiPriority w:val="99"/>
    <w:qFormat/>
    <w:rsid w:val="001543E7"/>
    <w:pPr>
      <w:keepLines/>
      <w:spacing w:before="480" w:after="0" w:line="276" w:lineRule="auto"/>
      <w:outlineLvl w:val="9"/>
    </w:pPr>
    <w:rPr>
      <w:rFonts w:ascii="Cambria" w:hAnsi="Cambria" w:cs="Times New Roman"/>
      <w:color w:val="365F91"/>
      <w:szCs w:val="28"/>
    </w:rPr>
  </w:style>
  <w:style w:type="paragraph" w:styleId="Obsah1">
    <w:name w:val="toc 1"/>
    <w:basedOn w:val="Normlny"/>
    <w:next w:val="Normlny"/>
    <w:autoRedefine/>
    <w:uiPriority w:val="39"/>
    <w:rsid w:val="00723501"/>
    <w:pPr>
      <w:tabs>
        <w:tab w:val="left" w:pos="440"/>
        <w:tab w:val="right" w:leader="dot" w:pos="9060"/>
      </w:tabs>
      <w:spacing w:after="100"/>
    </w:pPr>
    <w:rPr>
      <w:rFonts w:cs="Arial Narrow"/>
      <w:b/>
      <w:noProof/>
    </w:rPr>
  </w:style>
  <w:style w:type="paragraph" w:styleId="Obsah2">
    <w:name w:val="toc 2"/>
    <w:basedOn w:val="Normlny"/>
    <w:next w:val="Normlny"/>
    <w:autoRedefine/>
    <w:uiPriority w:val="39"/>
    <w:rsid w:val="002D435D"/>
    <w:pPr>
      <w:tabs>
        <w:tab w:val="left" w:pos="880"/>
        <w:tab w:val="right" w:leader="dot" w:pos="9060"/>
      </w:tabs>
      <w:spacing w:after="100"/>
      <w:ind w:left="220"/>
    </w:pPr>
    <w:rPr>
      <w:rFonts w:cs="Arial Narrow"/>
      <w:noProof/>
    </w:rPr>
  </w:style>
  <w:style w:type="paragraph" w:styleId="Obsah3">
    <w:name w:val="toc 3"/>
    <w:basedOn w:val="Normlny"/>
    <w:next w:val="Normlny"/>
    <w:autoRedefine/>
    <w:uiPriority w:val="39"/>
    <w:rsid w:val="00DC556A"/>
    <w:pPr>
      <w:tabs>
        <w:tab w:val="right" w:leader="dot" w:pos="9060"/>
      </w:tabs>
      <w:spacing w:after="100" w:line="276" w:lineRule="auto"/>
      <w:ind w:left="440"/>
    </w:pPr>
  </w:style>
  <w:style w:type="character" w:styleId="Hypertextovprepojenie">
    <w:name w:val="Hyperlink"/>
    <w:basedOn w:val="Predvolenpsmoodseku"/>
    <w:uiPriority w:val="99"/>
    <w:rsid w:val="001543E7"/>
    <w:rPr>
      <w:rFonts w:cs="Times New Roman"/>
      <w:color w:val="0000FF"/>
      <w:u w:val="single"/>
    </w:rPr>
  </w:style>
  <w:style w:type="paragraph" w:styleId="Normlnywebov">
    <w:name w:val="Normal (Web)"/>
    <w:basedOn w:val="Normlny"/>
    <w:uiPriority w:val="99"/>
    <w:rsid w:val="001E5FCA"/>
    <w:pPr>
      <w:spacing w:before="100" w:beforeAutospacing="1" w:after="100" w:afterAutospacing="1"/>
    </w:pPr>
    <w:rPr>
      <w:rFonts w:ascii="Times New Roman" w:hAnsi="Times New Roman" w:cs="Times New Roman"/>
      <w:sz w:val="24"/>
      <w:szCs w:val="24"/>
    </w:rPr>
  </w:style>
  <w:style w:type="paragraph" w:styleId="Zarkazkladnhotextu2">
    <w:name w:val="Body Text Indent 2"/>
    <w:basedOn w:val="Normlny"/>
    <w:link w:val="Zarkazkladnhotextu2Char"/>
    <w:uiPriority w:val="99"/>
    <w:semiHidden/>
    <w:rsid w:val="0009759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09759D"/>
    <w:rPr>
      <w:rFonts w:ascii="Arial Narrow" w:hAnsi="Arial Narrow" w:cs="Book Antiqua"/>
      <w:lang w:eastAsia="sk-SK"/>
    </w:rPr>
  </w:style>
  <w:style w:type="table" w:styleId="Mriekatabuky">
    <w:name w:val="Table Grid"/>
    <w:basedOn w:val="Normlnatabuka"/>
    <w:uiPriority w:val="59"/>
    <w:locked/>
    <w:rsid w:val="000C6EBD"/>
    <w:rPr>
      <w:rFonts w:asciiTheme="minorHAnsi" w:hAnsiTheme="minorHAns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F6B19"/>
    <w:rPr>
      <w:rFonts w:ascii="Arial Narrow" w:hAnsi="Arial Narrow" w:cs="Book Antiqua"/>
    </w:rPr>
  </w:style>
  <w:style w:type="character" w:styleId="PouitHypertextovPrepojenie">
    <w:name w:val="FollowedHyperlink"/>
    <w:basedOn w:val="Predvolenpsmoodseku"/>
    <w:uiPriority w:val="99"/>
    <w:semiHidden/>
    <w:unhideWhenUsed/>
    <w:rsid w:val="00921696"/>
    <w:rPr>
      <w:rFonts w:cs="Times New Roman"/>
      <w:color w:val="800080" w:themeColor="followedHyperlink"/>
      <w:u w:val="single"/>
    </w:rPr>
  </w:style>
  <w:style w:type="paragraph" w:customStyle="1" w:styleId="ListParagraph1">
    <w:name w:val="List Paragraph1"/>
    <w:basedOn w:val="Normlny"/>
    <w:rsid w:val="000F1C79"/>
    <w:pPr>
      <w:spacing w:after="200" w:line="276" w:lineRule="auto"/>
      <w:ind w:left="720"/>
    </w:pPr>
    <w:rPr>
      <w:rFonts w:ascii="Calibri" w:hAnsi="Calibri" w:cs="Times New Roman"/>
      <w:lang w:eastAsia="en-US"/>
    </w:rPr>
  </w:style>
  <w:style w:type="paragraph" w:customStyle="1" w:styleId="Odsekzoznamu1">
    <w:name w:val="Odsek zoznamu1"/>
    <w:basedOn w:val="Normlny"/>
    <w:rsid w:val="003A151D"/>
    <w:pPr>
      <w:ind w:left="720"/>
      <w:contextualSpacing/>
    </w:pPr>
  </w:style>
  <w:style w:type="paragraph" w:styleId="Obsah4">
    <w:name w:val="toc 4"/>
    <w:basedOn w:val="Normlny"/>
    <w:next w:val="Normlny"/>
    <w:autoRedefine/>
    <w:uiPriority w:val="39"/>
    <w:unhideWhenUsed/>
    <w:locked/>
    <w:rsid w:val="00A058F2"/>
    <w:pPr>
      <w:spacing w:after="100" w:line="276" w:lineRule="auto"/>
      <w:ind w:left="660"/>
    </w:pPr>
    <w:rPr>
      <w:rFonts w:asciiTheme="minorHAnsi" w:eastAsiaTheme="minorEastAsia" w:hAnsiTheme="minorHAnsi" w:cs="Times New Roman"/>
    </w:rPr>
  </w:style>
  <w:style w:type="paragraph" w:styleId="Obsah5">
    <w:name w:val="toc 5"/>
    <w:basedOn w:val="Normlny"/>
    <w:next w:val="Normlny"/>
    <w:autoRedefine/>
    <w:uiPriority w:val="39"/>
    <w:unhideWhenUsed/>
    <w:locked/>
    <w:rsid w:val="00A058F2"/>
    <w:pPr>
      <w:spacing w:after="100" w:line="276" w:lineRule="auto"/>
      <w:ind w:left="880"/>
    </w:pPr>
    <w:rPr>
      <w:rFonts w:asciiTheme="minorHAnsi" w:eastAsiaTheme="minorEastAsia" w:hAnsiTheme="minorHAnsi" w:cs="Times New Roman"/>
    </w:rPr>
  </w:style>
  <w:style w:type="paragraph" w:styleId="Obsah6">
    <w:name w:val="toc 6"/>
    <w:basedOn w:val="Normlny"/>
    <w:next w:val="Normlny"/>
    <w:autoRedefine/>
    <w:uiPriority w:val="39"/>
    <w:unhideWhenUsed/>
    <w:locked/>
    <w:rsid w:val="00A058F2"/>
    <w:pPr>
      <w:spacing w:after="100" w:line="276" w:lineRule="auto"/>
      <w:ind w:left="1100"/>
    </w:pPr>
    <w:rPr>
      <w:rFonts w:asciiTheme="minorHAnsi" w:eastAsiaTheme="minorEastAsia" w:hAnsiTheme="minorHAnsi" w:cs="Times New Roman"/>
    </w:rPr>
  </w:style>
  <w:style w:type="paragraph" w:styleId="Obsah7">
    <w:name w:val="toc 7"/>
    <w:basedOn w:val="Normlny"/>
    <w:next w:val="Normlny"/>
    <w:autoRedefine/>
    <w:uiPriority w:val="39"/>
    <w:unhideWhenUsed/>
    <w:locked/>
    <w:rsid w:val="00A058F2"/>
    <w:pPr>
      <w:spacing w:after="100" w:line="276" w:lineRule="auto"/>
      <w:ind w:left="1320"/>
    </w:pPr>
    <w:rPr>
      <w:rFonts w:asciiTheme="minorHAnsi" w:eastAsiaTheme="minorEastAsia" w:hAnsiTheme="minorHAnsi" w:cs="Times New Roman"/>
    </w:rPr>
  </w:style>
  <w:style w:type="paragraph" w:styleId="Obsah8">
    <w:name w:val="toc 8"/>
    <w:basedOn w:val="Normlny"/>
    <w:next w:val="Normlny"/>
    <w:autoRedefine/>
    <w:uiPriority w:val="39"/>
    <w:unhideWhenUsed/>
    <w:locked/>
    <w:rsid w:val="00A058F2"/>
    <w:pPr>
      <w:spacing w:after="100" w:line="276" w:lineRule="auto"/>
      <w:ind w:left="1540"/>
    </w:pPr>
    <w:rPr>
      <w:rFonts w:asciiTheme="minorHAnsi" w:eastAsiaTheme="minorEastAsia" w:hAnsiTheme="minorHAnsi" w:cs="Times New Roman"/>
    </w:rPr>
  </w:style>
  <w:style w:type="paragraph" w:styleId="Obsah9">
    <w:name w:val="toc 9"/>
    <w:basedOn w:val="Normlny"/>
    <w:next w:val="Normlny"/>
    <w:autoRedefine/>
    <w:uiPriority w:val="39"/>
    <w:unhideWhenUsed/>
    <w:locked/>
    <w:rsid w:val="00A058F2"/>
    <w:pPr>
      <w:spacing w:after="100" w:line="276" w:lineRule="auto"/>
      <w:ind w:left="1760"/>
    </w:pPr>
    <w:rPr>
      <w:rFonts w:asciiTheme="minorHAnsi" w:eastAsiaTheme="minorEastAsia" w:hAnsiTheme="minorHAnsi" w:cs="Times New Roman"/>
    </w:rPr>
  </w:style>
  <w:style w:type="paragraph" w:customStyle="1" w:styleId="Body1">
    <w:name w:val="Body 1"/>
    <w:rsid w:val="0064347A"/>
    <w:rPr>
      <w:rFonts w:ascii="Helvetica" w:eastAsia="Arial Unicode MS" w:hAnsi="Helvetica" w:cs="Times New Roman"/>
      <w:color w:val="000000"/>
      <w:sz w:val="24"/>
      <w:szCs w:val="20"/>
    </w:rPr>
  </w:style>
  <w:style w:type="paragraph" w:customStyle="1" w:styleId="Default">
    <w:name w:val="Default"/>
    <w:rsid w:val="0042374F"/>
    <w:pPr>
      <w:autoSpaceDE w:val="0"/>
      <w:autoSpaceDN w:val="0"/>
      <w:adjustRightInd w:val="0"/>
    </w:pPr>
    <w:rPr>
      <w:rFonts w:ascii="Times New Roman" w:hAnsi="Times New Roman" w:cs="Times New Roman"/>
      <w:color w:val="000000"/>
      <w:sz w:val="24"/>
      <w:szCs w:val="24"/>
      <w:lang w:val="en-US"/>
    </w:rPr>
  </w:style>
  <w:style w:type="paragraph" w:styleId="Obyajntext">
    <w:name w:val="Plain Text"/>
    <w:basedOn w:val="Normlny"/>
    <w:link w:val="ObyajntextChar"/>
    <w:uiPriority w:val="99"/>
    <w:unhideWhenUsed/>
    <w:rsid w:val="00F17CAC"/>
    <w:rPr>
      <w:rFonts w:eastAsiaTheme="minorHAnsi" w:cstheme="minorBidi"/>
      <w:szCs w:val="21"/>
      <w:lang w:val="en-US" w:eastAsia="en-US"/>
    </w:rPr>
  </w:style>
  <w:style w:type="character" w:customStyle="1" w:styleId="ObyajntextChar">
    <w:name w:val="Obyčajný text Char"/>
    <w:basedOn w:val="Predvolenpsmoodseku"/>
    <w:link w:val="Obyajntext"/>
    <w:uiPriority w:val="99"/>
    <w:rsid w:val="00F17CAC"/>
    <w:rPr>
      <w:rFonts w:ascii="Arial Narrow" w:eastAsiaTheme="minorHAnsi" w:hAnsi="Arial Narrow" w:cstheme="minorBidi"/>
      <w:szCs w:val="21"/>
      <w:lang w:val="en-US" w:eastAsia="en-US"/>
    </w:rPr>
  </w:style>
  <w:style w:type="table" w:customStyle="1" w:styleId="Mriekatabuky1">
    <w:name w:val="Mriežka tabuľky1"/>
    <w:basedOn w:val="Normlnatabuka"/>
    <w:next w:val="Mriekatabuky"/>
    <w:uiPriority w:val="39"/>
    <w:rsid w:val="00B55CD5"/>
    <w:rPr>
      <w:rFonts w:asciiTheme="minorHAnsi" w:hAnsiTheme="minorHAns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C3F8F"/>
    <w:rPr>
      <w:rFonts w:ascii="Arial Narrow" w:hAnsi="Arial Narrow" w:cs="Times New Roman"/>
      <w:szCs w:val="36"/>
      <w:lang w:eastAsia="en-US"/>
    </w:rPr>
  </w:style>
  <w:style w:type="paragraph" w:styleId="Zkladntext2">
    <w:name w:val="Body Text 2"/>
    <w:basedOn w:val="Normlny"/>
    <w:link w:val="Zkladntext2Char"/>
    <w:uiPriority w:val="99"/>
    <w:unhideWhenUsed/>
    <w:rsid w:val="00342B48"/>
    <w:pPr>
      <w:spacing w:after="120" w:line="480" w:lineRule="auto"/>
    </w:pPr>
  </w:style>
  <w:style w:type="character" w:customStyle="1" w:styleId="Zkladntext2Char">
    <w:name w:val="Základný text 2 Char"/>
    <w:basedOn w:val="Predvolenpsmoodseku"/>
    <w:link w:val="Zkladntext2"/>
    <w:uiPriority w:val="99"/>
    <w:rsid w:val="00342B48"/>
    <w:rPr>
      <w:rFonts w:ascii="Arial Narrow" w:hAnsi="Arial Narrow" w:cs="Book Antiqua"/>
    </w:rPr>
  </w:style>
  <w:style w:type="table" w:customStyle="1" w:styleId="Mriekatabuky4">
    <w:name w:val="Mriežka tabuľky4"/>
    <w:basedOn w:val="Normlnatabuka"/>
    <w:next w:val="Mriekatabuky"/>
    <w:uiPriority w:val="59"/>
    <w:rsid w:val="003D7330"/>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locked/>
    <w:rsid w:val="00B910C3"/>
    <w:pPr>
      <w:spacing w:after="200"/>
    </w:pPr>
    <w:rPr>
      <w:b/>
      <w:bCs/>
      <w:color w:val="2C9ADC" w:themeColor="accent1"/>
      <w:sz w:val="18"/>
      <w:szCs w:val="18"/>
    </w:rPr>
  </w:style>
  <w:style w:type="paragraph" w:customStyle="1" w:styleId="NRPtabulka">
    <w:name w:val="NRP tabulka"/>
    <w:basedOn w:val="Normlny"/>
    <w:link w:val="NRPtabulkaChar"/>
    <w:qFormat/>
    <w:rsid w:val="0063080C"/>
    <w:pPr>
      <w:spacing w:line="276" w:lineRule="auto"/>
    </w:pPr>
    <w:rPr>
      <w:rFonts w:eastAsiaTheme="minorHAnsi" w:cs="Times New Roman"/>
      <w:b/>
      <w:bCs/>
      <w:color w:val="FFFFFF" w:themeColor="background1"/>
      <w:sz w:val="20"/>
      <w:szCs w:val="14"/>
      <w:lang w:eastAsia="en-US"/>
    </w:rPr>
  </w:style>
  <w:style w:type="character" w:customStyle="1" w:styleId="NRPtabulkaChar">
    <w:name w:val="NRP tabulka Char"/>
    <w:basedOn w:val="Predvolenpsmoodseku"/>
    <w:link w:val="NRPtabulka"/>
    <w:rsid w:val="0063080C"/>
    <w:rPr>
      <w:rFonts w:ascii="Arial Narrow" w:eastAsiaTheme="minorHAnsi" w:hAnsi="Arial Narrow" w:cs="Times New Roman"/>
      <w:b/>
      <w:bCs/>
      <w:color w:val="FFFFFF" w:themeColor="background1"/>
      <w:sz w:val="20"/>
      <w:szCs w:val="14"/>
      <w:lang w:eastAsia="en-US"/>
    </w:rPr>
  </w:style>
  <w:style w:type="paragraph" w:customStyle="1" w:styleId="NRP2uroven">
    <w:name w:val="NRP_2uroven"/>
    <w:basedOn w:val="Nadpis2"/>
    <w:qFormat/>
    <w:rsid w:val="0063080C"/>
    <w:pPr>
      <w:numPr>
        <w:ilvl w:val="1"/>
        <w:numId w:val="1"/>
      </w:numPr>
      <w:spacing w:before="0"/>
    </w:pPr>
    <w:rPr>
      <w:rFonts w:cs="Arial Narrow"/>
      <w:b/>
      <w:szCs w:val="24"/>
    </w:rPr>
  </w:style>
  <w:style w:type="character" w:customStyle="1" w:styleId="apple-converted-space">
    <w:name w:val="apple-converted-space"/>
    <w:basedOn w:val="Predvolenpsmoodseku"/>
    <w:rsid w:val="0063080C"/>
  </w:style>
  <w:style w:type="character" w:customStyle="1" w:styleId="Nadpis1Char1">
    <w:name w:val="Nadpis 1 Char1"/>
    <w:aliases w:val="Char Char1"/>
    <w:basedOn w:val="Predvolenpsmoodseku"/>
    <w:uiPriority w:val="99"/>
    <w:rsid w:val="00AF28CA"/>
    <w:rPr>
      <w:rFonts w:asciiTheme="majorHAnsi" w:eastAsiaTheme="majorEastAsia" w:hAnsiTheme="majorHAnsi" w:cstheme="majorBidi"/>
      <w:color w:val="1C74A9" w:themeColor="accent1" w:themeShade="BF"/>
      <w:sz w:val="32"/>
      <w:szCs w:val="32"/>
      <w:lang w:eastAsia="sk-SK"/>
    </w:rPr>
  </w:style>
  <w:style w:type="paragraph" w:customStyle="1" w:styleId="odsekzatabukou">
    <w:name w:val="odsek za tabuľkou"/>
    <w:basedOn w:val="Normlny"/>
    <w:link w:val="odsekzatabukouChar"/>
    <w:qFormat/>
    <w:rsid w:val="006328EE"/>
    <w:pPr>
      <w:spacing w:before="240" w:after="240"/>
      <w:jc w:val="both"/>
    </w:pPr>
  </w:style>
  <w:style w:type="character" w:customStyle="1" w:styleId="odsekzatabukouChar">
    <w:name w:val="odsek za tabuľkou Char"/>
    <w:basedOn w:val="Predvolenpsmoodseku"/>
    <w:link w:val="odsekzatabukou"/>
    <w:rsid w:val="006328EE"/>
    <w:rPr>
      <w:rFonts w:ascii="Arial Narrow" w:hAnsi="Arial Narrow" w:cs="Book Antiqua"/>
    </w:rPr>
  </w:style>
  <w:style w:type="paragraph" w:customStyle="1" w:styleId="Odsek">
    <w:name w:val="Odsek"/>
    <w:basedOn w:val="Normlny"/>
    <w:link w:val="OdsekChar"/>
    <w:qFormat/>
    <w:rsid w:val="006328EE"/>
    <w:pPr>
      <w:spacing w:after="240"/>
      <w:jc w:val="both"/>
    </w:pPr>
  </w:style>
  <w:style w:type="character" w:customStyle="1" w:styleId="OdsekChar">
    <w:name w:val="Odsek Char"/>
    <w:basedOn w:val="Predvolenpsmoodseku"/>
    <w:link w:val="Odsek"/>
    <w:rsid w:val="006328EE"/>
    <w:rPr>
      <w:rFonts w:ascii="Arial Narrow" w:hAnsi="Arial Narrow" w:cs="Book Antiqua"/>
    </w:rPr>
  </w:style>
  <w:style w:type="paragraph" w:customStyle="1" w:styleId="poznmka">
    <w:name w:val="poznámka"/>
    <w:basedOn w:val="Normlny"/>
    <w:link w:val="poznmkaChar"/>
    <w:qFormat/>
    <w:rsid w:val="006328EE"/>
    <w:pPr>
      <w:spacing w:before="40"/>
      <w:jc w:val="right"/>
    </w:pPr>
    <w:rPr>
      <w:rFonts w:cs="Arial Narrow"/>
      <w:i/>
      <w:iCs/>
      <w:sz w:val="16"/>
      <w:szCs w:val="16"/>
    </w:rPr>
  </w:style>
  <w:style w:type="character" w:customStyle="1" w:styleId="poznmkaChar">
    <w:name w:val="poznámka Char"/>
    <w:basedOn w:val="Predvolenpsmoodseku"/>
    <w:link w:val="poznmka"/>
    <w:rsid w:val="006328EE"/>
    <w:rPr>
      <w:rFonts w:ascii="Arial Narrow" w:hAnsi="Arial Narrow" w:cs="Arial Narrow"/>
      <w:i/>
      <w:iCs/>
      <w:sz w:val="16"/>
      <w:szCs w:val="16"/>
    </w:rPr>
  </w:style>
  <w:style w:type="paragraph" w:customStyle="1" w:styleId="Tabuka">
    <w:name w:val="Tabuľka"/>
    <w:basedOn w:val="Normlny"/>
    <w:qFormat/>
    <w:rsid w:val="0068465B"/>
    <w:pPr>
      <w:pBdr>
        <w:top w:val="nil"/>
        <w:left w:val="nil"/>
        <w:bottom w:val="nil"/>
        <w:right w:val="nil"/>
        <w:between w:val="nil"/>
        <w:bar w:val="nil"/>
      </w:pBdr>
      <w:spacing w:after="200"/>
    </w:pPr>
    <w:rPr>
      <w:rFonts w:eastAsia="Arial Narrow" w:cs="Arial Narrow"/>
      <w:b/>
      <w:bCs/>
      <w:color w:val="2C9ADC" w:themeColor="accent1"/>
      <w:sz w:val="20"/>
      <w:szCs w:val="20"/>
      <w:bdr w:val="nil"/>
    </w:rPr>
  </w:style>
  <w:style w:type="paragraph" w:customStyle="1" w:styleId="Box">
    <w:name w:val="Box"/>
    <w:qFormat/>
    <w:rsid w:val="00DF662D"/>
    <w:pPr>
      <w:spacing w:before="120" w:after="240"/>
    </w:pPr>
    <w:rPr>
      <w:rFonts w:ascii="Arial Narrow" w:eastAsiaTheme="majorEastAsia" w:hAnsi="Arial Narrow" w:cstheme="majorBidi"/>
      <w:b/>
      <w:bCs/>
      <w:sz w:val="20"/>
      <w:szCs w:val="36"/>
      <w:lang w:eastAsia="en-US"/>
    </w:rPr>
  </w:style>
  <w:style w:type="paragraph" w:customStyle="1" w:styleId="Graf">
    <w:name w:val="Graf"/>
    <w:qFormat/>
    <w:rsid w:val="00DF662D"/>
    <w:pPr>
      <w:spacing w:after="200" w:line="276" w:lineRule="auto"/>
    </w:pPr>
    <w:rPr>
      <w:rFonts w:ascii="Arial Narrow" w:eastAsia="Arial Narrow" w:hAnsi="Arial Narrow" w:cs="Arial Narrow"/>
      <w:b/>
      <w:bCs/>
      <w:color w:val="2C9ADC" w:themeColor="accent1"/>
      <w:sz w:val="20"/>
      <w:szCs w:val="36"/>
      <w:lang w:eastAsia="en-US"/>
    </w:rPr>
  </w:style>
  <w:style w:type="paragraph" w:styleId="Zoznamobrzkov">
    <w:name w:val="table of figures"/>
    <w:basedOn w:val="Normlny"/>
    <w:next w:val="Normlny"/>
    <w:uiPriority w:val="99"/>
    <w:unhideWhenUsed/>
    <w:rsid w:val="00D26CC2"/>
  </w:style>
  <w:style w:type="table" w:customStyle="1" w:styleId="UHPGRAF">
    <w:name w:val="UHP_GRAF"/>
    <w:basedOn w:val="Normlnatabuka"/>
    <w:uiPriority w:val="99"/>
    <w:rsid w:val="00255686"/>
    <w:pPr>
      <w:spacing w:before="160"/>
      <w:contextualSpacing/>
      <w:jc w:val="both"/>
    </w:pPr>
    <w:rPr>
      <w:rFonts w:ascii="Arial Narrow" w:eastAsiaTheme="minorHAnsi" w:hAnsi="Arial Narrow" w:cstheme="minorBidi"/>
      <w:sz w:val="20"/>
      <w:szCs w:val="20"/>
    </w:rPr>
    <w:tblPr>
      <w:tblBorders>
        <w:bottom w:val="single" w:sz="4" w:space="0" w:color="auto"/>
      </w:tblBorders>
    </w:tblPr>
    <w:tcPr>
      <w:vAlign w:val="center"/>
    </w:tcPr>
    <w:tblStylePr w:type="firstRow">
      <w:pPr>
        <w:jc w:val="left"/>
      </w:pPr>
      <w:rPr>
        <w:rFonts w:ascii="Arial Narrow" w:hAnsi="Arial Narrow" w:hint="default"/>
        <w:b/>
        <w:i w:val="0"/>
        <w:iCs/>
        <w:sz w:val="20"/>
        <w:szCs w:val="20"/>
      </w:rPr>
      <w:tblPr/>
      <w:tcPr>
        <w:tcBorders>
          <w:top w:val="nil"/>
          <w:left w:val="nil"/>
          <w:bottom w:val="single" w:sz="4" w:space="0" w:color="auto"/>
          <w:right w:val="nil"/>
          <w:insideH w:val="nil"/>
          <w:insideV w:val="nil"/>
          <w:tl2br w:val="nil"/>
          <w:tr2bl w:val="nil"/>
        </w:tcBorders>
        <w:vAlign w:val="center"/>
      </w:tcPr>
    </w:tblStylePr>
    <w:tblStylePr w:type="lastRow">
      <w:pPr>
        <w:jc w:val="right"/>
      </w:pPr>
      <w:rPr>
        <w:b w:val="0"/>
        <w:i/>
        <w:color w:val="auto"/>
        <w:sz w:val="16"/>
        <w:szCs w:val="16"/>
      </w:rPr>
      <w:tblPr/>
      <w:tcPr>
        <w:tcBorders>
          <w:top w:val="single" w:sz="4" w:space="0" w:color="auto"/>
          <w:left w:val="nil"/>
          <w:bottom w:val="nil"/>
          <w:right w:val="nil"/>
          <w:insideH w:val="nil"/>
          <w:insideV w:val="nil"/>
          <w:tl2br w:val="nil"/>
          <w:tr2bl w:val="nil"/>
        </w:tcBorders>
      </w:tcPr>
    </w:tblStylePr>
    <w:tblStylePr w:type="firstCol">
      <w:rPr>
        <w:b/>
      </w:rPr>
      <w:tblPr/>
      <w:tcPr>
        <w:tcBorders>
          <w:top w:val="nil"/>
          <w:left w:val="nil"/>
          <w:bottom w:val="single" w:sz="4" w:space="0" w:color="auto"/>
          <w:right w:val="nil"/>
          <w:insideH w:val="nil"/>
          <w:insideV w:val="nil"/>
          <w:tl2br w:val="nil"/>
          <w:tr2bl w:val="nil"/>
        </w:tcBorders>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2">
    <w:name w:val="Char2"/>
    <w:basedOn w:val="Normlny"/>
    <w:link w:val="Odkaznapoznmkupodiarou"/>
    <w:uiPriority w:val="99"/>
    <w:rsid w:val="00204588"/>
    <w:pPr>
      <w:spacing w:line="240" w:lineRule="exact"/>
    </w:pPr>
    <w:rPr>
      <w:rFonts w:cs="Arial Narrow"/>
      <w:vertAlign w:val="superscript"/>
      <w:lang w:val="en-US" w:eastAsia="en-US"/>
    </w:rPr>
  </w:style>
  <w:style w:type="paragraph" w:customStyle="1" w:styleId="Telo">
    <w:name w:val="Telo"/>
    <w:rsid w:val="00201333"/>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normaltextrun">
    <w:name w:val="normaltextrun"/>
    <w:basedOn w:val="Predvolenpsmoodseku"/>
    <w:rsid w:val="009A2A34"/>
  </w:style>
  <w:style w:type="character" w:customStyle="1" w:styleId="eop">
    <w:name w:val="eop"/>
    <w:basedOn w:val="Predvolenpsmoodseku"/>
    <w:rsid w:val="009A2A34"/>
  </w:style>
  <w:style w:type="character" w:customStyle="1" w:styleId="ui-provider">
    <w:name w:val="ui-provider"/>
    <w:basedOn w:val="Predvolenpsmoodseku"/>
    <w:rsid w:val="009A2A34"/>
  </w:style>
  <w:style w:type="character" w:styleId="Siln">
    <w:name w:val="Strong"/>
    <w:basedOn w:val="Predvolenpsmoodseku"/>
    <w:uiPriority w:val="22"/>
    <w:qFormat/>
    <w:locked/>
    <w:rsid w:val="009A2A34"/>
    <w:rPr>
      <w:b/>
      <w:bCs/>
    </w:rPr>
  </w:style>
  <w:style w:type="character" w:customStyle="1" w:styleId="cf01">
    <w:name w:val="cf01"/>
    <w:basedOn w:val="Predvolenpsmoodseku"/>
    <w:rsid w:val="00BD6E6C"/>
    <w:rPr>
      <w:rFonts w:ascii="Segoe UI" w:hAnsi="Segoe UI" w:cs="Segoe UI" w:hint="default"/>
      <w:sz w:val="18"/>
      <w:szCs w:val="18"/>
    </w:rPr>
  </w:style>
  <w:style w:type="character" w:customStyle="1" w:styleId="Nadpis4Char">
    <w:name w:val="Nadpis 4 Char"/>
    <w:basedOn w:val="Predvolenpsmoodseku"/>
    <w:link w:val="Nadpis4"/>
    <w:rsid w:val="000F6636"/>
    <w:rPr>
      <w:rFonts w:ascii="Arial Narrow" w:eastAsia="Arial Narrow" w:hAnsi="Arial Narrow" w:cs="Arial Narrow"/>
      <w:b/>
      <w:color w:val="000000"/>
      <w:sz w:val="24"/>
      <w:szCs w:val="24"/>
      <w:lang w:val="en-US" w:eastAsia="en-US"/>
    </w:rPr>
  </w:style>
  <w:style w:type="character" w:customStyle="1" w:styleId="Nadpis5Char">
    <w:name w:val="Nadpis 5 Char"/>
    <w:basedOn w:val="Predvolenpsmoodseku"/>
    <w:link w:val="Nadpis5"/>
    <w:rsid w:val="000F6636"/>
    <w:rPr>
      <w:rFonts w:ascii="Arial Narrow" w:eastAsia="Arial Narrow" w:hAnsi="Arial Narrow" w:cs="Arial Narrow"/>
      <w:b/>
      <w:color w:val="000000"/>
      <w:lang w:val="en-US" w:eastAsia="en-US"/>
    </w:rPr>
  </w:style>
  <w:style w:type="character" w:customStyle="1" w:styleId="Nadpis6Char">
    <w:name w:val="Nadpis 6 Char"/>
    <w:basedOn w:val="Predvolenpsmoodseku"/>
    <w:link w:val="Nadpis6"/>
    <w:rsid w:val="000F6636"/>
    <w:rPr>
      <w:rFonts w:ascii="Arial Narrow" w:eastAsia="Arial Narrow" w:hAnsi="Arial Narrow" w:cs="Arial Narrow"/>
      <w:b/>
      <w:color w:val="000000"/>
      <w:sz w:val="20"/>
      <w:szCs w:val="20"/>
      <w:lang w:val="en-US" w:eastAsia="en-US"/>
    </w:rPr>
  </w:style>
  <w:style w:type="character" w:customStyle="1" w:styleId="Hyperlink0">
    <w:name w:val="Hyperlink.0"/>
    <w:basedOn w:val="Predvolenpsmoodseku"/>
    <w:rsid w:val="000F6636"/>
    <w:rPr>
      <w:rFonts w:ascii="Arial Narrow" w:eastAsia="Arial Narrow" w:hAnsi="Arial Narrow" w:cs="Arial Narrow"/>
      <w:color w:val="0563C1"/>
      <w:sz w:val="16"/>
      <w:szCs w:val="16"/>
      <w:u w:val="single" w:color="0563C1"/>
    </w:rPr>
  </w:style>
  <w:style w:type="table" w:customStyle="1" w:styleId="Mriekatabuky2">
    <w:name w:val="Mriežka tabuľky2"/>
    <w:basedOn w:val="Normlnatabuka"/>
    <w:next w:val="Mriekatabuky"/>
    <w:uiPriority w:val="59"/>
    <w:rsid w:val="000F6636"/>
    <w:rPr>
      <w:rFonts w:ascii="Arial Narrow" w:eastAsiaTheme="minorHAnsi" w:hAnsi="Arial Narrow" w:cstheme="minorBidi"/>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F6636"/>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Hyperlink1">
    <w:name w:val="Hyperlink.1"/>
    <w:basedOn w:val="Predvolenpsmoodseku"/>
    <w:rsid w:val="000F6636"/>
    <w:rPr>
      <w:rFonts w:ascii="Arial Narrow" w:eastAsia="Arial Narrow" w:hAnsi="Arial Narrow" w:cs="Arial Narrow"/>
      <w:color w:val="0000FF"/>
      <w:sz w:val="18"/>
      <w:szCs w:val="18"/>
      <w:u w:val="single" w:color="0000FF"/>
    </w:rPr>
  </w:style>
  <w:style w:type="numbering" w:customStyle="1" w:styleId="List7">
    <w:name w:val="List 7"/>
    <w:basedOn w:val="Bezzoznamu"/>
    <w:rsid w:val="000F6636"/>
    <w:pPr>
      <w:numPr>
        <w:numId w:val="40"/>
      </w:numPr>
    </w:pPr>
  </w:style>
  <w:style w:type="numbering" w:customStyle="1" w:styleId="List17">
    <w:name w:val="List 17"/>
    <w:basedOn w:val="Bezzoznamu"/>
    <w:rsid w:val="000F6636"/>
    <w:pPr>
      <w:numPr>
        <w:numId w:val="41"/>
      </w:numPr>
    </w:pPr>
  </w:style>
  <w:style w:type="numbering" w:customStyle="1" w:styleId="List18">
    <w:name w:val="List 18"/>
    <w:basedOn w:val="Bezzoznamu"/>
    <w:rsid w:val="000F6636"/>
    <w:pPr>
      <w:numPr>
        <w:numId w:val="42"/>
      </w:numPr>
    </w:pPr>
  </w:style>
  <w:style w:type="table" w:customStyle="1" w:styleId="TableNormal2">
    <w:name w:val="Table Normal2"/>
    <w:rsid w:val="000F6636"/>
    <w:pPr>
      <w:spacing w:after="200" w:line="276" w:lineRule="auto"/>
    </w:pPr>
    <w:rPr>
      <w:rFonts w:ascii="Arial Narrow" w:eastAsia="Arial Narrow" w:hAnsi="Arial Narrow" w:cs="Arial Narrow"/>
      <w:color w:val="000000"/>
      <w:lang w:val="en-US" w:eastAsia="en-US"/>
    </w:rPr>
    <w:tblPr>
      <w:tblCellMar>
        <w:top w:w="0" w:type="dxa"/>
        <w:left w:w="0" w:type="dxa"/>
        <w:bottom w:w="0" w:type="dxa"/>
        <w:right w:w="0" w:type="dxa"/>
      </w:tblCellMar>
    </w:tblPr>
  </w:style>
  <w:style w:type="paragraph" w:styleId="Nzov">
    <w:name w:val="Title"/>
    <w:basedOn w:val="Normlny"/>
    <w:next w:val="Normlny"/>
    <w:link w:val="NzovChar"/>
    <w:locked/>
    <w:rsid w:val="000F6636"/>
    <w:pPr>
      <w:keepNext/>
      <w:keepLines/>
      <w:spacing w:before="480" w:after="120" w:line="276" w:lineRule="auto"/>
      <w:contextualSpacing/>
    </w:pPr>
    <w:rPr>
      <w:rFonts w:eastAsia="Arial Narrow" w:cs="Arial Narrow"/>
      <w:b/>
      <w:color w:val="000000"/>
      <w:sz w:val="72"/>
      <w:szCs w:val="72"/>
      <w:lang w:val="en-US" w:eastAsia="en-US"/>
    </w:rPr>
  </w:style>
  <w:style w:type="character" w:customStyle="1" w:styleId="NzovChar">
    <w:name w:val="Názov Char"/>
    <w:basedOn w:val="Predvolenpsmoodseku"/>
    <w:link w:val="Nzov"/>
    <w:rsid w:val="000F6636"/>
    <w:rPr>
      <w:rFonts w:ascii="Arial Narrow" w:eastAsia="Arial Narrow" w:hAnsi="Arial Narrow" w:cs="Arial Narrow"/>
      <w:b/>
      <w:color w:val="000000"/>
      <w:sz w:val="72"/>
      <w:szCs w:val="72"/>
      <w:lang w:val="en-US" w:eastAsia="en-US"/>
    </w:rPr>
  </w:style>
  <w:style w:type="paragraph" w:styleId="Podtitul">
    <w:name w:val="Subtitle"/>
    <w:basedOn w:val="Normlny"/>
    <w:next w:val="Normlny"/>
    <w:link w:val="PodtitulChar"/>
    <w:locked/>
    <w:rsid w:val="000F6636"/>
    <w:pPr>
      <w:keepNext/>
      <w:keepLines/>
      <w:spacing w:before="360" w:after="80" w:line="276" w:lineRule="auto"/>
      <w:contextualSpacing/>
    </w:pPr>
    <w:rPr>
      <w:rFonts w:ascii="Georgia" w:eastAsia="Georgia" w:hAnsi="Georgia" w:cs="Georgia"/>
      <w:i/>
      <w:color w:val="666666"/>
      <w:sz w:val="48"/>
      <w:szCs w:val="48"/>
      <w:lang w:val="en-US" w:eastAsia="en-US"/>
    </w:rPr>
  </w:style>
  <w:style w:type="character" w:customStyle="1" w:styleId="PodtitulChar">
    <w:name w:val="Podtitul Char"/>
    <w:basedOn w:val="Predvolenpsmoodseku"/>
    <w:link w:val="Podtitul"/>
    <w:rsid w:val="000F6636"/>
    <w:rPr>
      <w:rFonts w:ascii="Georgia" w:eastAsia="Georgia" w:hAnsi="Georgia" w:cs="Georgia"/>
      <w:i/>
      <w:color w:val="666666"/>
      <w:sz w:val="48"/>
      <w:szCs w:val="48"/>
      <w:lang w:val="en-US" w:eastAsia="en-US"/>
    </w:rPr>
  </w:style>
  <w:style w:type="paragraph" w:styleId="Register1">
    <w:name w:val="index 1"/>
    <w:basedOn w:val="Normlny"/>
    <w:next w:val="Normlny"/>
    <w:autoRedefine/>
    <w:uiPriority w:val="99"/>
    <w:semiHidden/>
    <w:unhideWhenUsed/>
    <w:rsid w:val="000F6636"/>
    <w:pPr>
      <w:ind w:left="220" w:hanging="220"/>
    </w:pPr>
    <w:rPr>
      <w:rFonts w:eastAsiaTheme="minorHAnsi" w:cstheme="minorBidi"/>
      <w:szCs w:val="36"/>
      <w:lang w:eastAsia="en-US"/>
    </w:rPr>
  </w:style>
  <w:style w:type="character" w:customStyle="1" w:styleId="Bodytext295pt">
    <w:name w:val="Body text (2) + 9.5 pt"/>
    <w:aliases w:val="Bold"/>
    <w:basedOn w:val="Predvolenpsmoodseku"/>
    <w:qFormat/>
    <w:rsid w:val="000F6636"/>
    <w:rPr>
      <w:rFonts w:ascii="Arial Narrow" w:eastAsia="Arial" w:hAnsi="Arial Narrow" w:cs="Arial"/>
      <w:color w:val="000000"/>
      <w:sz w:val="20"/>
      <w:szCs w:val="19"/>
      <w:lang w:val="fr-FR" w:eastAsia="fr-FR" w:bidi="fr-FR"/>
    </w:rPr>
  </w:style>
  <w:style w:type="character" w:styleId="Jemnodkaz">
    <w:name w:val="Subtle Reference"/>
    <w:uiPriority w:val="31"/>
    <w:qFormat/>
    <w:rsid w:val="000F6636"/>
    <w:rPr>
      <w:rFonts w:eastAsia="Times New Roman" w:cs="Times New Roman"/>
      <w:bCs/>
      <w:i/>
      <w:sz w:val="18"/>
      <w:lang w:eastAsia="zh-TW"/>
    </w:rPr>
  </w:style>
  <w:style w:type="table" w:customStyle="1" w:styleId="TableNormal">
    <w:name w:val="Table Normal"/>
    <w:rsid w:val="000F6636"/>
    <w:pPr>
      <w:spacing w:after="200" w:line="276" w:lineRule="auto"/>
    </w:pPr>
    <w:rPr>
      <w:rFonts w:ascii="Arial Narrow" w:eastAsia="Arial Narrow" w:hAnsi="Arial Narrow" w:cs="Arial Narrow"/>
      <w:color w:val="000000"/>
      <w:lang w:val="en-US" w:eastAsia="en-US"/>
    </w:rPr>
    <w:tblPr>
      <w:tblCellMar>
        <w:top w:w="0" w:type="dxa"/>
        <w:left w:w="0" w:type="dxa"/>
        <w:bottom w:w="0" w:type="dxa"/>
        <w:right w:w="0" w:type="dxa"/>
      </w:tblCellMar>
    </w:tblPr>
  </w:style>
  <w:style w:type="character" w:customStyle="1" w:styleId="awspan">
    <w:name w:val="awspan"/>
    <w:basedOn w:val="Predvolenpsmoodseku"/>
    <w:rsid w:val="000F6636"/>
  </w:style>
  <w:style w:type="paragraph" w:customStyle="1" w:styleId="msonormal0">
    <w:name w:val="msonormal"/>
    <w:basedOn w:val="Normlny"/>
    <w:rsid w:val="000F6636"/>
    <w:pPr>
      <w:spacing w:before="100" w:beforeAutospacing="1" w:after="100" w:afterAutospacing="1"/>
    </w:pPr>
    <w:rPr>
      <w:rFonts w:ascii="Times New Roman" w:hAnsi="Times New Roman" w:cs="Times New Roman"/>
      <w:sz w:val="24"/>
      <w:szCs w:val="24"/>
    </w:rPr>
  </w:style>
  <w:style w:type="paragraph" w:customStyle="1" w:styleId="font5">
    <w:name w:val="font5"/>
    <w:basedOn w:val="Normlny"/>
    <w:rsid w:val="000F6636"/>
    <w:pPr>
      <w:spacing w:before="100" w:beforeAutospacing="1" w:after="100" w:afterAutospacing="1"/>
    </w:pPr>
    <w:rPr>
      <w:rFonts w:ascii="Segoe UI" w:hAnsi="Segoe UI" w:cs="Segoe UI"/>
      <w:b/>
      <w:bCs/>
      <w:color w:val="000000"/>
      <w:sz w:val="18"/>
      <w:szCs w:val="18"/>
    </w:rPr>
  </w:style>
  <w:style w:type="paragraph" w:customStyle="1" w:styleId="font6">
    <w:name w:val="font6"/>
    <w:basedOn w:val="Normlny"/>
    <w:rsid w:val="000F6636"/>
    <w:pPr>
      <w:spacing w:before="100" w:beforeAutospacing="1" w:after="100" w:afterAutospacing="1"/>
    </w:pPr>
    <w:rPr>
      <w:rFonts w:ascii="Segoe UI" w:hAnsi="Segoe UI" w:cs="Segoe UI"/>
      <w:color w:val="000000"/>
      <w:sz w:val="18"/>
      <w:szCs w:val="18"/>
    </w:rPr>
  </w:style>
  <w:style w:type="paragraph" w:customStyle="1" w:styleId="xl78">
    <w:name w:val="xl78"/>
    <w:basedOn w:val="Normlny"/>
    <w:rsid w:val="000F6636"/>
    <w:pPr>
      <w:pBdr>
        <w:bottom w:val="single" w:sz="4" w:space="0" w:color="auto"/>
      </w:pBdr>
      <w:spacing w:before="100" w:beforeAutospacing="1" w:after="100" w:afterAutospacing="1"/>
      <w:jc w:val="center"/>
    </w:pPr>
    <w:rPr>
      <w:rFonts w:cs="Times New Roman"/>
      <w:b/>
      <w:bCs/>
      <w:sz w:val="20"/>
      <w:szCs w:val="20"/>
    </w:rPr>
  </w:style>
  <w:style w:type="paragraph" w:customStyle="1" w:styleId="xl79">
    <w:name w:val="xl79"/>
    <w:basedOn w:val="Normlny"/>
    <w:rsid w:val="000F6636"/>
    <w:pPr>
      <w:pBdr>
        <w:bottom w:val="single" w:sz="4" w:space="0" w:color="auto"/>
        <w:right w:val="single" w:sz="4" w:space="0" w:color="auto"/>
      </w:pBdr>
      <w:spacing w:before="100" w:beforeAutospacing="1" w:after="100" w:afterAutospacing="1"/>
      <w:jc w:val="center"/>
    </w:pPr>
    <w:rPr>
      <w:rFonts w:cs="Times New Roman"/>
      <w:b/>
      <w:bCs/>
      <w:sz w:val="20"/>
      <w:szCs w:val="20"/>
    </w:rPr>
  </w:style>
  <w:style w:type="paragraph" w:customStyle="1" w:styleId="xl80">
    <w:name w:val="xl80"/>
    <w:basedOn w:val="Normlny"/>
    <w:rsid w:val="000F6636"/>
    <w:pPr>
      <w:pBdr>
        <w:left w:val="single" w:sz="4" w:space="0" w:color="auto"/>
        <w:bottom w:val="single" w:sz="4" w:space="0" w:color="auto"/>
      </w:pBdr>
      <w:spacing w:before="100" w:beforeAutospacing="1" w:after="100" w:afterAutospacing="1"/>
      <w:jc w:val="center"/>
    </w:pPr>
    <w:rPr>
      <w:rFonts w:cs="Times New Roman"/>
      <w:b/>
      <w:bCs/>
      <w:sz w:val="20"/>
      <w:szCs w:val="20"/>
    </w:rPr>
  </w:style>
  <w:style w:type="paragraph" w:customStyle="1" w:styleId="xl81">
    <w:name w:val="xl81"/>
    <w:basedOn w:val="Normlny"/>
    <w:rsid w:val="000F6636"/>
    <w:pPr>
      <w:pBdr>
        <w:right w:val="single" w:sz="4" w:space="0" w:color="auto"/>
      </w:pBdr>
      <w:spacing w:before="100" w:beforeAutospacing="1" w:after="100" w:afterAutospacing="1"/>
      <w:textAlignment w:val="center"/>
    </w:pPr>
    <w:rPr>
      <w:rFonts w:cs="Times New Roman"/>
      <w:sz w:val="20"/>
      <w:szCs w:val="20"/>
    </w:rPr>
  </w:style>
  <w:style w:type="paragraph" w:customStyle="1" w:styleId="xl82">
    <w:name w:val="xl82"/>
    <w:basedOn w:val="Normlny"/>
    <w:rsid w:val="000F6636"/>
    <w:pPr>
      <w:spacing w:before="100" w:beforeAutospacing="1" w:after="100" w:afterAutospacing="1"/>
      <w:jc w:val="center"/>
    </w:pPr>
    <w:rPr>
      <w:rFonts w:cs="Times New Roman"/>
      <w:sz w:val="20"/>
      <w:szCs w:val="20"/>
    </w:rPr>
  </w:style>
  <w:style w:type="paragraph" w:customStyle="1" w:styleId="xl83">
    <w:name w:val="xl83"/>
    <w:basedOn w:val="Normlny"/>
    <w:rsid w:val="000F6636"/>
    <w:pPr>
      <w:pBdr>
        <w:left w:val="single" w:sz="4" w:space="0" w:color="auto"/>
      </w:pBdr>
      <w:spacing w:before="100" w:beforeAutospacing="1" w:after="100" w:afterAutospacing="1"/>
      <w:jc w:val="center"/>
    </w:pPr>
    <w:rPr>
      <w:rFonts w:cs="Times New Roman"/>
      <w:sz w:val="20"/>
      <w:szCs w:val="20"/>
    </w:rPr>
  </w:style>
  <w:style w:type="paragraph" w:customStyle="1" w:styleId="xl84">
    <w:name w:val="xl84"/>
    <w:basedOn w:val="Normlny"/>
    <w:rsid w:val="000F6636"/>
    <w:pPr>
      <w:pBdr>
        <w:bottom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85">
    <w:name w:val="xl85"/>
    <w:basedOn w:val="Normlny"/>
    <w:rsid w:val="000F6636"/>
    <w:pPr>
      <w:pBdr>
        <w:bottom w:val="single" w:sz="4" w:space="0" w:color="auto"/>
      </w:pBdr>
      <w:spacing w:before="100" w:beforeAutospacing="1" w:after="100" w:afterAutospacing="1"/>
      <w:jc w:val="center"/>
    </w:pPr>
    <w:rPr>
      <w:rFonts w:cs="Times New Roman"/>
      <w:sz w:val="20"/>
      <w:szCs w:val="20"/>
    </w:rPr>
  </w:style>
  <w:style w:type="paragraph" w:customStyle="1" w:styleId="xl86">
    <w:name w:val="xl86"/>
    <w:basedOn w:val="Normlny"/>
    <w:rsid w:val="000F6636"/>
    <w:pPr>
      <w:pBdr>
        <w:bottom w:val="single" w:sz="4" w:space="0" w:color="auto"/>
      </w:pBdr>
      <w:spacing w:before="100" w:beforeAutospacing="1" w:after="100" w:afterAutospacing="1"/>
      <w:jc w:val="center"/>
    </w:pPr>
    <w:rPr>
      <w:rFonts w:cs="Times New Roman"/>
      <w:sz w:val="20"/>
      <w:szCs w:val="20"/>
    </w:rPr>
  </w:style>
  <w:style w:type="paragraph" w:customStyle="1" w:styleId="xl87">
    <w:name w:val="xl87"/>
    <w:basedOn w:val="Normlny"/>
    <w:rsid w:val="000F6636"/>
    <w:pPr>
      <w:pBdr>
        <w:left w:val="single" w:sz="4" w:space="0" w:color="auto"/>
        <w:bottom w:val="single" w:sz="4" w:space="0" w:color="auto"/>
      </w:pBdr>
      <w:spacing w:before="100" w:beforeAutospacing="1" w:after="100" w:afterAutospacing="1"/>
      <w:jc w:val="center"/>
    </w:pPr>
    <w:rPr>
      <w:rFonts w:cs="Times New Roman"/>
      <w:sz w:val="20"/>
      <w:szCs w:val="20"/>
    </w:rPr>
  </w:style>
  <w:style w:type="paragraph" w:customStyle="1" w:styleId="xl88">
    <w:name w:val="xl88"/>
    <w:basedOn w:val="Normlny"/>
    <w:rsid w:val="000F6636"/>
    <w:pPr>
      <w:pBdr>
        <w:bottom w:val="single" w:sz="4" w:space="0" w:color="auto"/>
      </w:pBdr>
      <w:spacing w:before="100" w:beforeAutospacing="1" w:after="100" w:afterAutospacing="1"/>
    </w:pPr>
    <w:rPr>
      <w:rFonts w:cs="Times New Roman"/>
      <w:b/>
      <w:bCs/>
      <w:sz w:val="20"/>
      <w:szCs w:val="20"/>
    </w:rPr>
  </w:style>
  <w:style w:type="paragraph" w:customStyle="1" w:styleId="xl89">
    <w:name w:val="xl89"/>
    <w:basedOn w:val="Normlny"/>
    <w:rsid w:val="000F6636"/>
    <w:pPr>
      <w:pBdr>
        <w:bottom w:val="single" w:sz="4" w:space="0" w:color="auto"/>
      </w:pBdr>
      <w:spacing w:before="100" w:beforeAutospacing="1" w:after="100" w:afterAutospacing="1"/>
      <w:jc w:val="center"/>
    </w:pPr>
    <w:rPr>
      <w:rFonts w:cs="Times New Roman"/>
      <w:b/>
      <w:bCs/>
      <w:sz w:val="20"/>
      <w:szCs w:val="20"/>
    </w:rPr>
  </w:style>
  <w:style w:type="paragraph" w:customStyle="1" w:styleId="xl90">
    <w:name w:val="xl90"/>
    <w:basedOn w:val="Normlny"/>
    <w:rsid w:val="000F6636"/>
    <w:pPr>
      <w:pBdr>
        <w:bottom w:val="single" w:sz="4" w:space="0" w:color="auto"/>
        <w:right w:val="single" w:sz="4" w:space="0" w:color="auto"/>
      </w:pBdr>
      <w:spacing w:before="100" w:beforeAutospacing="1" w:after="100" w:afterAutospacing="1"/>
      <w:jc w:val="center"/>
    </w:pPr>
    <w:rPr>
      <w:rFonts w:cs="Times New Roman"/>
      <w:b/>
      <w:bCs/>
      <w:sz w:val="20"/>
      <w:szCs w:val="20"/>
    </w:rPr>
  </w:style>
  <w:style w:type="paragraph" w:customStyle="1" w:styleId="xl91">
    <w:name w:val="xl91"/>
    <w:basedOn w:val="Normlny"/>
    <w:rsid w:val="000F6636"/>
    <w:pPr>
      <w:pBdr>
        <w:bottom w:val="single" w:sz="4" w:space="0" w:color="auto"/>
      </w:pBdr>
      <w:spacing w:before="100" w:beforeAutospacing="1" w:after="100" w:afterAutospacing="1"/>
      <w:jc w:val="center"/>
    </w:pPr>
    <w:rPr>
      <w:rFonts w:cs="Times New Roman"/>
      <w:b/>
      <w:bCs/>
      <w:sz w:val="20"/>
      <w:szCs w:val="20"/>
    </w:rPr>
  </w:style>
  <w:style w:type="paragraph" w:customStyle="1" w:styleId="xl92">
    <w:name w:val="xl92"/>
    <w:basedOn w:val="Normlny"/>
    <w:rsid w:val="000F6636"/>
    <w:pPr>
      <w:spacing w:before="100" w:beforeAutospacing="1" w:after="100" w:afterAutospacing="1"/>
      <w:jc w:val="center"/>
    </w:pPr>
    <w:rPr>
      <w:rFonts w:cs="Times New Roman"/>
      <w:sz w:val="20"/>
      <w:szCs w:val="20"/>
    </w:rPr>
  </w:style>
  <w:style w:type="paragraph" w:customStyle="1" w:styleId="xl93">
    <w:name w:val="xl93"/>
    <w:basedOn w:val="Normlny"/>
    <w:rsid w:val="000F6636"/>
    <w:pPr>
      <w:pBdr>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4">
    <w:name w:val="xl94"/>
    <w:basedOn w:val="Normlny"/>
    <w:rsid w:val="000F6636"/>
    <w:pPr>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5">
    <w:name w:val="xl95"/>
    <w:basedOn w:val="Normlny"/>
    <w:rsid w:val="000F6636"/>
    <w:pPr>
      <w:pBdr>
        <w:top w:val="single" w:sz="4" w:space="0" w:color="auto"/>
        <w:bottom w:val="single" w:sz="4" w:space="0" w:color="auto"/>
        <w:right w:val="single" w:sz="4" w:space="0" w:color="auto"/>
      </w:pBdr>
      <w:spacing w:before="100" w:beforeAutospacing="1" w:after="100" w:afterAutospacing="1"/>
    </w:pPr>
    <w:rPr>
      <w:rFonts w:cs="Times New Roman"/>
      <w:sz w:val="20"/>
      <w:szCs w:val="20"/>
    </w:rPr>
  </w:style>
  <w:style w:type="paragraph" w:customStyle="1" w:styleId="xl96">
    <w:name w:val="xl96"/>
    <w:basedOn w:val="Normlny"/>
    <w:rsid w:val="000F6636"/>
    <w:pPr>
      <w:pBdr>
        <w:left w:val="single" w:sz="4" w:space="0" w:color="auto"/>
        <w:bottom w:val="single" w:sz="4" w:space="0" w:color="auto"/>
        <w:right w:val="single" w:sz="4" w:space="0" w:color="auto"/>
      </w:pBdr>
      <w:spacing w:before="100" w:beforeAutospacing="1" w:after="100" w:afterAutospacing="1"/>
      <w:jc w:val="center"/>
    </w:pPr>
    <w:rPr>
      <w:rFonts w:cs="Times New Roman"/>
      <w:b/>
      <w:bCs/>
      <w:sz w:val="20"/>
      <w:szCs w:val="20"/>
    </w:rPr>
  </w:style>
  <w:style w:type="paragraph" w:customStyle="1" w:styleId="xl97">
    <w:name w:val="xl97"/>
    <w:basedOn w:val="Normlny"/>
    <w:rsid w:val="000F6636"/>
    <w:pPr>
      <w:pBdr>
        <w:top w:val="single" w:sz="4" w:space="0" w:color="auto"/>
        <w:bottom w:val="single" w:sz="4" w:space="0" w:color="auto"/>
        <w:right w:val="single" w:sz="4" w:space="0" w:color="auto"/>
      </w:pBdr>
      <w:spacing w:before="100" w:beforeAutospacing="1" w:after="100" w:afterAutospacing="1"/>
      <w:jc w:val="center"/>
    </w:pPr>
    <w:rPr>
      <w:rFonts w:cs="Times New Roman"/>
      <w:b/>
      <w:bCs/>
      <w:sz w:val="20"/>
      <w:szCs w:val="20"/>
    </w:rPr>
  </w:style>
  <w:style w:type="paragraph" w:customStyle="1" w:styleId="xl98">
    <w:name w:val="xl98"/>
    <w:basedOn w:val="Normlny"/>
    <w:rsid w:val="000F6636"/>
    <w:pPr>
      <w:pBdr>
        <w:top w:val="single" w:sz="4" w:space="0" w:color="auto"/>
        <w:bottom w:val="single" w:sz="4" w:space="0" w:color="auto"/>
        <w:right w:val="single" w:sz="4" w:space="0" w:color="auto"/>
      </w:pBdr>
      <w:spacing w:before="100" w:beforeAutospacing="1" w:after="100" w:afterAutospacing="1"/>
      <w:textAlignment w:val="center"/>
    </w:pPr>
    <w:rPr>
      <w:rFonts w:cs="Times New Roman"/>
      <w:b/>
      <w:bCs/>
      <w:sz w:val="20"/>
      <w:szCs w:val="20"/>
    </w:rPr>
  </w:style>
  <w:style w:type="paragraph" w:customStyle="1" w:styleId="xl99">
    <w:name w:val="xl99"/>
    <w:basedOn w:val="Normlny"/>
    <w:rsid w:val="000F66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 w:val="20"/>
      <w:szCs w:val="20"/>
    </w:rPr>
  </w:style>
  <w:style w:type="paragraph" w:customStyle="1" w:styleId="xl100">
    <w:name w:val="xl100"/>
    <w:basedOn w:val="Normlny"/>
    <w:rsid w:val="000F6636"/>
    <w:pPr>
      <w:pBdr>
        <w:top w:val="single" w:sz="4" w:space="0" w:color="auto"/>
        <w:bottom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01">
    <w:name w:val="xl101"/>
    <w:basedOn w:val="Normlny"/>
    <w:rsid w:val="000F6636"/>
    <w:pPr>
      <w:pBdr>
        <w:top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02">
    <w:name w:val="xl102"/>
    <w:basedOn w:val="Normlny"/>
    <w:rsid w:val="000F6636"/>
    <w:pPr>
      <w:pBdr>
        <w:top w:val="single" w:sz="4" w:space="0" w:color="auto"/>
        <w:bottom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03">
    <w:name w:val="xl103"/>
    <w:basedOn w:val="Normlny"/>
    <w:rsid w:val="000F6636"/>
    <w:pPr>
      <w:pBdr>
        <w:left w:val="single" w:sz="4" w:space="0" w:color="auto"/>
        <w:right w:val="single" w:sz="4" w:space="0" w:color="auto"/>
      </w:pBdr>
      <w:spacing w:before="100" w:beforeAutospacing="1" w:after="100" w:afterAutospacing="1"/>
      <w:jc w:val="center"/>
      <w:textAlignment w:val="center"/>
    </w:pPr>
    <w:rPr>
      <w:rFonts w:cs="Times New Roman"/>
      <w:sz w:val="20"/>
      <w:szCs w:val="20"/>
    </w:rPr>
  </w:style>
  <w:style w:type="paragraph" w:customStyle="1" w:styleId="xl104">
    <w:name w:val="xl104"/>
    <w:basedOn w:val="Normlny"/>
    <w:rsid w:val="000F6636"/>
    <w:pPr>
      <w:pBdr>
        <w:right w:val="single" w:sz="4" w:space="0" w:color="auto"/>
      </w:pBdr>
      <w:spacing w:before="100" w:beforeAutospacing="1" w:after="100" w:afterAutospacing="1"/>
      <w:jc w:val="center"/>
      <w:textAlignment w:val="center"/>
    </w:pPr>
    <w:rPr>
      <w:rFonts w:cs="Times New Roman"/>
      <w:sz w:val="20"/>
      <w:szCs w:val="20"/>
    </w:rPr>
  </w:style>
  <w:style w:type="paragraph" w:customStyle="1" w:styleId="xl105">
    <w:name w:val="xl105"/>
    <w:basedOn w:val="Normlny"/>
    <w:rsid w:val="000F6636"/>
    <w:pPr>
      <w:spacing w:before="100" w:beforeAutospacing="1" w:after="100" w:afterAutospacing="1"/>
      <w:jc w:val="center"/>
      <w:textAlignment w:val="center"/>
    </w:pPr>
    <w:rPr>
      <w:rFonts w:cs="Times New Roman"/>
      <w:sz w:val="20"/>
      <w:szCs w:val="20"/>
    </w:rPr>
  </w:style>
  <w:style w:type="paragraph" w:customStyle="1" w:styleId="xl106">
    <w:name w:val="xl106"/>
    <w:basedOn w:val="Normlny"/>
    <w:rsid w:val="000F6636"/>
    <w:pPr>
      <w:pBdr>
        <w:right w:val="single" w:sz="4" w:space="0" w:color="auto"/>
      </w:pBdr>
      <w:spacing w:before="100" w:beforeAutospacing="1" w:after="100" w:afterAutospacing="1"/>
    </w:pPr>
    <w:rPr>
      <w:rFonts w:cs="Times New Roman"/>
      <w:sz w:val="20"/>
      <w:szCs w:val="20"/>
    </w:rPr>
  </w:style>
  <w:style w:type="paragraph" w:customStyle="1" w:styleId="xl107">
    <w:name w:val="xl107"/>
    <w:basedOn w:val="Normlny"/>
    <w:rsid w:val="000F6636"/>
    <w:pPr>
      <w:pBdr>
        <w:left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08">
    <w:name w:val="xl108"/>
    <w:basedOn w:val="Normlny"/>
    <w:rsid w:val="000F6636"/>
    <w:pPr>
      <w:pBdr>
        <w:right w:val="single" w:sz="4" w:space="0" w:color="auto"/>
      </w:pBdr>
      <w:spacing w:before="100" w:beforeAutospacing="1" w:after="100" w:afterAutospacing="1"/>
      <w:jc w:val="center"/>
    </w:pPr>
    <w:rPr>
      <w:rFonts w:cs="Times New Roman"/>
      <w:sz w:val="20"/>
      <w:szCs w:val="20"/>
    </w:rPr>
  </w:style>
  <w:style w:type="paragraph" w:customStyle="1" w:styleId="xl109">
    <w:name w:val="xl109"/>
    <w:basedOn w:val="Normlny"/>
    <w:rsid w:val="000F6636"/>
    <w:pPr>
      <w:pBdr>
        <w:right w:val="single" w:sz="4" w:space="0" w:color="auto"/>
      </w:pBdr>
      <w:spacing w:before="100" w:beforeAutospacing="1" w:after="100" w:afterAutospacing="1"/>
    </w:pPr>
    <w:rPr>
      <w:rFonts w:cs="Times New Roman"/>
      <w:sz w:val="20"/>
      <w:szCs w:val="20"/>
    </w:rPr>
  </w:style>
  <w:style w:type="paragraph" w:customStyle="1" w:styleId="xl110">
    <w:name w:val="xl110"/>
    <w:basedOn w:val="Normlny"/>
    <w:rsid w:val="000F6636"/>
    <w:pPr>
      <w:spacing w:before="100" w:beforeAutospacing="1" w:after="100" w:afterAutospacing="1"/>
      <w:jc w:val="center"/>
    </w:pPr>
    <w:rPr>
      <w:rFonts w:cs="Times New Roman"/>
      <w:sz w:val="20"/>
      <w:szCs w:val="20"/>
    </w:rPr>
  </w:style>
  <w:style w:type="paragraph" w:customStyle="1" w:styleId="xl111">
    <w:name w:val="xl111"/>
    <w:basedOn w:val="Normlny"/>
    <w:rsid w:val="000F66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12">
    <w:name w:val="xl112"/>
    <w:basedOn w:val="Normlny"/>
    <w:rsid w:val="000F6636"/>
    <w:pPr>
      <w:pBdr>
        <w:top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13">
    <w:name w:val="xl113"/>
    <w:basedOn w:val="Normlny"/>
    <w:rsid w:val="000F6636"/>
    <w:pPr>
      <w:pBdr>
        <w:right w:val="single" w:sz="4" w:space="0" w:color="auto"/>
      </w:pBdr>
      <w:spacing w:before="100" w:beforeAutospacing="1" w:after="100" w:afterAutospacing="1"/>
      <w:textAlignment w:val="center"/>
    </w:pPr>
    <w:rPr>
      <w:rFonts w:cs="Times New Roman"/>
      <w:sz w:val="20"/>
      <w:szCs w:val="20"/>
    </w:rPr>
  </w:style>
  <w:style w:type="paragraph" w:customStyle="1" w:styleId="xl114">
    <w:name w:val="xl114"/>
    <w:basedOn w:val="Normlny"/>
    <w:rsid w:val="000F6636"/>
    <w:pPr>
      <w:pBdr>
        <w:right w:val="single" w:sz="4" w:space="0" w:color="auto"/>
      </w:pBdr>
      <w:spacing w:before="100" w:beforeAutospacing="1" w:after="100" w:afterAutospacing="1"/>
    </w:pPr>
    <w:rPr>
      <w:rFonts w:cs="Times New Roman"/>
      <w:sz w:val="20"/>
      <w:szCs w:val="20"/>
    </w:rPr>
  </w:style>
  <w:style w:type="paragraph" w:customStyle="1" w:styleId="xl115">
    <w:name w:val="xl115"/>
    <w:basedOn w:val="Normlny"/>
    <w:rsid w:val="000F6636"/>
    <w:pPr>
      <w:pBdr>
        <w:right w:val="single" w:sz="4" w:space="0" w:color="auto"/>
      </w:pBdr>
      <w:spacing w:before="100" w:beforeAutospacing="1" w:after="100" w:afterAutospacing="1"/>
      <w:jc w:val="center"/>
    </w:pPr>
    <w:rPr>
      <w:rFonts w:cs="Times New Roman"/>
      <w:sz w:val="20"/>
      <w:szCs w:val="20"/>
    </w:rPr>
  </w:style>
  <w:style w:type="paragraph" w:customStyle="1" w:styleId="xl116">
    <w:name w:val="xl116"/>
    <w:basedOn w:val="Normlny"/>
    <w:rsid w:val="000F6636"/>
    <w:pPr>
      <w:pBdr>
        <w:left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17">
    <w:name w:val="xl117"/>
    <w:basedOn w:val="Normlny"/>
    <w:rsid w:val="000F6636"/>
    <w:pPr>
      <w:pBdr>
        <w:top w:val="single" w:sz="4" w:space="0" w:color="auto"/>
        <w:bottom w:val="single" w:sz="4" w:space="0" w:color="auto"/>
        <w:right w:val="single" w:sz="4" w:space="0" w:color="auto"/>
      </w:pBdr>
      <w:spacing w:before="100" w:beforeAutospacing="1" w:after="100" w:afterAutospacing="1"/>
      <w:textAlignment w:val="top"/>
    </w:pPr>
    <w:rPr>
      <w:rFonts w:cs="Times New Roman"/>
      <w:b/>
      <w:bCs/>
      <w:sz w:val="20"/>
      <w:szCs w:val="20"/>
    </w:rPr>
  </w:style>
  <w:style w:type="paragraph" w:customStyle="1" w:styleId="xl118">
    <w:name w:val="xl118"/>
    <w:basedOn w:val="Normlny"/>
    <w:rsid w:val="000F66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sz w:val="20"/>
      <w:szCs w:val="20"/>
    </w:rPr>
  </w:style>
  <w:style w:type="paragraph" w:customStyle="1" w:styleId="xl119">
    <w:name w:val="xl119"/>
    <w:basedOn w:val="Normlny"/>
    <w:rsid w:val="000F6636"/>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sz w:val="20"/>
      <w:szCs w:val="20"/>
    </w:rPr>
  </w:style>
  <w:style w:type="paragraph" w:customStyle="1" w:styleId="xl120">
    <w:name w:val="xl120"/>
    <w:basedOn w:val="Normlny"/>
    <w:rsid w:val="000F6636"/>
    <w:pPr>
      <w:pBdr>
        <w:top w:val="single" w:sz="4" w:space="0" w:color="auto"/>
        <w:bottom w:val="single" w:sz="4" w:space="0" w:color="auto"/>
      </w:pBdr>
      <w:spacing w:before="100" w:beforeAutospacing="1" w:after="100" w:afterAutospacing="1"/>
      <w:jc w:val="center"/>
      <w:textAlignment w:val="top"/>
    </w:pPr>
    <w:rPr>
      <w:rFonts w:cs="Times New Roman"/>
      <w:b/>
      <w:bCs/>
      <w:sz w:val="20"/>
      <w:szCs w:val="20"/>
    </w:rPr>
  </w:style>
  <w:style w:type="paragraph" w:customStyle="1" w:styleId="xl121">
    <w:name w:val="xl121"/>
    <w:basedOn w:val="Normlny"/>
    <w:rsid w:val="000F6636"/>
    <w:pPr>
      <w:pBdr>
        <w:bottom w:val="single" w:sz="4" w:space="0" w:color="auto"/>
        <w:right w:val="single" w:sz="4" w:space="0" w:color="auto"/>
      </w:pBdr>
      <w:spacing w:before="100" w:beforeAutospacing="1" w:after="100" w:afterAutospacing="1"/>
    </w:pPr>
    <w:rPr>
      <w:rFonts w:cs="Times New Roman"/>
      <w:sz w:val="20"/>
      <w:szCs w:val="20"/>
    </w:rPr>
  </w:style>
  <w:style w:type="paragraph" w:customStyle="1" w:styleId="xl122">
    <w:name w:val="xl122"/>
    <w:basedOn w:val="Normlny"/>
    <w:rsid w:val="000F6636"/>
    <w:pPr>
      <w:pBdr>
        <w:left w:val="single" w:sz="4" w:space="0" w:color="auto"/>
        <w:bottom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23">
    <w:name w:val="xl123"/>
    <w:basedOn w:val="Normlny"/>
    <w:rsid w:val="000F6636"/>
    <w:pPr>
      <w:pBdr>
        <w:bottom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24">
    <w:name w:val="xl124"/>
    <w:basedOn w:val="Normlny"/>
    <w:rsid w:val="000F6636"/>
    <w:pPr>
      <w:pBdr>
        <w:top w:val="single" w:sz="4" w:space="0" w:color="auto"/>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25">
    <w:name w:val="xl125"/>
    <w:basedOn w:val="Normlny"/>
    <w:rsid w:val="000F6636"/>
    <w:pPr>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26">
    <w:name w:val="xl126"/>
    <w:basedOn w:val="Normlny"/>
    <w:rsid w:val="000F6636"/>
    <w:pPr>
      <w:pBdr>
        <w:top w:val="single" w:sz="4" w:space="0" w:color="auto"/>
        <w:bottom w:val="single" w:sz="4" w:space="0" w:color="auto"/>
      </w:pBdr>
      <w:spacing w:before="100" w:beforeAutospacing="1" w:after="100" w:afterAutospacing="1"/>
      <w:jc w:val="center"/>
    </w:pPr>
    <w:rPr>
      <w:rFonts w:cs="Times New Roman"/>
      <w:b/>
      <w:bCs/>
      <w:sz w:val="20"/>
      <w:szCs w:val="20"/>
    </w:rPr>
  </w:style>
  <w:style w:type="paragraph" w:customStyle="1" w:styleId="xl127">
    <w:name w:val="xl127"/>
    <w:basedOn w:val="Normlny"/>
    <w:rsid w:val="000F6636"/>
    <w:pPr>
      <w:pBdr>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28">
    <w:name w:val="xl128"/>
    <w:basedOn w:val="Normlny"/>
    <w:rsid w:val="000F6636"/>
    <w:pPr>
      <w:pBdr>
        <w:left w:val="single" w:sz="4" w:space="0" w:color="auto"/>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29">
    <w:name w:val="xl129"/>
    <w:basedOn w:val="Normlny"/>
    <w:rsid w:val="000F6636"/>
    <w:pPr>
      <w:pBdr>
        <w:bottom w:val="single" w:sz="4" w:space="0" w:color="auto"/>
      </w:pBdr>
      <w:spacing w:before="100" w:beforeAutospacing="1" w:after="100" w:afterAutospacing="1"/>
      <w:jc w:val="center"/>
      <w:textAlignment w:val="top"/>
    </w:pPr>
    <w:rPr>
      <w:rFonts w:cs="Times New Roman"/>
      <w:b/>
      <w:bCs/>
      <w:sz w:val="20"/>
      <w:szCs w:val="20"/>
    </w:rPr>
  </w:style>
  <w:style w:type="paragraph" w:customStyle="1" w:styleId="xl130">
    <w:name w:val="xl130"/>
    <w:basedOn w:val="Normlny"/>
    <w:rsid w:val="000F6636"/>
    <w:pPr>
      <w:pBdr>
        <w:right w:val="single" w:sz="4" w:space="0" w:color="auto"/>
      </w:pBdr>
      <w:spacing w:before="100" w:beforeAutospacing="1" w:after="100" w:afterAutospacing="1"/>
    </w:pPr>
    <w:rPr>
      <w:rFonts w:cs="Times New Roman"/>
      <w:b/>
      <w:bCs/>
      <w:sz w:val="20"/>
      <w:szCs w:val="20"/>
    </w:rPr>
  </w:style>
  <w:style w:type="paragraph" w:customStyle="1" w:styleId="xl131">
    <w:name w:val="xl131"/>
    <w:basedOn w:val="Normlny"/>
    <w:rsid w:val="000F6636"/>
    <w:pPr>
      <w:pBdr>
        <w:left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32">
    <w:name w:val="xl132"/>
    <w:basedOn w:val="Normlny"/>
    <w:rsid w:val="000F66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
      <w:bCs/>
      <w:sz w:val="20"/>
      <w:szCs w:val="20"/>
    </w:rPr>
  </w:style>
  <w:style w:type="paragraph" w:customStyle="1" w:styleId="xl133">
    <w:name w:val="xl133"/>
    <w:basedOn w:val="Normlny"/>
    <w:rsid w:val="000F6636"/>
    <w:pPr>
      <w:pBdr>
        <w:left w:val="single" w:sz="4" w:space="0" w:color="auto"/>
        <w:right w:val="single" w:sz="4" w:space="0" w:color="auto"/>
      </w:pBdr>
      <w:spacing w:before="100" w:beforeAutospacing="1" w:after="100" w:afterAutospacing="1"/>
    </w:pPr>
    <w:rPr>
      <w:rFonts w:cs="Times New Roman"/>
      <w:sz w:val="20"/>
      <w:szCs w:val="20"/>
    </w:rPr>
  </w:style>
  <w:style w:type="paragraph" w:customStyle="1" w:styleId="xl134">
    <w:name w:val="xl134"/>
    <w:basedOn w:val="Normlny"/>
    <w:rsid w:val="000F6636"/>
    <w:pPr>
      <w:pBdr>
        <w:bottom w:val="single" w:sz="4" w:space="0" w:color="auto"/>
        <w:right w:val="single" w:sz="4" w:space="0" w:color="auto"/>
      </w:pBdr>
      <w:spacing w:before="100" w:beforeAutospacing="1" w:after="100" w:afterAutospacing="1"/>
    </w:pPr>
    <w:rPr>
      <w:rFonts w:cs="Times New Roman"/>
      <w:sz w:val="20"/>
      <w:szCs w:val="20"/>
    </w:rPr>
  </w:style>
  <w:style w:type="paragraph" w:customStyle="1" w:styleId="xl135">
    <w:name w:val="xl135"/>
    <w:basedOn w:val="Normlny"/>
    <w:rsid w:val="000F6636"/>
    <w:pPr>
      <w:pBdr>
        <w:left w:val="single" w:sz="4" w:space="0" w:color="auto"/>
        <w:bottom w:val="single" w:sz="4" w:space="0" w:color="auto"/>
        <w:right w:val="single" w:sz="4" w:space="0" w:color="auto"/>
      </w:pBdr>
      <w:spacing w:before="100" w:beforeAutospacing="1" w:after="100" w:afterAutospacing="1"/>
    </w:pPr>
    <w:rPr>
      <w:rFonts w:cs="Times New Roman"/>
      <w:sz w:val="20"/>
      <w:szCs w:val="20"/>
    </w:rPr>
  </w:style>
  <w:style w:type="paragraph" w:customStyle="1" w:styleId="xl136">
    <w:name w:val="xl136"/>
    <w:basedOn w:val="Normlny"/>
    <w:rsid w:val="000F6636"/>
    <w:pPr>
      <w:pBdr>
        <w:bottom w:val="single" w:sz="4" w:space="0" w:color="auto"/>
      </w:pBdr>
      <w:spacing w:before="100" w:beforeAutospacing="1" w:after="100" w:afterAutospacing="1"/>
      <w:jc w:val="center"/>
    </w:pPr>
    <w:rPr>
      <w:rFonts w:cs="Times New Roman"/>
      <w:sz w:val="20"/>
      <w:szCs w:val="20"/>
    </w:rPr>
  </w:style>
  <w:style w:type="paragraph" w:customStyle="1" w:styleId="xl137">
    <w:name w:val="xl137"/>
    <w:basedOn w:val="Normlny"/>
    <w:rsid w:val="000F6636"/>
    <w:pPr>
      <w:pBdr>
        <w:top w:val="single" w:sz="4" w:space="0" w:color="auto"/>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38">
    <w:name w:val="xl138"/>
    <w:basedOn w:val="Normlny"/>
    <w:rsid w:val="000F6636"/>
    <w:pPr>
      <w:pBdr>
        <w:left w:val="single" w:sz="4" w:space="0" w:color="auto"/>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39">
    <w:name w:val="xl139"/>
    <w:basedOn w:val="Normlny"/>
    <w:rsid w:val="000F6636"/>
    <w:pPr>
      <w:pBdr>
        <w:top w:val="single" w:sz="4" w:space="0" w:color="auto"/>
        <w:bottom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40">
    <w:name w:val="xl140"/>
    <w:basedOn w:val="Normlny"/>
    <w:rsid w:val="000F6636"/>
    <w:pPr>
      <w:pBdr>
        <w:left w:val="single" w:sz="4" w:space="0" w:color="auto"/>
        <w:bottom w:val="single" w:sz="4" w:space="0" w:color="auto"/>
        <w:right w:val="single" w:sz="4" w:space="0" w:color="auto"/>
      </w:pBdr>
      <w:spacing w:before="100" w:beforeAutospacing="1" w:after="100" w:afterAutospacing="1"/>
      <w:textAlignment w:val="top"/>
    </w:pPr>
    <w:rPr>
      <w:rFonts w:cs="Times New Roman"/>
      <w:b/>
      <w:bCs/>
      <w:sz w:val="20"/>
      <w:szCs w:val="20"/>
    </w:rPr>
  </w:style>
  <w:style w:type="paragraph" w:customStyle="1" w:styleId="xl141">
    <w:name w:val="xl141"/>
    <w:basedOn w:val="Normlny"/>
    <w:rsid w:val="000F6636"/>
    <w:pPr>
      <w:pBdr>
        <w:bottom w:val="single" w:sz="4" w:space="0" w:color="auto"/>
      </w:pBdr>
      <w:spacing w:before="100" w:beforeAutospacing="1" w:after="100" w:afterAutospacing="1"/>
      <w:textAlignment w:val="top"/>
    </w:pPr>
    <w:rPr>
      <w:rFonts w:cs="Times New Roman"/>
      <w:b/>
      <w:bCs/>
      <w:sz w:val="20"/>
      <w:szCs w:val="20"/>
    </w:rPr>
  </w:style>
  <w:style w:type="paragraph" w:customStyle="1" w:styleId="xl142">
    <w:name w:val="xl142"/>
    <w:basedOn w:val="Normlny"/>
    <w:rsid w:val="000F6636"/>
    <w:pPr>
      <w:pBdr>
        <w:top w:val="single" w:sz="4" w:space="0" w:color="auto"/>
        <w:bottom w:val="single" w:sz="4" w:space="0" w:color="auto"/>
      </w:pBdr>
      <w:spacing w:before="100" w:beforeAutospacing="1" w:after="100" w:afterAutospacing="1"/>
      <w:jc w:val="center"/>
    </w:pPr>
    <w:rPr>
      <w:rFonts w:cs="Times New Roman"/>
      <w:b/>
      <w:bCs/>
      <w:sz w:val="20"/>
      <w:szCs w:val="20"/>
    </w:rPr>
  </w:style>
  <w:style w:type="paragraph" w:customStyle="1" w:styleId="xl143">
    <w:name w:val="xl143"/>
    <w:basedOn w:val="Normlny"/>
    <w:rsid w:val="000F6636"/>
    <w:pPr>
      <w:pBdr>
        <w:left w:val="single" w:sz="4" w:space="0" w:color="auto"/>
        <w:right w:val="single" w:sz="4" w:space="0" w:color="auto"/>
      </w:pBdr>
      <w:spacing w:before="100" w:beforeAutospacing="1" w:after="100" w:afterAutospacing="1"/>
    </w:pPr>
    <w:rPr>
      <w:rFonts w:cs="Times New Roman"/>
      <w:sz w:val="20"/>
      <w:szCs w:val="20"/>
    </w:rPr>
  </w:style>
  <w:style w:type="paragraph" w:customStyle="1" w:styleId="xl144">
    <w:name w:val="xl144"/>
    <w:basedOn w:val="Normlny"/>
    <w:rsid w:val="000F6636"/>
    <w:pPr>
      <w:spacing w:before="100" w:beforeAutospacing="1" w:after="100" w:afterAutospacing="1"/>
    </w:pPr>
    <w:rPr>
      <w:rFonts w:cs="Times New Roman"/>
      <w:sz w:val="20"/>
      <w:szCs w:val="20"/>
    </w:rPr>
  </w:style>
  <w:style w:type="paragraph" w:customStyle="1" w:styleId="xl145">
    <w:name w:val="xl145"/>
    <w:basedOn w:val="Normlny"/>
    <w:rsid w:val="000F6636"/>
    <w:pPr>
      <w:pBdr>
        <w:bottom w:val="single" w:sz="4" w:space="0" w:color="auto"/>
      </w:pBdr>
      <w:spacing w:before="100" w:beforeAutospacing="1" w:after="100" w:afterAutospacing="1"/>
    </w:pPr>
    <w:rPr>
      <w:rFonts w:cs="Times New Roman"/>
      <w:sz w:val="20"/>
      <w:szCs w:val="20"/>
    </w:rPr>
  </w:style>
  <w:style w:type="paragraph" w:customStyle="1" w:styleId="xl146">
    <w:name w:val="xl146"/>
    <w:basedOn w:val="Normlny"/>
    <w:rsid w:val="000F6636"/>
    <w:pPr>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b/>
      <w:bCs/>
      <w:sz w:val="20"/>
      <w:szCs w:val="20"/>
    </w:rPr>
  </w:style>
  <w:style w:type="paragraph" w:customStyle="1" w:styleId="xl147">
    <w:name w:val="xl147"/>
    <w:basedOn w:val="Normlny"/>
    <w:rsid w:val="000F6636"/>
    <w:pPr>
      <w:shd w:val="clear" w:color="000000" w:fill="FFFF00"/>
      <w:spacing w:before="100" w:beforeAutospacing="1" w:after="100" w:afterAutospacing="1"/>
      <w:jc w:val="center"/>
    </w:pPr>
    <w:rPr>
      <w:rFonts w:cs="Times New Roman"/>
      <w:sz w:val="20"/>
      <w:szCs w:val="20"/>
    </w:rPr>
  </w:style>
  <w:style w:type="paragraph" w:customStyle="1" w:styleId="xl148">
    <w:name w:val="xl148"/>
    <w:basedOn w:val="Normlny"/>
    <w:rsid w:val="000F6636"/>
    <w:pPr>
      <w:pBdr>
        <w:right w:val="single" w:sz="4" w:space="0" w:color="auto"/>
      </w:pBdr>
      <w:spacing w:before="100" w:beforeAutospacing="1" w:after="100" w:afterAutospacing="1"/>
      <w:jc w:val="center"/>
    </w:pPr>
    <w:rPr>
      <w:rFonts w:cs="Times New Roman"/>
      <w:sz w:val="20"/>
      <w:szCs w:val="20"/>
    </w:rPr>
  </w:style>
  <w:style w:type="paragraph" w:customStyle="1" w:styleId="xl149">
    <w:name w:val="xl149"/>
    <w:basedOn w:val="Normlny"/>
    <w:rsid w:val="000F6636"/>
    <w:pPr>
      <w:pBdr>
        <w:top w:val="single" w:sz="4" w:space="0" w:color="auto"/>
        <w:bottom w:val="single" w:sz="4" w:space="0" w:color="auto"/>
      </w:pBdr>
      <w:spacing w:before="100" w:beforeAutospacing="1" w:after="100" w:afterAutospacing="1"/>
      <w:jc w:val="center"/>
    </w:pPr>
    <w:rPr>
      <w:rFonts w:cs="Times New Roman"/>
      <w:b/>
      <w:bCs/>
      <w:sz w:val="20"/>
      <w:szCs w:val="20"/>
    </w:rPr>
  </w:style>
  <w:style w:type="paragraph" w:customStyle="1" w:styleId="xl150">
    <w:name w:val="xl150"/>
    <w:basedOn w:val="Normlny"/>
    <w:rsid w:val="000F6636"/>
    <w:pPr>
      <w:pBdr>
        <w:top w:val="single" w:sz="4" w:space="0" w:color="auto"/>
        <w:bottom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51">
    <w:name w:val="xl151"/>
    <w:basedOn w:val="Normlny"/>
    <w:rsid w:val="000F6636"/>
    <w:pPr>
      <w:pBdr>
        <w:bottom w:val="single" w:sz="4" w:space="0" w:color="auto"/>
      </w:pBdr>
      <w:spacing w:before="100" w:beforeAutospacing="1" w:after="100" w:afterAutospacing="1"/>
      <w:jc w:val="center"/>
      <w:textAlignment w:val="top"/>
    </w:pPr>
    <w:rPr>
      <w:rFonts w:cs="Times New Roman"/>
      <w:b/>
      <w:bCs/>
      <w:sz w:val="20"/>
      <w:szCs w:val="20"/>
    </w:rPr>
  </w:style>
  <w:style w:type="paragraph" w:customStyle="1" w:styleId="xl152">
    <w:name w:val="xl152"/>
    <w:basedOn w:val="Normlny"/>
    <w:rsid w:val="000F6636"/>
    <w:pPr>
      <w:spacing w:before="100" w:beforeAutospacing="1" w:after="100" w:afterAutospacing="1"/>
      <w:jc w:val="center"/>
    </w:pPr>
    <w:rPr>
      <w:rFonts w:cs="Times New Roman"/>
      <w:b/>
      <w:bCs/>
      <w:sz w:val="20"/>
      <w:szCs w:val="20"/>
    </w:rPr>
  </w:style>
  <w:style w:type="paragraph" w:customStyle="1" w:styleId="xl153">
    <w:name w:val="xl153"/>
    <w:basedOn w:val="Normlny"/>
    <w:rsid w:val="000F6636"/>
    <w:pPr>
      <w:pBdr>
        <w:right w:val="single" w:sz="4" w:space="0" w:color="auto"/>
      </w:pBdr>
      <w:spacing w:before="100" w:beforeAutospacing="1" w:after="100" w:afterAutospacing="1"/>
      <w:jc w:val="center"/>
    </w:pPr>
    <w:rPr>
      <w:rFonts w:cs="Times New Roman"/>
      <w:sz w:val="20"/>
      <w:szCs w:val="20"/>
    </w:rPr>
  </w:style>
  <w:style w:type="paragraph" w:customStyle="1" w:styleId="xl154">
    <w:name w:val="xl154"/>
    <w:basedOn w:val="Normlny"/>
    <w:rsid w:val="000F6636"/>
    <w:pPr>
      <w:spacing w:before="100" w:beforeAutospacing="1" w:after="100" w:afterAutospacing="1"/>
      <w:jc w:val="center"/>
    </w:pPr>
    <w:rPr>
      <w:rFonts w:cs="Times New Roman"/>
      <w:sz w:val="20"/>
      <w:szCs w:val="20"/>
    </w:rPr>
  </w:style>
  <w:style w:type="paragraph" w:customStyle="1" w:styleId="xl155">
    <w:name w:val="xl155"/>
    <w:basedOn w:val="Normlny"/>
    <w:rsid w:val="000F6636"/>
    <w:pPr>
      <w:pBdr>
        <w:top w:val="single" w:sz="4" w:space="0" w:color="auto"/>
        <w:bottom w:val="single" w:sz="4" w:space="0" w:color="auto"/>
      </w:pBdr>
      <w:spacing w:before="100" w:beforeAutospacing="1" w:after="100" w:afterAutospacing="1"/>
      <w:jc w:val="center"/>
      <w:textAlignment w:val="top"/>
    </w:pPr>
    <w:rPr>
      <w:rFonts w:cs="Times New Roman"/>
      <w:b/>
      <w:bCs/>
      <w:sz w:val="20"/>
      <w:szCs w:val="20"/>
    </w:rPr>
  </w:style>
  <w:style w:type="paragraph" w:customStyle="1" w:styleId="xl156">
    <w:name w:val="xl156"/>
    <w:basedOn w:val="Normlny"/>
    <w:rsid w:val="000F6636"/>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b/>
      <w:bCs/>
      <w:sz w:val="20"/>
      <w:szCs w:val="20"/>
    </w:rPr>
  </w:style>
  <w:style w:type="paragraph" w:customStyle="1" w:styleId="xl157">
    <w:name w:val="xl157"/>
    <w:basedOn w:val="Normlny"/>
    <w:rsid w:val="000F6636"/>
    <w:pPr>
      <w:pBdr>
        <w:left w:val="single" w:sz="4" w:space="0" w:color="auto"/>
        <w:bottom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58">
    <w:name w:val="xl158"/>
    <w:basedOn w:val="Normlny"/>
    <w:rsid w:val="000F6636"/>
    <w:pPr>
      <w:pBdr>
        <w:top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59">
    <w:name w:val="xl159"/>
    <w:basedOn w:val="Normlny"/>
    <w:rsid w:val="000F6636"/>
    <w:pPr>
      <w:pBdr>
        <w:top w:val="single" w:sz="4" w:space="0" w:color="auto"/>
        <w:bottom w:val="single" w:sz="4" w:space="0" w:color="auto"/>
      </w:pBdr>
      <w:spacing w:before="100" w:beforeAutospacing="1" w:after="100" w:afterAutospacing="1"/>
      <w:jc w:val="center"/>
      <w:textAlignment w:val="center"/>
    </w:pPr>
    <w:rPr>
      <w:rFonts w:cs="Times New Roman"/>
      <w:b/>
      <w:bCs/>
      <w:sz w:val="20"/>
      <w:szCs w:val="20"/>
    </w:rPr>
  </w:style>
  <w:style w:type="paragraph" w:customStyle="1" w:styleId="xl160">
    <w:name w:val="xl160"/>
    <w:basedOn w:val="Normlny"/>
    <w:rsid w:val="000F6636"/>
    <w:pPr>
      <w:pBdr>
        <w:left w:val="single" w:sz="4" w:space="0" w:color="auto"/>
        <w:bottom w:val="single" w:sz="4" w:space="0" w:color="auto"/>
      </w:pBdr>
      <w:spacing w:before="100" w:beforeAutospacing="1" w:after="100" w:afterAutospacing="1"/>
      <w:jc w:val="center"/>
    </w:pPr>
    <w:rPr>
      <w:rFonts w:cs="Times New Roman"/>
      <w:b/>
      <w:bCs/>
      <w:sz w:val="20"/>
      <w:szCs w:val="20"/>
    </w:rPr>
  </w:style>
  <w:style w:type="paragraph" w:customStyle="1" w:styleId="xl161">
    <w:name w:val="xl161"/>
    <w:basedOn w:val="Normlny"/>
    <w:rsid w:val="000F6636"/>
    <w:pPr>
      <w:pBdr>
        <w:top w:val="single" w:sz="4" w:space="0" w:color="auto"/>
        <w:bottom w:val="single" w:sz="4" w:space="0" w:color="auto"/>
        <w:right w:val="single" w:sz="4" w:space="0" w:color="auto"/>
      </w:pBdr>
      <w:spacing w:before="100" w:beforeAutospacing="1" w:after="100" w:afterAutospacing="1"/>
      <w:jc w:val="center"/>
    </w:pPr>
    <w:rPr>
      <w:rFonts w:cs="Times New Roman"/>
      <w:b/>
      <w:bCs/>
      <w:sz w:val="20"/>
      <w:szCs w:val="20"/>
    </w:rPr>
  </w:style>
  <w:style w:type="paragraph" w:customStyle="1" w:styleId="xl162">
    <w:name w:val="xl162"/>
    <w:basedOn w:val="Normlny"/>
    <w:rsid w:val="000F6636"/>
    <w:pPr>
      <w:pBdr>
        <w:bottom w:val="single" w:sz="4" w:space="0" w:color="auto"/>
      </w:pBdr>
      <w:spacing w:before="100" w:beforeAutospacing="1" w:after="100" w:afterAutospacing="1"/>
      <w:jc w:val="center"/>
    </w:pPr>
    <w:rPr>
      <w:rFonts w:cs="Times New Roman"/>
      <w:b/>
      <w:bCs/>
      <w:sz w:val="20"/>
      <w:szCs w:val="20"/>
    </w:rPr>
  </w:style>
  <w:style w:type="paragraph" w:customStyle="1" w:styleId="xl163">
    <w:name w:val="xl163"/>
    <w:basedOn w:val="Normlny"/>
    <w:rsid w:val="000F6636"/>
    <w:pPr>
      <w:pBdr>
        <w:bottom w:val="single" w:sz="4" w:space="0" w:color="auto"/>
        <w:right w:val="single" w:sz="4" w:space="0" w:color="auto"/>
      </w:pBdr>
      <w:spacing w:before="100" w:beforeAutospacing="1" w:after="100" w:afterAutospacing="1"/>
      <w:jc w:val="center"/>
    </w:pPr>
    <w:rPr>
      <w:rFonts w:cs="Times New Roman"/>
      <w:b/>
      <w:bCs/>
      <w:sz w:val="20"/>
      <w:szCs w:val="20"/>
    </w:rPr>
  </w:style>
  <w:style w:type="paragraph" w:customStyle="1" w:styleId="xl164">
    <w:name w:val="xl164"/>
    <w:basedOn w:val="Normlny"/>
    <w:rsid w:val="000F6636"/>
    <w:pPr>
      <w:spacing w:before="100" w:beforeAutospacing="1" w:after="100" w:afterAutospacing="1"/>
      <w:jc w:val="center"/>
    </w:pPr>
    <w:rPr>
      <w:rFonts w:cs="Times New Roman"/>
      <w:sz w:val="20"/>
      <w:szCs w:val="20"/>
    </w:rPr>
  </w:style>
  <w:style w:type="paragraph" w:customStyle="1" w:styleId="xl165">
    <w:name w:val="xl165"/>
    <w:basedOn w:val="Normlny"/>
    <w:rsid w:val="000F6636"/>
    <w:pPr>
      <w:pBdr>
        <w:top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66">
    <w:name w:val="xl166"/>
    <w:basedOn w:val="Normlny"/>
    <w:rsid w:val="000F6636"/>
    <w:pPr>
      <w:pBdr>
        <w:right w:val="single" w:sz="4" w:space="0" w:color="auto"/>
      </w:pBdr>
      <w:spacing w:before="100" w:beforeAutospacing="1" w:after="100" w:afterAutospacing="1"/>
      <w:jc w:val="center"/>
    </w:pPr>
    <w:rPr>
      <w:rFonts w:cs="Times New Roman"/>
      <w:sz w:val="20"/>
      <w:szCs w:val="20"/>
    </w:rPr>
  </w:style>
  <w:style w:type="paragraph" w:customStyle="1" w:styleId="xl167">
    <w:name w:val="xl167"/>
    <w:basedOn w:val="Normlny"/>
    <w:rsid w:val="000F6636"/>
    <w:pPr>
      <w:pBdr>
        <w:left w:val="single" w:sz="4" w:space="0" w:color="auto"/>
      </w:pBdr>
      <w:spacing w:before="100" w:beforeAutospacing="1" w:after="100" w:afterAutospacing="1"/>
      <w:jc w:val="center"/>
    </w:pPr>
    <w:rPr>
      <w:rFonts w:cs="Times New Roman"/>
      <w:sz w:val="20"/>
      <w:szCs w:val="20"/>
    </w:rPr>
  </w:style>
  <w:style w:type="paragraph" w:customStyle="1" w:styleId="xl168">
    <w:name w:val="xl168"/>
    <w:basedOn w:val="Normlny"/>
    <w:rsid w:val="000F6636"/>
    <w:pPr>
      <w:pBdr>
        <w:bottom w:val="single" w:sz="4" w:space="0" w:color="auto"/>
      </w:pBdr>
      <w:spacing w:before="100" w:beforeAutospacing="1" w:after="100" w:afterAutospacing="1"/>
      <w:jc w:val="center"/>
    </w:pPr>
    <w:rPr>
      <w:rFonts w:cs="Times New Roman"/>
      <w:sz w:val="20"/>
      <w:szCs w:val="20"/>
    </w:rPr>
  </w:style>
  <w:style w:type="paragraph" w:customStyle="1" w:styleId="xl169">
    <w:name w:val="xl169"/>
    <w:basedOn w:val="Normlny"/>
    <w:rsid w:val="000F6636"/>
    <w:pPr>
      <w:pBdr>
        <w:bottom w:val="single" w:sz="4" w:space="0" w:color="auto"/>
        <w:right w:val="single" w:sz="4" w:space="0" w:color="auto"/>
      </w:pBdr>
      <w:spacing w:before="100" w:beforeAutospacing="1" w:after="100" w:afterAutospacing="1"/>
      <w:jc w:val="center"/>
    </w:pPr>
    <w:rPr>
      <w:rFonts w:cs="Times New Roman"/>
      <w:sz w:val="20"/>
      <w:szCs w:val="20"/>
    </w:rPr>
  </w:style>
  <w:style w:type="paragraph" w:customStyle="1" w:styleId="xl170">
    <w:name w:val="xl170"/>
    <w:basedOn w:val="Normlny"/>
    <w:rsid w:val="000F6636"/>
    <w:pPr>
      <w:spacing w:before="100" w:beforeAutospacing="1" w:after="100" w:afterAutospacing="1"/>
      <w:jc w:val="center"/>
      <w:textAlignment w:val="center"/>
    </w:pPr>
    <w:rPr>
      <w:rFonts w:cs="Times New Roman"/>
      <w:sz w:val="20"/>
      <w:szCs w:val="20"/>
    </w:rPr>
  </w:style>
  <w:style w:type="paragraph" w:customStyle="1" w:styleId="xl171">
    <w:name w:val="xl171"/>
    <w:basedOn w:val="Normlny"/>
    <w:rsid w:val="000F6636"/>
    <w:pPr>
      <w:pBdr>
        <w:right w:val="single" w:sz="4" w:space="0" w:color="auto"/>
      </w:pBdr>
      <w:spacing w:before="100" w:beforeAutospacing="1" w:after="100" w:afterAutospacing="1"/>
      <w:jc w:val="center"/>
      <w:textAlignment w:val="center"/>
    </w:pPr>
    <w:rPr>
      <w:rFonts w:cs="Times New Roman"/>
      <w:sz w:val="20"/>
      <w:szCs w:val="20"/>
    </w:rPr>
  </w:style>
  <w:style w:type="paragraph" w:customStyle="1" w:styleId="xl172">
    <w:name w:val="xl172"/>
    <w:basedOn w:val="Normlny"/>
    <w:rsid w:val="000F6636"/>
    <w:pPr>
      <w:pBdr>
        <w:bottom w:val="single" w:sz="4" w:space="0" w:color="auto"/>
      </w:pBdr>
      <w:spacing w:before="100" w:beforeAutospacing="1" w:after="100" w:afterAutospacing="1"/>
      <w:jc w:val="center"/>
    </w:pPr>
    <w:rPr>
      <w:rFonts w:cs="Times New Roman"/>
      <w:sz w:val="20"/>
      <w:szCs w:val="20"/>
    </w:rPr>
  </w:style>
  <w:style w:type="paragraph" w:customStyle="1" w:styleId="xl174">
    <w:name w:val="xl174"/>
    <w:basedOn w:val="Normlny"/>
    <w:rsid w:val="000F6636"/>
    <w:pPr>
      <w:spacing w:before="100" w:beforeAutospacing="1" w:after="100" w:afterAutospacing="1"/>
      <w:jc w:val="center"/>
    </w:pPr>
    <w:rPr>
      <w:rFonts w:ascii="Times New Roman" w:hAnsi="Times New Roman" w:cs="Times New Roman"/>
      <w:sz w:val="24"/>
      <w:szCs w:val="24"/>
    </w:rPr>
  </w:style>
  <w:style w:type="paragraph" w:customStyle="1" w:styleId="xl175">
    <w:name w:val="xl175"/>
    <w:basedOn w:val="Normlny"/>
    <w:rsid w:val="000F6636"/>
    <w:pPr>
      <w:pBdr>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6">
    <w:name w:val="xl176"/>
    <w:basedOn w:val="Normlny"/>
    <w:rsid w:val="000F6636"/>
    <w:pPr>
      <w:spacing w:before="100" w:beforeAutospacing="1" w:after="100" w:afterAutospacing="1"/>
      <w:jc w:val="center"/>
      <w:textAlignment w:val="center"/>
    </w:pPr>
    <w:rPr>
      <w:rFonts w:cs="Times New Roman"/>
      <w:sz w:val="20"/>
      <w:szCs w:val="20"/>
    </w:rPr>
  </w:style>
  <w:style w:type="paragraph" w:customStyle="1" w:styleId="xl177">
    <w:name w:val="xl177"/>
    <w:basedOn w:val="Normlny"/>
    <w:rsid w:val="000F6636"/>
    <w:pPr>
      <w:pBdr>
        <w:top w:val="single" w:sz="4" w:space="0" w:color="auto"/>
        <w:bottom w:val="single" w:sz="4" w:space="0" w:color="auto"/>
      </w:pBdr>
      <w:spacing w:before="100" w:beforeAutospacing="1" w:after="100" w:afterAutospacing="1"/>
      <w:jc w:val="center"/>
    </w:pPr>
    <w:rPr>
      <w:rFonts w:cs="Times New Roman"/>
      <w:b/>
      <w:bCs/>
      <w:sz w:val="20"/>
      <w:szCs w:val="20"/>
    </w:rPr>
  </w:style>
  <w:style w:type="paragraph" w:customStyle="1" w:styleId="xl178">
    <w:name w:val="xl178"/>
    <w:basedOn w:val="Normlny"/>
    <w:rsid w:val="000F6636"/>
    <w:pPr>
      <w:pBdr>
        <w:bottom w:val="single" w:sz="4" w:space="0" w:color="auto"/>
      </w:pBdr>
      <w:spacing w:before="100" w:beforeAutospacing="1" w:after="100" w:afterAutospacing="1"/>
      <w:jc w:val="center"/>
    </w:pPr>
    <w:rPr>
      <w:rFonts w:cs="Times New Roman"/>
      <w:b/>
      <w:bCs/>
      <w:sz w:val="20"/>
      <w:szCs w:val="20"/>
    </w:rPr>
  </w:style>
  <w:style w:type="paragraph" w:customStyle="1" w:styleId="xl179">
    <w:name w:val="xl179"/>
    <w:basedOn w:val="Normlny"/>
    <w:rsid w:val="000F6636"/>
    <w:pPr>
      <w:spacing w:before="100" w:beforeAutospacing="1" w:after="100" w:afterAutospacing="1"/>
      <w:jc w:val="center"/>
    </w:pPr>
    <w:rPr>
      <w:rFonts w:ascii="Times New Roman" w:hAnsi="Times New Roman" w:cs="Times New Roman"/>
      <w:sz w:val="24"/>
      <w:szCs w:val="24"/>
    </w:rPr>
  </w:style>
  <w:style w:type="numbering" w:customStyle="1" w:styleId="Bezzoznamu1">
    <w:name w:val="Bez zoznamu1"/>
    <w:next w:val="Bezzoznamu"/>
    <w:uiPriority w:val="99"/>
    <w:semiHidden/>
    <w:unhideWhenUsed/>
    <w:rsid w:val="000F6636"/>
  </w:style>
  <w:style w:type="table" w:customStyle="1" w:styleId="Mriekatabuky3">
    <w:name w:val="Mriežka tabuľky3"/>
    <w:basedOn w:val="Normlnatabuka"/>
    <w:next w:val="Mriekatabuky"/>
    <w:uiPriority w:val="39"/>
    <w:rsid w:val="000F6636"/>
    <w:rPr>
      <w:rFonts w:asciiTheme="minorHAnsi" w:hAnsiTheme="minorHAns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41">
    <w:name w:val="Obsah 41"/>
    <w:basedOn w:val="Normlny"/>
    <w:next w:val="Normlny"/>
    <w:autoRedefine/>
    <w:uiPriority w:val="39"/>
    <w:unhideWhenUsed/>
    <w:rsid w:val="000F6636"/>
    <w:pPr>
      <w:spacing w:after="100" w:line="276" w:lineRule="auto"/>
      <w:ind w:left="660"/>
    </w:pPr>
    <w:rPr>
      <w:rFonts w:asciiTheme="minorHAnsi" w:hAnsiTheme="minorHAnsi" w:cs="Times New Roman"/>
    </w:rPr>
  </w:style>
  <w:style w:type="paragraph" w:customStyle="1" w:styleId="Obsah51">
    <w:name w:val="Obsah 51"/>
    <w:basedOn w:val="Normlny"/>
    <w:next w:val="Normlny"/>
    <w:autoRedefine/>
    <w:uiPriority w:val="39"/>
    <w:unhideWhenUsed/>
    <w:rsid w:val="000F6636"/>
    <w:pPr>
      <w:spacing w:after="100" w:line="276" w:lineRule="auto"/>
      <w:ind w:left="880"/>
    </w:pPr>
    <w:rPr>
      <w:rFonts w:asciiTheme="minorHAnsi" w:hAnsiTheme="minorHAnsi" w:cs="Times New Roman"/>
    </w:rPr>
  </w:style>
  <w:style w:type="paragraph" w:customStyle="1" w:styleId="Obsah61">
    <w:name w:val="Obsah 61"/>
    <w:basedOn w:val="Normlny"/>
    <w:next w:val="Normlny"/>
    <w:autoRedefine/>
    <w:uiPriority w:val="39"/>
    <w:unhideWhenUsed/>
    <w:rsid w:val="000F6636"/>
    <w:pPr>
      <w:spacing w:after="100" w:line="276" w:lineRule="auto"/>
      <w:ind w:left="1100"/>
    </w:pPr>
    <w:rPr>
      <w:rFonts w:asciiTheme="minorHAnsi" w:hAnsiTheme="minorHAnsi" w:cs="Times New Roman"/>
    </w:rPr>
  </w:style>
  <w:style w:type="paragraph" w:customStyle="1" w:styleId="Obsah71">
    <w:name w:val="Obsah 71"/>
    <w:basedOn w:val="Normlny"/>
    <w:next w:val="Normlny"/>
    <w:autoRedefine/>
    <w:uiPriority w:val="39"/>
    <w:unhideWhenUsed/>
    <w:rsid w:val="000F6636"/>
    <w:pPr>
      <w:spacing w:after="100" w:line="276" w:lineRule="auto"/>
      <w:ind w:left="1320"/>
    </w:pPr>
    <w:rPr>
      <w:rFonts w:asciiTheme="minorHAnsi" w:hAnsiTheme="minorHAnsi" w:cs="Times New Roman"/>
    </w:rPr>
  </w:style>
  <w:style w:type="paragraph" w:customStyle="1" w:styleId="Obsah91">
    <w:name w:val="Obsah 91"/>
    <w:basedOn w:val="Normlny"/>
    <w:next w:val="Normlny"/>
    <w:autoRedefine/>
    <w:uiPriority w:val="39"/>
    <w:unhideWhenUsed/>
    <w:rsid w:val="000F6636"/>
    <w:pPr>
      <w:spacing w:after="100" w:line="276" w:lineRule="auto"/>
      <w:ind w:left="1760"/>
    </w:pPr>
    <w:rPr>
      <w:rFonts w:asciiTheme="minorHAnsi" w:hAnsiTheme="minorHAnsi" w:cs="Times New Roman"/>
    </w:rPr>
  </w:style>
  <w:style w:type="table" w:customStyle="1" w:styleId="Mriekatabuky11">
    <w:name w:val="Mriežka tabuľky11"/>
    <w:basedOn w:val="Normlnatabuka"/>
    <w:next w:val="Mriekatabuky"/>
    <w:uiPriority w:val="59"/>
    <w:rsid w:val="000F6636"/>
    <w:rPr>
      <w:rFonts w:asciiTheme="minorHAnsi" w:hAnsiTheme="minorHAns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607">
      <w:bodyDiv w:val="1"/>
      <w:marLeft w:val="0"/>
      <w:marRight w:val="0"/>
      <w:marTop w:val="0"/>
      <w:marBottom w:val="0"/>
      <w:divBdr>
        <w:top w:val="none" w:sz="0" w:space="0" w:color="auto"/>
        <w:left w:val="none" w:sz="0" w:space="0" w:color="auto"/>
        <w:bottom w:val="none" w:sz="0" w:space="0" w:color="auto"/>
        <w:right w:val="none" w:sz="0" w:space="0" w:color="auto"/>
      </w:divBdr>
    </w:div>
    <w:div w:id="10956928">
      <w:bodyDiv w:val="1"/>
      <w:marLeft w:val="0"/>
      <w:marRight w:val="0"/>
      <w:marTop w:val="0"/>
      <w:marBottom w:val="0"/>
      <w:divBdr>
        <w:top w:val="none" w:sz="0" w:space="0" w:color="auto"/>
        <w:left w:val="none" w:sz="0" w:space="0" w:color="auto"/>
        <w:bottom w:val="none" w:sz="0" w:space="0" w:color="auto"/>
        <w:right w:val="none" w:sz="0" w:space="0" w:color="auto"/>
      </w:divBdr>
    </w:div>
    <w:div w:id="15664670">
      <w:bodyDiv w:val="1"/>
      <w:marLeft w:val="0"/>
      <w:marRight w:val="0"/>
      <w:marTop w:val="0"/>
      <w:marBottom w:val="0"/>
      <w:divBdr>
        <w:top w:val="none" w:sz="0" w:space="0" w:color="auto"/>
        <w:left w:val="none" w:sz="0" w:space="0" w:color="auto"/>
        <w:bottom w:val="none" w:sz="0" w:space="0" w:color="auto"/>
        <w:right w:val="none" w:sz="0" w:space="0" w:color="auto"/>
      </w:divBdr>
    </w:div>
    <w:div w:id="16465984">
      <w:bodyDiv w:val="1"/>
      <w:marLeft w:val="0"/>
      <w:marRight w:val="0"/>
      <w:marTop w:val="0"/>
      <w:marBottom w:val="0"/>
      <w:divBdr>
        <w:top w:val="none" w:sz="0" w:space="0" w:color="auto"/>
        <w:left w:val="none" w:sz="0" w:space="0" w:color="auto"/>
        <w:bottom w:val="none" w:sz="0" w:space="0" w:color="auto"/>
        <w:right w:val="none" w:sz="0" w:space="0" w:color="auto"/>
      </w:divBdr>
    </w:div>
    <w:div w:id="16975182">
      <w:bodyDiv w:val="1"/>
      <w:marLeft w:val="0"/>
      <w:marRight w:val="0"/>
      <w:marTop w:val="0"/>
      <w:marBottom w:val="0"/>
      <w:divBdr>
        <w:top w:val="none" w:sz="0" w:space="0" w:color="auto"/>
        <w:left w:val="none" w:sz="0" w:space="0" w:color="auto"/>
        <w:bottom w:val="none" w:sz="0" w:space="0" w:color="auto"/>
        <w:right w:val="none" w:sz="0" w:space="0" w:color="auto"/>
      </w:divBdr>
    </w:div>
    <w:div w:id="18313160">
      <w:bodyDiv w:val="1"/>
      <w:marLeft w:val="0"/>
      <w:marRight w:val="0"/>
      <w:marTop w:val="0"/>
      <w:marBottom w:val="0"/>
      <w:divBdr>
        <w:top w:val="none" w:sz="0" w:space="0" w:color="auto"/>
        <w:left w:val="none" w:sz="0" w:space="0" w:color="auto"/>
        <w:bottom w:val="none" w:sz="0" w:space="0" w:color="auto"/>
        <w:right w:val="none" w:sz="0" w:space="0" w:color="auto"/>
      </w:divBdr>
    </w:div>
    <w:div w:id="20204706">
      <w:bodyDiv w:val="1"/>
      <w:marLeft w:val="0"/>
      <w:marRight w:val="0"/>
      <w:marTop w:val="0"/>
      <w:marBottom w:val="0"/>
      <w:divBdr>
        <w:top w:val="none" w:sz="0" w:space="0" w:color="auto"/>
        <w:left w:val="none" w:sz="0" w:space="0" w:color="auto"/>
        <w:bottom w:val="none" w:sz="0" w:space="0" w:color="auto"/>
        <w:right w:val="none" w:sz="0" w:space="0" w:color="auto"/>
      </w:divBdr>
    </w:div>
    <w:div w:id="21515500">
      <w:bodyDiv w:val="1"/>
      <w:marLeft w:val="0"/>
      <w:marRight w:val="0"/>
      <w:marTop w:val="0"/>
      <w:marBottom w:val="0"/>
      <w:divBdr>
        <w:top w:val="none" w:sz="0" w:space="0" w:color="auto"/>
        <w:left w:val="none" w:sz="0" w:space="0" w:color="auto"/>
        <w:bottom w:val="none" w:sz="0" w:space="0" w:color="auto"/>
        <w:right w:val="none" w:sz="0" w:space="0" w:color="auto"/>
      </w:divBdr>
    </w:div>
    <w:div w:id="22630204">
      <w:bodyDiv w:val="1"/>
      <w:marLeft w:val="0"/>
      <w:marRight w:val="0"/>
      <w:marTop w:val="0"/>
      <w:marBottom w:val="0"/>
      <w:divBdr>
        <w:top w:val="none" w:sz="0" w:space="0" w:color="auto"/>
        <w:left w:val="none" w:sz="0" w:space="0" w:color="auto"/>
        <w:bottom w:val="none" w:sz="0" w:space="0" w:color="auto"/>
        <w:right w:val="none" w:sz="0" w:space="0" w:color="auto"/>
      </w:divBdr>
    </w:div>
    <w:div w:id="22942288">
      <w:bodyDiv w:val="1"/>
      <w:marLeft w:val="0"/>
      <w:marRight w:val="0"/>
      <w:marTop w:val="0"/>
      <w:marBottom w:val="0"/>
      <w:divBdr>
        <w:top w:val="none" w:sz="0" w:space="0" w:color="auto"/>
        <w:left w:val="none" w:sz="0" w:space="0" w:color="auto"/>
        <w:bottom w:val="none" w:sz="0" w:space="0" w:color="auto"/>
        <w:right w:val="none" w:sz="0" w:space="0" w:color="auto"/>
      </w:divBdr>
    </w:div>
    <w:div w:id="33502845">
      <w:bodyDiv w:val="1"/>
      <w:marLeft w:val="0"/>
      <w:marRight w:val="0"/>
      <w:marTop w:val="0"/>
      <w:marBottom w:val="0"/>
      <w:divBdr>
        <w:top w:val="none" w:sz="0" w:space="0" w:color="auto"/>
        <w:left w:val="none" w:sz="0" w:space="0" w:color="auto"/>
        <w:bottom w:val="none" w:sz="0" w:space="0" w:color="auto"/>
        <w:right w:val="none" w:sz="0" w:space="0" w:color="auto"/>
      </w:divBdr>
    </w:div>
    <w:div w:id="40401397">
      <w:bodyDiv w:val="1"/>
      <w:marLeft w:val="0"/>
      <w:marRight w:val="0"/>
      <w:marTop w:val="0"/>
      <w:marBottom w:val="0"/>
      <w:divBdr>
        <w:top w:val="none" w:sz="0" w:space="0" w:color="auto"/>
        <w:left w:val="none" w:sz="0" w:space="0" w:color="auto"/>
        <w:bottom w:val="none" w:sz="0" w:space="0" w:color="auto"/>
        <w:right w:val="none" w:sz="0" w:space="0" w:color="auto"/>
      </w:divBdr>
    </w:div>
    <w:div w:id="48958927">
      <w:bodyDiv w:val="1"/>
      <w:marLeft w:val="0"/>
      <w:marRight w:val="0"/>
      <w:marTop w:val="0"/>
      <w:marBottom w:val="0"/>
      <w:divBdr>
        <w:top w:val="none" w:sz="0" w:space="0" w:color="auto"/>
        <w:left w:val="none" w:sz="0" w:space="0" w:color="auto"/>
        <w:bottom w:val="none" w:sz="0" w:space="0" w:color="auto"/>
        <w:right w:val="none" w:sz="0" w:space="0" w:color="auto"/>
      </w:divBdr>
    </w:div>
    <w:div w:id="51539918">
      <w:bodyDiv w:val="1"/>
      <w:marLeft w:val="0"/>
      <w:marRight w:val="0"/>
      <w:marTop w:val="0"/>
      <w:marBottom w:val="0"/>
      <w:divBdr>
        <w:top w:val="none" w:sz="0" w:space="0" w:color="auto"/>
        <w:left w:val="none" w:sz="0" w:space="0" w:color="auto"/>
        <w:bottom w:val="none" w:sz="0" w:space="0" w:color="auto"/>
        <w:right w:val="none" w:sz="0" w:space="0" w:color="auto"/>
      </w:divBdr>
    </w:div>
    <w:div w:id="55905360">
      <w:bodyDiv w:val="1"/>
      <w:marLeft w:val="0"/>
      <w:marRight w:val="0"/>
      <w:marTop w:val="0"/>
      <w:marBottom w:val="0"/>
      <w:divBdr>
        <w:top w:val="none" w:sz="0" w:space="0" w:color="auto"/>
        <w:left w:val="none" w:sz="0" w:space="0" w:color="auto"/>
        <w:bottom w:val="none" w:sz="0" w:space="0" w:color="auto"/>
        <w:right w:val="none" w:sz="0" w:space="0" w:color="auto"/>
      </w:divBdr>
    </w:div>
    <w:div w:id="60102444">
      <w:bodyDiv w:val="1"/>
      <w:marLeft w:val="0"/>
      <w:marRight w:val="0"/>
      <w:marTop w:val="0"/>
      <w:marBottom w:val="0"/>
      <w:divBdr>
        <w:top w:val="none" w:sz="0" w:space="0" w:color="auto"/>
        <w:left w:val="none" w:sz="0" w:space="0" w:color="auto"/>
        <w:bottom w:val="none" w:sz="0" w:space="0" w:color="auto"/>
        <w:right w:val="none" w:sz="0" w:space="0" w:color="auto"/>
      </w:divBdr>
    </w:div>
    <w:div w:id="72430727">
      <w:bodyDiv w:val="1"/>
      <w:marLeft w:val="0"/>
      <w:marRight w:val="0"/>
      <w:marTop w:val="0"/>
      <w:marBottom w:val="0"/>
      <w:divBdr>
        <w:top w:val="none" w:sz="0" w:space="0" w:color="auto"/>
        <w:left w:val="none" w:sz="0" w:space="0" w:color="auto"/>
        <w:bottom w:val="none" w:sz="0" w:space="0" w:color="auto"/>
        <w:right w:val="none" w:sz="0" w:space="0" w:color="auto"/>
      </w:divBdr>
    </w:div>
    <w:div w:id="81222929">
      <w:bodyDiv w:val="1"/>
      <w:marLeft w:val="0"/>
      <w:marRight w:val="0"/>
      <w:marTop w:val="0"/>
      <w:marBottom w:val="0"/>
      <w:divBdr>
        <w:top w:val="none" w:sz="0" w:space="0" w:color="auto"/>
        <w:left w:val="none" w:sz="0" w:space="0" w:color="auto"/>
        <w:bottom w:val="none" w:sz="0" w:space="0" w:color="auto"/>
        <w:right w:val="none" w:sz="0" w:space="0" w:color="auto"/>
      </w:divBdr>
    </w:div>
    <w:div w:id="88280920">
      <w:bodyDiv w:val="1"/>
      <w:marLeft w:val="0"/>
      <w:marRight w:val="0"/>
      <w:marTop w:val="0"/>
      <w:marBottom w:val="0"/>
      <w:divBdr>
        <w:top w:val="none" w:sz="0" w:space="0" w:color="auto"/>
        <w:left w:val="none" w:sz="0" w:space="0" w:color="auto"/>
        <w:bottom w:val="none" w:sz="0" w:space="0" w:color="auto"/>
        <w:right w:val="none" w:sz="0" w:space="0" w:color="auto"/>
      </w:divBdr>
    </w:div>
    <w:div w:id="89474278">
      <w:bodyDiv w:val="1"/>
      <w:marLeft w:val="0"/>
      <w:marRight w:val="0"/>
      <w:marTop w:val="0"/>
      <w:marBottom w:val="0"/>
      <w:divBdr>
        <w:top w:val="none" w:sz="0" w:space="0" w:color="auto"/>
        <w:left w:val="none" w:sz="0" w:space="0" w:color="auto"/>
        <w:bottom w:val="none" w:sz="0" w:space="0" w:color="auto"/>
        <w:right w:val="none" w:sz="0" w:space="0" w:color="auto"/>
      </w:divBdr>
    </w:div>
    <w:div w:id="92484051">
      <w:bodyDiv w:val="1"/>
      <w:marLeft w:val="0"/>
      <w:marRight w:val="0"/>
      <w:marTop w:val="0"/>
      <w:marBottom w:val="0"/>
      <w:divBdr>
        <w:top w:val="none" w:sz="0" w:space="0" w:color="auto"/>
        <w:left w:val="none" w:sz="0" w:space="0" w:color="auto"/>
        <w:bottom w:val="none" w:sz="0" w:space="0" w:color="auto"/>
        <w:right w:val="none" w:sz="0" w:space="0" w:color="auto"/>
      </w:divBdr>
    </w:div>
    <w:div w:id="93936911">
      <w:bodyDiv w:val="1"/>
      <w:marLeft w:val="0"/>
      <w:marRight w:val="0"/>
      <w:marTop w:val="0"/>
      <w:marBottom w:val="0"/>
      <w:divBdr>
        <w:top w:val="none" w:sz="0" w:space="0" w:color="auto"/>
        <w:left w:val="none" w:sz="0" w:space="0" w:color="auto"/>
        <w:bottom w:val="none" w:sz="0" w:space="0" w:color="auto"/>
        <w:right w:val="none" w:sz="0" w:space="0" w:color="auto"/>
      </w:divBdr>
    </w:div>
    <w:div w:id="97801972">
      <w:bodyDiv w:val="1"/>
      <w:marLeft w:val="0"/>
      <w:marRight w:val="0"/>
      <w:marTop w:val="0"/>
      <w:marBottom w:val="0"/>
      <w:divBdr>
        <w:top w:val="none" w:sz="0" w:space="0" w:color="auto"/>
        <w:left w:val="none" w:sz="0" w:space="0" w:color="auto"/>
        <w:bottom w:val="none" w:sz="0" w:space="0" w:color="auto"/>
        <w:right w:val="none" w:sz="0" w:space="0" w:color="auto"/>
      </w:divBdr>
    </w:div>
    <w:div w:id="107504342">
      <w:bodyDiv w:val="1"/>
      <w:marLeft w:val="0"/>
      <w:marRight w:val="0"/>
      <w:marTop w:val="0"/>
      <w:marBottom w:val="0"/>
      <w:divBdr>
        <w:top w:val="none" w:sz="0" w:space="0" w:color="auto"/>
        <w:left w:val="none" w:sz="0" w:space="0" w:color="auto"/>
        <w:bottom w:val="none" w:sz="0" w:space="0" w:color="auto"/>
        <w:right w:val="none" w:sz="0" w:space="0" w:color="auto"/>
      </w:divBdr>
    </w:div>
    <w:div w:id="113180736">
      <w:bodyDiv w:val="1"/>
      <w:marLeft w:val="0"/>
      <w:marRight w:val="0"/>
      <w:marTop w:val="0"/>
      <w:marBottom w:val="0"/>
      <w:divBdr>
        <w:top w:val="none" w:sz="0" w:space="0" w:color="auto"/>
        <w:left w:val="none" w:sz="0" w:space="0" w:color="auto"/>
        <w:bottom w:val="none" w:sz="0" w:space="0" w:color="auto"/>
        <w:right w:val="none" w:sz="0" w:space="0" w:color="auto"/>
      </w:divBdr>
    </w:div>
    <w:div w:id="114059592">
      <w:bodyDiv w:val="1"/>
      <w:marLeft w:val="0"/>
      <w:marRight w:val="0"/>
      <w:marTop w:val="0"/>
      <w:marBottom w:val="0"/>
      <w:divBdr>
        <w:top w:val="none" w:sz="0" w:space="0" w:color="auto"/>
        <w:left w:val="none" w:sz="0" w:space="0" w:color="auto"/>
        <w:bottom w:val="none" w:sz="0" w:space="0" w:color="auto"/>
        <w:right w:val="none" w:sz="0" w:space="0" w:color="auto"/>
      </w:divBdr>
    </w:div>
    <w:div w:id="116490131">
      <w:bodyDiv w:val="1"/>
      <w:marLeft w:val="0"/>
      <w:marRight w:val="0"/>
      <w:marTop w:val="0"/>
      <w:marBottom w:val="0"/>
      <w:divBdr>
        <w:top w:val="none" w:sz="0" w:space="0" w:color="auto"/>
        <w:left w:val="none" w:sz="0" w:space="0" w:color="auto"/>
        <w:bottom w:val="none" w:sz="0" w:space="0" w:color="auto"/>
        <w:right w:val="none" w:sz="0" w:space="0" w:color="auto"/>
      </w:divBdr>
    </w:div>
    <w:div w:id="128014206">
      <w:bodyDiv w:val="1"/>
      <w:marLeft w:val="0"/>
      <w:marRight w:val="0"/>
      <w:marTop w:val="0"/>
      <w:marBottom w:val="0"/>
      <w:divBdr>
        <w:top w:val="none" w:sz="0" w:space="0" w:color="auto"/>
        <w:left w:val="none" w:sz="0" w:space="0" w:color="auto"/>
        <w:bottom w:val="none" w:sz="0" w:space="0" w:color="auto"/>
        <w:right w:val="none" w:sz="0" w:space="0" w:color="auto"/>
      </w:divBdr>
    </w:div>
    <w:div w:id="128982333">
      <w:bodyDiv w:val="1"/>
      <w:marLeft w:val="0"/>
      <w:marRight w:val="0"/>
      <w:marTop w:val="0"/>
      <w:marBottom w:val="0"/>
      <w:divBdr>
        <w:top w:val="none" w:sz="0" w:space="0" w:color="auto"/>
        <w:left w:val="none" w:sz="0" w:space="0" w:color="auto"/>
        <w:bottom w:val="none" w:sz="0" w:space="0" w:color="auto"/>
        <w:right w:val="none" w:sz="0" w:space="0" w:color="auto"/>
      </w:divBdr>
    </w:div>
    <w:div w:id="132253830">
      <w:bodyDiv w:val="1"/>
      <w:marLeft w:val="0"/>
      <w:marRight w:val="0"/>
      <w:marTop w:val="0"/>
      <w:marBottom w:val="0"/>
      <w:divBdr>
        <w:top w:val="none" w:sz="0" w:space="0" w:color="auto"/>
        <w:left w:val="none" w:sz="0" w:space="0" w:color="auto"/>
        <w:bottom w:val="none" w:sz="0" w:space="0" w:color="auto"/>
        <w:right w:val="none" w:sz="0" w:space="0" w:color="auto"/>
      </w:divBdr>
    </w:div>
    <w:div w:id="139005014">
      <w:bodyDiv w:val="1"/>
      <w:marLeft w:val="0"/>
      <w:marRight w:val="0"/>
      <w:marTop w:val="0"/>
      <w:marBottom w:val="0"/>
      <w:divBdr>
        <w:top w:val="none" w:sz="0" w:space="0" w:color="auto"/>
        <w:left w:val="none" w:sz="0" w:space="0" w:color="auto"/>
        <w:bottom w:val="none" w:sz="0" w:space="0" w:color="auto"/>
        <w:right w:val="none" w:sz="0" w:space="0" w:color="auto"/>
      </w:divBdr>
    </w:div>
    <w:div w:id="147092668">
      <w:bodyDiv w:val="1"/>
      <w:marLeft w:val="0"/>
      <w:marRight w:val="0"/>
      <w:marTop w:val="0"/>
      <w:marBottom w:val="0"/>
      <w:divBdr>
        <w:top w:val="none" w:sz="0" w:space="0" w:color="auto"/>
        <w:left w:val="none" w:sz="0" w:space="0" w:color="auto"/>
        <w:bottom w:val="none" w:sz="0" w:space="0" w:color="auto"/>
        <w:right w:val="none" w:sz="0" w:space="0" w:color="auto"/>
      </w:divBdr>
    </w:div>
    <w:div w:id="150414977">
      <w:bodyDiv w:val="1"/>
      <w:marLeft w:val="0"/>
      <w:marRight w:val="0"/>
      <w:marTop w:val="0"/>
      <w:marBottom w:val="0"/>
      <w:divBdr>
        <w:top w:val="none" w:sz="0" w:space="0" w:color="auto"/>
        <w:left w:val="none" w:sz="0" w:space="0" w:color="auto"/>
        <w:bottom w:val="none" w:sz="0" w:space="0" w:color="auto"/>
        <w:right w:val="none" w:sz="0" w:space="0" w:color="auto"/>
      </w:divBdr>
    </w:div>
    <w:div w:id="154301417">
      <w:bodyDiv w:val="1"/>
      <w:marLeft w:val="0"/>
      <w:marRight w:val="0"/>
      <w:marTop w:val="0"/>
      <w:marBottom w:val="0"/>
      <w:divBdr>
        <w:top w:val="none" w:sz="0" w:space="0" w:color="auto"/>
        <w:left w:val="none" w:sz="0" w:space="0" w:color="auto"/>
        <w:bottom w:val="none" w:sz="0" w:space="0" w:color="auto"/>
        <w:right w:val="none" w:sz="0" w:space="0" w:color="auto"/>
      </w:divBdr>
    </w:div>
    <w:div w:id="157111221">
      <w:bodyDiv w:val="1"/>
      <w:marLeft w:val="0"/>
      <w:marRight w:val="0"/>
      <w:marTop w:val="0"/>
      <w:marBottom w:val="0"/>
      <w:divBdr>
        <w:top w:val="none" w:sz="0" w:space="0" w:color="auto"/>
        <w:left w:val="none" w:sz="0" w:space="0" w:color="auto"/>
        <w:bottom w:val="none" w:sz="0" w:space="0" w:color="auto"/>
        <w:right w:val="none" w:sz="0" w:space="0" w:color="auto"/>
      </w:divBdr>
    </w:div>
    <w:div w:id="157841636">
      <w:bodyDiv w:val="1"/>
      <w:marLeft w:val="0"/>
      <w:marRight w:val="0"/>
      <w:marTop w:val="0"/>
      <w:marBottom w:val="0"/>
      <w:divBdr>
        <w:top w:val="none" w:sz="0" w:space="0" w:color="auto"/>
        <w:left w:val="none" w:sz="0" w:space="0" w:color="auto"/>
        <w:bottom w:val="none" w:sz="0" w:space="0" w:color="auto"/>
        <w:right w:val="none" w:sz="0" w:space="0" w:color="auto"/>
      </w:divBdr>
    </w:div>
    <w:div w:id="157963176">
      <w:bodyDiv w:val="1"/>
      <w:marLeft w:val="0"/>
      <w:marRight w:val="0"/>
      <w:marTop w:val="0"/>
      <w:marBottom w:val="0"/>
      <w:divBdr>
        <w:top w:val="none" w:sz="0" w:space="0" w:color="auto"/>
        <w:left w:val="none" w:sz="0" w:space="0" w:color="auto"/>
        <w:bottom w:val="none" w:sz="0" w:space="0" w:color="auto"/>
        <w:right w:val="none" w:sz="0" w:space="0" w:color="auto"/>
      </w:divBdr>
    </w:div>
    <w:div w:id="161434754">
      <w:bodyDiv w:val="1"/>
      <w:marLeft w:val="0"/>
      <w:marRight w:val="0"/>
      <w:marTop w:val="0"/>
      <w:marBottom w:val="0"/>
      <w:divBdr>
        <w:top w:val="none" w:sz="0" w:space="0" w:color="auto"/>
        <w:left w:val="none" w:sz="0" w:space="0" w:color="auto"/>
        <w:bottom w:val="none" w:sz="0" w:space="0" w:color="auto"/>
        <w:right w:val="none" w:sz="0" w:space="0" w:color="auto"/>
      </w:divBdr>
    </w:div>
    <w:div w:id="163515948">
      <w:bodyDiv w:val="1"/>
      <w:marLeft w:val="0"/>
      <w:marRight w:val="0"/>
      <w:marTop w:val="0"/>
      <w:marBottom w:val="0"/>
      <w:divBdr>
        <w:top w:val="none" w:sz="0" w:space="0" w:color="auto"/>
        <w:left w:val="none" w:sz="0" w:space="0" w:color="auto"/>
        <w:bottom w:val="none" w:sz="0" w:space="0" w:color="auto"/>
        <w:right w:val="none" w:sz="0" w:space="0" w:color="auto"/>
      </w:divBdr>
    </w:div>
    <w:div w:id="163596486">
      <w:bodyDiv w:val="1"/>
      <w:marLeft w:val="0"/>
      <w:marRight w:val="0"/>
      <w:marTop w:val="0"/>
      <w:marBottom w:val="0"/>
      <w:divBdr>
        <w:top w:val="none" w:sz="0" w:space="0" w:color="auto"/>
        <w:left w:val="none" w:sz="0" w:space="0" w:color="auto"/>
        <w:bottom w:val="none" w:sz="0" w:space="0" w:color="auto"/>
        <w:right w:val="none" w:sz="0" w:space="0" w:color="auto"/>
      </w:divBdr>
    </w:div>
    <w:div w:id="164441627">
      <w:bodyDiv w:val="1"/>
      <w:marLeft w:val="0"/>
      <w:marRight w:val="0"/>
      <w:marTop w:val="0"/>
      <w:marBottom w:val="0"/>
      <w:divBdr>
        <w:top w:val="none" w:sz="0" w:space="0" w:color="auto"/>
        <w:left w:val="none" w:sz="0" w:space="0" w:color="auto"/>
        <w:bottom w:val="none" w:sz="0" w:space="0" w:color="auto"/>
        <w:right w:val="none" w:sz="0" w:space="0" w:color="auto"/>
      </w:divBdr>
    </w:div>
    <w:div w:id="165169640">
      <w:bodyDiv w:val="1"/>
      <w:marLeft w:val="0"/>
      <w:marRight w:val="0"/>
      <w:marTop w:val="0"/>
      <w:marBottom w:val="0"/>
      <w:divBdr>
        <w:top w:val="none" w:sz="0" w:space="0" w:color="auto"/>
        <w:left w:val="none" w:sz="0" w:space="0" w:color="auto"/>
        <w:bottom w:val="none" w:sz="0" w:space="0" w:color="auto"/>
        <w:right w:val="none" w:sz="0" w:space="0" w:color="auto"/>
      </w:divBdr>
    </w:div>
    <w:div w:id="165171706">
      <w:bodyDiv w:val="1"/>
      <w:marLeft w:val="0"/>
      <w:marRight w:val="0"/>
      <w:marTop w:val="0"/>
      <w:marBottom w:val="0"/>
      <w:divBdr>
        <w:top w:val="none" w:sz="0" w:space="0" w:color="auto"/>
        <w:left w:val="none" w:sz="0" w:space="0" w:color="auto"/>
        <w:bottom w:val="none" w:sz="0" w:space="0" w:color="auto"/>
        <w:right w:val="none" w:sz="0" w:space="0" w:color="auto"/>
      </w:divBdr>
    </w:div>
    <w:div w:id="172380167">
      <w:bodyDiv w:val="1"/>
      <w:marLeft w:val="0"/>
      <w:marRight w:val="0"/>
      <w:marTop w:val="0"/>
      <w:marBottom w:val="0"/>
      <w:divBdr>
        <w:top w:val="none" w:sz="0" w:space="0" w:color="auto"/>
        <w:left w:val="none" w:sz="0" w:space="0" w:color="auto"/>
        <w:bottom w:val="none" w:sz="0" w:space="0" w:color="auto"/>
        <w:right w:val="none" w:sz="0" w:space="0" w:color="auto"/>
      </w:divBdr>
    </w:div>
    <w:div w:id="176040823">
      <w:bodyDiv w:val="1"/>
      <w:marLeft w:val="0"/>
      <w:marRight w:val="0"/>
      <w:marTop w:val="0"/>
      <w:marBottom w:val="0"/>
      <w:divBdr>
        <w:top w:val="none" w:sz="0" w:space="0" w:color="auto"/>
        <w:left w:val="none" w:sz="0" w:space="0" w:color="auto"/>
        <w:bottom w:val="none" w:sz="0" w:space="0" w:color="auto"/>
        <w:right w:val="none" w:sz="0" w:space="0" w:color="auto"/>
      </w:divBdr>
    </w:div>
    <w:div w:id="180824052">
      <w:bodyDiv w:val="1"/>
      <w:marLeft w:val="0"/>
      <w:marRight w:val="0"/>
      <w:marTop w:val="0"/>
      <w:marBottom w:val="0"/>
      <w:divBdr>
        <w:top w:val="none" w:sz="0" w:space="0" w:color="auto"/>
        <w:left w:val="none" w:sz="0" w:space="0" w:color="auto"/>
        <w:bottom w:val="none" w:sz="0" w:space="0" w:color="auto"/>
        <w:right w:val="none" w:sz="0" w:space="0" w:color="auto"/>
      </w:divBdr>
    </w:div>
    <w:div w:id="181747696">
      <w:bodyDiv w:val="1"/>
      <w:marLeft w:val="0"/>
      <w:marRight w:val="0"/>
      <w:marTop w:val="0"/>
      <w:marBottom w:val="0"/>
      <w:divBdr>
        <w:top w:val="none" w:sz="0" w:space="0" w:color="auto"/>
        <w:left w:val="none" w:sz="0" w:space="0" w:color="auto"/>
        <w:bottom w:val="none" w:sz="0" w:space="0" w:color="auto"/>
        <w:right w:val="none" w:sz="0" w:space="0" w:color="auto"/>
      </w:divBdr>
    </w:div>
    <w:div w:id="189999180">
      <w:bodyDiv w:val="1"/>
      <w:marLeft w:val="0"/>
      <w:marRight w:val="0"/>
      <w:marTop w:val="0"/>
      <w:marBottom w:val="0"/>
      <w:divBdr>
        <w:top w:val="none" w:sz="0" w:space="0" w:color="auto"/>
        <w:left w:val="none" w:sz="0" w:space="0" w:color="auto"/>
        <w:bottom w:val="none" w:sz="0" w:space="0" w:color="auto"/>
        <w:right w:val="none" w:sz="0" w:space="0" w:color="auto"/>
      </w:divBdr>
    </w:div>
    <w:div w:id="190187811">
      <w:bodyDiv w:val="1"/>
      <w:marLeft w:val="0"/>
      <w:marRight w:val="0"/>
      <w:marTop w:val="0"/>
      <w:marBottom w:val="0"/>
      <w:divBdr>
        <w:top w:val="none" w:sz="0" w:space="0" w:color="auto"/>
        <w:left w:val="none" w:sz="0" w:space="0" w:color="auto"/>
        <w:bottom w:val="none" w:sz="0" w:space="0" w:color="auto"/>
        <w:right w:val="none" w:sz="0" w:space="0" w:color="auto"/>
      </w:divBdr>
    </w:div>
    <w:div w:id="192110579">
      <w:bodyDiv w:val="1"/>
      <w:marLeft w:val="0"/>
      <w:marRight w:val="0"/>
      <w:marTop w:val="0"/>
      <w:marBottom w:val="0"/>
      <w:divBdr>
        <w:top w:val="none" w:sz="0" w:space="0" w:color="auto"/>
        <w:left w:val="none" w:sz="0" w:space="0" w:color="auto"/>
        <w:bottom w:val="none" w:sz="0" w:space="0" w:color="auto"/>
        <w:right w:val="none" w:sz="0" w:space="0" w:color="auto"/>
      </w:divBdr>
    </w:div>
    <w:div w:id="194004495">
      <w:bodyDiv w:val="1"/>
      <w:marLeft w:val="0"/>
      <w:marRight w:val="0"/>
      <w:marTop w:val="0"/>
      <w:marBottom w:val="0"/>
      <w:divBdr>
        <w:top w:val="none" w:sz="0" w:space="0" w:color="auto"/>
        <w:left w:val="none" w:sz="0" w:space="0" w:color="auto"/>
        <w:bottom w:val="none" w:sz="0" w:space="0" w:color="auto"/>
        <w:right w:val="none" w:sz="0" w:space="0" w:color="auto"/>
      </w:divBdr>
    </w:div>
    <w:div w:id="206112529">
      <w:bodyDiv w:val="1"/>
      <w:marLeft w:val="0"/>
      <w:marRight w:val="0"/>
      <w:marTop w:val="0"/>
      <w:marBottom w:val="0"/>
      <w:divBdr>
        <w:top w:val="none" w:sz="0" w:space="0" w:color="auto"/>
        <w:left w:val="none" w:sz="0" w:space="0" w:color="auto"/>
        <w:bottom w:val="none" w:sz="0" w:space="0" w:color="auto"/>
        <w:right w:val="none" w:sz="0" w:space="0" w:color="auto"/>
      </w:divBdr>
    </w:div>
    <w:div w:id="229078720">
      <w:bodyDiv w:val="1"/>
      <w:marLeft w:val="0"/>
      <w:marRight w:val="0"/>
      <w:marTop w:val="0"/>
      <w:marBottom w:val="0"/>
      <w:divBdr>
        <w:top w:val="none" w:sz="0" w:space="0" w:color="auto"/>
        <w:left w:val="none" w:sz="0" w:space="0" w:color="auto"/>
        <w:bottom w:val="none" w:sz="0" w:space="0" w:color="auto"/>
        <w:right w:val="none" w:sz="0" w:space="0" w:color="auto"/>
      </w:divBdr>
    </w:div>
    <w:div w:id="233273456">
      <w:bodyDiv w:val="1"/>
      <w:marLeft w:val="0"/>
      <w:marRight w:val="0"/>
      <w:marTop w:val="0"/>
      <w:marBottom w:val="0"/>
      <w:divBdr>
        <w:top w:val="none" w:sz="0" w:space="0" w:color="auto"/>
        <w:left w:val="none" w:sz="0" w:space="0" w:color="auto"/>
        <w:bottom w:val="none" w:sz="0" w:space="0" w:color="auto"/>
        <w:right w:val="none" w:sz="0" w:space="0" w:color="auto"/>
      </w:divBdr>
    </w:div>
    <w:div w:id="233661787">
      <w:bodyDiv w:val="1"/>
      <w:marLeft w:val="0"/>
      <w:marRight w:val="0"/>
      <w:marTop w:val="0"/>
      <w:marBottom w:val="0"/>
      <w:divBdr>
        <w:top w:val="none" w:sz="0" w:space="0" w:color="auto"/>
        <w:left w:val="none" w:sz="0" w:space="0" w:color="auto"/>
        <w:bottom w:val="none" w:sz="0" w:space="0" w:color="auto"/>
        <w:right w:val="none" w:sz="0" w:space="0" w:color="auto"/>
      </w:divBdr>
    </w:div>
    <w:div w:id="234322020">
      <w:bodyDiv w:val="1"/>
      <w:marLeft w:val="0"/>
      <w:marRight w:val="0"/>
      <w:marTop w:val="0"/>
      <w:marBottom w:val="0"/>
      <w:divBdr>
        <w:top w:val="none" w:sz="0" w:space="0" w:color="auto"/>
        <w:left w:val="none" w:sz="0" w:space="0" w:color="auto"/>
        <w:bottom w:val="none" w:sz="0" w:space="0" w:color="auto"/>
        <w:right w:val="none" w:sz="0" w:space="0" w:color="auto"/>
      </w:divBdr>
    </w:div>
    <w:div w:id="237980878">
      <w:bodyDiv w:val="1"/>
      <w:marLeft w:val="0"/>
      <w:marRight w:val="0"/>
      <w:marTop w:val="0"/>
      <w:marBottom w:val="0"/>
      <w:divBdr>
        <w:top w:val="none" w:sz="0" w:space="0" w:color="auto"/>
        <w:left w:val="none" w:sz="0" w:space="0" w:color="auto"/>
        <w:bottom w:val="none" w:sz="0" w:space="0" w:color="auto"/>
        <w:right w:val="none" w:sz="0" w:space="0" w:color="auto"/>
      </w:divBdr>
      <w:divsChild>
        <w:div w:id="1924608905">
          <w:marLeft w:val="1987"/>
          <w:marRight w:val="0"/>
          <w:marTop w:val="240"/>
          <w:marBottom w:val="0"/>
          <w:divBdr>
            <w:top w:val="none" w:sz="0" w:space="0" w:color="auto"/>
            <w:left w:val="none" w:sz="0" w:space="0" w:color="auto"/>
            <w:bottom w:val="none" w:sz="0" w:space="0" w:color="auto"/>
            <w:right w:val="none" w:sz="0" w:space="0" w:color="auto"/>
          </w:divBdr>
        </w:div>
        <w:div w:id="929503235">
          <w:marLeft w:val="1987"/>
          <w:marRight w:val="0"/>
          <w:marTop w:val="240"/>
          <w:marBottom w:val="0"/>
          <w:divBdr>
            <w:top w:val="none" w:sz="0" w:space="0" w:color="auto"/>
            <w:left w:val="none" w:sz="0" w:space="0" w:color="auto"/>
            <w:bottom w:val="none" w:sz="0" w:space="0" w:color="auto"/>
            <w:right w:val="none" w:sz="0" w:space="0" w:color="auto"/>
          </w:divBdr>
        </w:div>
        <w:div w:id="1722706778">
          <w:marLeft w:val="1987"/>
          <w:marRight w:val="0"/>
          <w:marTop w:val="240"/>
          <w:marBottom w:val="0"/>
          <w:divBdr>
            <w:top w:val="none" w:sz="0" w:space="0" w:color="auto"/>
            <w:left w:val="none" w:sz="0" w:space="0" w:color="auto"/>
            <w:bottom w:val="none" w:sz="0" w:space="0" w:color="auto"/>
            <w:right w:val="none" w:sz="0" w:space="0" w:color="auto"/>
          </w:divBdr>
        </w:div>
      </w:divsChild>
    </w:div>
    <w:div w:id="238101434">
      <w:bodyDiv w:val="1"/>
      <w:marLeft w:val="0"/>
      <w:marRight w:val="0"/>
      <w:marTop w:val="0"/>
      <w:marBottom w:val="0"/>
      <w:divBdr>
        <w:top w:val="none" w:sz="0" w:space="0" w:color="auto"/>
        <w:left w:val="none" w:sz="0" w:space="0" w:color="auto"/>
        <w:bottom w:val="none" w:sz="0" w:space="0" w:color="auto"/>
        <w:right w:val="none" w:sz="0" w:space="0" w:color="auto"/>
      </w:divBdr>
    </w:div>
    <w:div w:id="243415830">
      <w:bodyDiv w:val="1"/>
      <w:marLeft w:val="0"/>
      <w:marRight w:val="0"/>
      <w:marTop w:val="0"/>
      <w:marBottom w:val="0"/>
      <w:divBdr>
        <w:top w:val="none" w:sz="0" w:space="0" w:color="auto"/>
        <w:left w:val="none" w:sz="0" w:space="0" w:color="auto"/>
        <w:bottom w:val="none" w:sz="0" w:space="0" w:color="auto"/>
        <w:right w:val="none" w:sz="0" w:space="0" w:color="auto"/>
      </w:divBdr>
    </w:div>
    <w:div w:id="249244154">
      <w:bodyDiv w:val="1"/>
      <w:marLeft w:val="0"/>
      <w:marRight w:val="0"/>
      <w:marTop w:val="0"/>
      <w:marBottom w:val="0"/>
      <w:divBdr>
        <w:top w:val="none" w:sz="0" w:space="0" w:color="auto"/>
        <w:left w:val="none" w:sz="0" w:space="0" w:color="auto"/>
        <w:bottom w:val="none" w:sz="0" w:space="0" w:color="auto"/>
        <w:right w:val="none" w:sz="0" w:space="0" w:color="auto"/>
      </w:divBdr>
    </w:div>
    <w:div w:id="249504720">
      <w:bodyDiv w:val="1"/>
      <w:marLeft w:val="0"/>
      <w:marRight w:val="0"/>
      <w:marTop w:val="0"/>
      <w:marBottom w:val="0"/>
      <w:divBdr>
        <w:top w:val="none" w:sz="0" w:space="0" w:color="auto"/>
        <w:left w:val="none" w:sz="0" w:space="0" w:color="auto"/>
        <w:bottom w:val="none" w:sz="0" w:space="0" w:color="auto"/>
        <w:right w:val="none" w:sz="0" w:space="0" w:color="auto"/>
      </w:divBdr>
    </w:div>
    <w:div w:id="261302436">
      <w:bodyDiv w:val="1"/>
      <w:marLeft w:val="0"/>
      <w:marRight w:val="0"/>
      <w:marTop w:val="0"/>
      <w:marBottom w:val="0"/>
      <w:divBdr>
        <w:top w:val="none" w:sz="0" w:space="0" w:color="auto"/>
        <w:left w:val="none" w:sz="0" w:space="0" w:color="auto"/>
        <w:bottom w:val="none" w:sz="0" w:space="0" w:color="auto"/>
        <w:right w:val="none" w:sz="0" w:space="0" w:color="auto"/>
      </w:divBdr>
    </w:div>
    <w:div w:id="268856116">
      <w:bodyDiv w:val="1"/>
      <w:marLeft w:val="0"/>
      <w:marRight w:val="0"/>
      <w:marTop w:val="0"/>
      <w:marBottom w:val="0"/>
      <w:divBdr>
        <w:top w:val="none" w:sz="0" w:space="0" w:color="auto"/>
        <w:left w:val="none" w:sz="0" w:space="0" w:color="auto"/>
        <w:bottom w:val="none" w:sz="0" w:space="0" w:color="auto"/>
        <w:right w:val="none" w:sz="0" w:space="0" w:color="auto"/>
      </w:divBdr>
    </w:div>
    <w:div w:id="277756963">
      <w:bodyDiv w:val="1"/>
      <w:marLeft w:val="0"/>
      <w:marRight w:val="0"/>
      <w:marTop w:val="0"/>
      <w:marBottom w:val="0"/>
      <w:divBdr>
        <w:top w:val="none" w:sz="0" w:space="0" w:color="auto"/>
        <w:left w:val="none" w:sz="0" w:space="0" w:color="auto"/>
        <w:bottom w:val="none" w:sz="0" w:space="0" w:color="auto"/>
        <w:right w:val="none" w:sz="0" w:space="0" w:color="auto"/>
      </w:divBdr>
    </w:div>
    <w:div w:id="281807301">
      <w:bodyDiv w:val="1"/>
      <w:marLeft w:val="0"/>
      <w:marRight w:val="0"/>
      <w:marTop w:val="0"/>
      <w:marBottom w:val="0"/>
      <w:divBdr>
        <w:top w:val="none" w:sz="0" w:space="0" w:color="auto"/>
        <w:left w:val="none" w:sz="0" w:space="0" w:color="auto"/>
        <w:bottom w:val="none" w:sz="0" w:space="0" w:color="auto"/>
        <w:right w:val="none" w:sz="0" w:space="0" w:color="auto"/>
      </w:divBdr>
    </w:div>
    <w:div w:id="301541143">
      <w:bodyDiv w:val="1"/>
      <w:marLeft w:val="0"/>
      <w:marRight w:val="0"/>
      <w:marTop w:val="0"/>
      <w:marBottom w:val="0"/>
      <w:divBdr>
        <w:top w:val="none" w:sz="0" w:space="0" w:color="auto"/>
        <w:left w:val="none" w:sz="0" w:space="0" w:color="auto"/>
        <w:bottom w:val="none" w:sz="0" w:space="0" w:color="auto"/>
        <w:right w:val="none" w:sz="0" w:space="0" w:color="auto"/>
      </w:divBdr>
    </w:div>
    <w:div w:id="308362471">
      <w:bodyDiv w:val="1"/>
      <w:marLeft w:val="0"/>
      <w:marRight w:val="0"/>
      <w:marTop w:val="0"/>
      <w:marBottom w:val="0"/>
      <w:divBdr>
        <w:top w:val="none" w:sz="0" w:space="0" w:color="auto"/>
        <w:left w:val="none" w:sz="0" w:space="0" w:color="auto"/>
        <w:bottom w:val="none" w:sz="0" w:space="0" w:color="auto"/>
        <w:right w:val="none" w:sz="0" w:space="0" w:color="auto"/>
      </w:divBdr>
    </w:div>
    <w:div w:id="339308624">
      <w:bodyDiv w:val="1"/>
      <w:marLeft w:val="0"/>
      <w:marRight w:val="0"/>
      <w:marTop w:val="0"/>
      <w:marBottom w:val="0"/>
      <w:divBdr>
        <w:top w:val="none" w:sz="0" w:space="0" w:color="auto"/>
        <w:left w:val="none" w:sz="0" w:space="0" w:color="auto"/>
        <w:bottom w:val="none" w:sz="0" w:space="0" w:color="auto"/>
        <w:right w:val="none" w:sz="0" w:space="0" w:color="auto"/>
      </w:divBdr>
    </w:div>
    <w:div w:id="340352433">
      <w:bodyDiv w:val="1"/>
      <w:marLeft w:val="0"/>
      <w:marRight w:val="0"/>
      <w:marTop w:val="0"/>
      <w:marBottom w:val="0"/>
      <w:divBdr>
        <w:top w:val="none" w:sz="0" w:space="0" w:color="auto"/>
        <w:left w:val="none" w:sz="0" w:space="0" w:color="auto"/>
        <w:bottom w:val="none" w:sz="0" w:space="0" w:color="auto"/>
        <w:right w:val="none" w:sz="0" w:space="0" w:color="auto"/>
      </w:divBdr>
    </w:div>
    <w:div w:id="344020219">
      <w:bodyDiv w:val="1"/>
      <w:marLeft w:val="0"/>
      <w:marRight w:val="0"/>
      <w:marTop w:val="0"/>
      <w:marBottom w:val="0"/>
      <w:divBdr>
        <w:top w:val="none" w:sz="0" w:space="0" w:color="auto"/>
        <w:left w:val="none" w:sz="0" w:space="0" w:color="auto"/>
        <w:bottom w:val="none" w:sz="0" w:space="0" w:color="auto"/>
        <w:right w:val="none" w:sz="0" w:space="0" w:color="auto"/>
      </w:divBdr>
    </w:div>
    <w:div w:id="346517757">
      <w:bodyDiv w:val="1"/>
      <w:marLeft w:val="0"/>
      <w:marRight w:val="0"/>
      <w:marTop w:val="0"/>
      <w:marBottom w:val="0"/>
      <w:divBdr>
        <w:top w:val="none" w:sz="0" w:space="0" w:color="auto"/>
        <w:left w:val="none" w:sz="0" w:space="0" w:color="auto"/>
        <w:bottom w:val="none" w:sz="0" w:space="0" w:color="auto"/>
        <w:right w:val="none" w:sz="0" w:space="0" w:color="auto"/>
      </w:divBdr>
    </w:div>
    <w:div w:id="358311861">
      <w:bodyDiv w:val="1"/>
      <w:marLeft w:val="0"/>
      <w:marRight w:val="0"/>
      <w:marTop w:val="0"/>
      <w:marBottom w:val="0"/>
      <w:divBdr>
        <w:top w:val="none" w:sz="0" w:space="0" w:color="auto"/>
        <w:left w:val="none" w:sz="0" w:space="0" w:color="auto"/>
        <w:bottom w:val="none" w:sz="0" w:space="0" w:color="auto"/>
        <w:right w:val="none" w:sz="0" w:space="0" w:color="auto"/>
      </w:divBdr>
    </w:div>
    <w:div w:id="360862671">
      <w:bodyDiv w:val="1"/>
      <w:marLeft w:val="0"/>
      <w:marRight w:val="0"/>
      <w:marTop w:val="0"/>
      <w:marBottom w:val="0"/>
      <w:divBdr>
        <w:top w:val="none" w:sz="0" w:space="0" w:color="auto"/>
        <w:left w:val="none" w:sz="0" w:space="0" w:color="auto"/>
        <w:bottom w:val="none" w:sz="0" w:space="0" w:color="auto"/>
        <w:right w:val="none" w:sz="0" w:space="0" w:color="auto"/>
      </w:divBdr>
    </w:div>
    <w:div w:id="361319867">
      <w:bodyDiv w:val="1"/>
      <w:marLeft w:val="0"/>
      <w:marRight w:val="0"/>
      <w:marTop w:val="0"/>
      <w:marBottom w:val="0"/>
      <w:divBdr>
        <w:top w:val="none" w:sz="0" w:space="0" w:color="auto"/>
        <w:left w:val="none" w:sz="0" w:space="0" w:color="auto"/>
        <w:bottom w:val="none" w:sz="0" w:space="0" w:color="auto"/>
        <w:right w:val="none" w:sz="0" w:space="0" w:color="auto"/>
      </w:divBdr>
    </w:div>
    <w:div w:id="366681971">
      <w:bodyDiv w:val="1"/>
      <w:marLeft w:val="0"/>
      <w:marRight w:val="0"/>
      <w:marTop w:val="0"/>
      <w:marBottom w:val="0"/>
      <w:divBdr>
        <w:top w:val="none" w:sz="0" w:space="0" w:color="auto"/>
        <w:left w:val="none" w:sz="0" w:space="0" w:color="auto"/>
        <w:bottom w:val="none" w:sz="0" w:space="0" w:color="auto"/>
        <w:right w:val="none" w:sz="0" w:space="0" w:color="auto"/>
      </w:divBdr>
    </w:div>
    <w:div w:id="367489325">
      <w:bodyDiv w:val="1"/>
      <w:marLeft w:val="0"/>
      <w:marRight w:val="0"/>
      <w:marTop w:val="0"/>
      <w:marBottom w:val="0"/>
      <w:divBdr>
        <w:top w:val="none" w:sz="0" w:space="0" w:color="auto"/>
        <w:left w:val="none" w:sz="0" w:space="0" w:color="auto"/>
        <w:bottom w:val="none" w:sz="0" w:space="0" w:color="auto"/>
        <w:right w:val="none" w:sz="0" w:space="0" w:color="auto"/>
      </w:divBdr>
    </w:div>
    <w:div w:id="371199801">
      <w:bodyDiv w:val="1"/>
      <w:marLeft w:val="0"/>
      <w:marRight w:val="0"/>
      <w:marTop w:val="0"/>
      <w:marBottom w:val="0"/>
      <w:divBdr>
        <w:top w:val="none" w:sz="0" w:space="0" w:color="auto"/>
        <w:left w:val="none" w:sz="0" w:space="0" w:color="auto"/>
        <w:bottom w:val="none" w:sz="0" w:space="0" w:color="auto"/>
        <w:right w:val="none" w:sz="0" w:space="0" w:color="auto"/>
      </w:divBdr>
    </w:div>
    <w:div w:id="372122349">
      <w:bodyDiv w:val="1"/>
      <w:marLeft w:val="0"/>
      <w:marRight w:val="0"/>
      <w:marTop w:val="0"/>
      <w:marBottom w:val="0"/>
      <w:divBdr>
        <w:top w:val="none" w:sz="0" w:space="0" w:color="auto"/>
        <w:left w:val="none" w:sz="0" w:space="0" w:color="auto"/>
        <w:bottom w:val="none" w:sz="0" w:space="0" w:color="auto"/>
        <w:right w:val="none" w:sz="0" w:space="0" w:color="auto"/>
      </w:divBdr>
    </w:div>
    <w:div w:id="375005071">
      <w:bodyDiv w:val="1"/>
      <w:marLeft w:val="0"/>
      <w:marRight w:val="0"/>
      <w:marTop w:val="0"/>
      <w:marBottom w:val="0"/>
      <w:divBdr>
        <w:top w:val="none" w:sz="0" w:space="0" w:color="auto"/>
        <w:left w:val="none" w:sz="0" w:space="0" w:color="auto"/>
        <w:bottom w:val="none" w:sz="0" w:space="0" w:color="auto"/>
        <w:right w:val="none" w:sz="0" w:space="0" w:color="auto"/>
      </w:divBdr>
    </w:div>
    <w:div w:id="377752159">
      <w:bodyDiv w:val="1"/>
      <w:marLeft w:val="0"/>
      <w:marRight w:val="0"/>
      <w:marTop w:val="0"/>
      <w:marBottom w:val="0"/>
      <w:divBdr>
        <w:top w:val="none" w:sz="0" w:space="0" w:color="auto"/>
        <w:left w:val="none" w:sz="0" w:space="0" w:color="auto"/>
        <w:bottom w:val="none" w:sz="0" w:space="0" w:color="auto"/>
        <w:right w:val="none" w:sz="0" w:space="0" w:color="auto"/>
      </w:divBdr>
    </w:div>
    <w:div w:id="392047952">
      <w:bodyDiv w:val="1"/>
      <w:marLeft w:val="0"/>
      <w:marRight w:val="0"/>
      <w:marTop w:val="0"/>
      <w:marBottom w:val="0"/>
      <w:divBdr>
        <w:top w:val="none" w:sz="0" w:space="0" w:color="auto"/>
        <w:left w:val="none" w:sz="0" w:space="0" w:color="auto"/>
        <w:bottom w:val="none" w:sz="0" w:space="0" w:color="auto"/>
        <w:right w:val="none" w:sz="0" w:space="0" w:color="auto"/>
      </w:divBdr>
    </w:div>
    <w:div w:id="395711993">
      <w:bodyDiv w:val="1"/>
      <w:marLeft w:val="0"/>
      <w:marRight w:val="0"/>
      <w:marTop w:val="0"/>
      <w:marBottom w:val="0"/>
      <w:divBdr>
        <w:top w:val="none" w:sz="0" w:space="0" w:color="auto"/>
        <w:left w:val="none" w:sz="0" w:space="0" w:color="auto"/>
        <w:bottom w:val="none" w:sz="0" w:space="0" w:color="auto"/>
        <w:right w:val="none" w:sz="0" w:space="0" w:color="auto"/>
      </w:divBdr>
    </w:div>
    <w:div w:id="397675883">
      <w:bodyDiv w:val="1"/>
      <w:marLeft w:val="0"/>
      <w:marRight w:val="0"/>
      <w:marTop w:val="0"/>
      <w:marBottom w:val="0"/>
      <w:divBdr>
        <w:top w:val="none" w:sz="0" w:space="0" w:color="auto"/>
        <w:left w:val="none" w:sz="0" w:space="0" w:color="auto"/>
        <w:bottom w:val="none" w:sz="0" w:space="0" w:color="auto"/>
        <w:right w:val="none" w:sz="0" w:space="0" w:color="auto"/>
      </w:divBdr>
    </w:div>
    <w:div w:id="404842487">
      <w:bodyDiv w:val="1"/>
      <w:marLeft w:val="0"/>
      <w:marRight w:val="0"/>
      <w:marTop w:val="0"/>
      <w:marBottom w:val="0"/>
      <w:divBdr>
        <w:top w:val="none" w:sz="0" w:space="0" w:color="auto"/>
        <w:left w:val="none" w:sz="0" w:space="0" w:color="auto"/>
        <w:bottom w:val="none" w:sz="0" w:space="0" w:color="auto"/>
        <w:right w:val="none" w:sz="0" w:space="0" w:color="auto"/>
      </w:divBdr>
    </w:div>
    <w:div w:id="424611977">
      <w:bodyDiv w:val="1"/>
      <w:marLeft w:val="0"/>
      <w:marRight w:val="0"/>
      <w:marTop w:val="0"/>
      <w:marBottom w:val="0"/>
      <w:divBdr>
        <w:top w:val="none" w:sz="0" w:space="0" w:color="auto"/>
        <w:left w:val="none" w:sz="0" w:space="0" w:color="auto"/>
        <w:bottom w:val="none" w:sz="0" w:space="0" w:color="auto"/>
        <w:right w:val="none" w:sz="0" w:space="0" w:color="auto"/>
      </w:divBdr>
    </w:div>
    <w:div w:id="425738142">
      <w:bodyDiv w:val="1"/>
      <w:marLeft w:val="0"/>
      <w:marRight w:val="0"/>
      <w:marTop w:val="0"/>
      <w:marBottom w:val="0"/>
      <w:divBdr>
        <w:top w:val="none" w:sz="0" w:space="0" w:color="auto"/>
        <w:left w:val="none" w:sz="0" w:space="0" w:color="auto"/>
        <w:bottom w:val="none" w:sz="0" w:space="0" w:color="auto"/>
        <w:right w:val="none" w:sz="0" w:space="0" w:color="auto"/>
      </w:divBdr>
    </w:div>
    <w:div w:id="430510669">
      <w:bodyDiv w:val="1"/>
      <w:marLeft w:val="0"/>
      <w:marRight w:val="0"/>
      <w:marTop w:val="0"/>
      <w:marBottom w:val="0"/>
      <w:divBdr>
        <w:top w:val="none" w:sz="0" w:space="0" w:color="auto"/>
        <w:left w:val="none" w:sz="0" w:space="0" w:color="auto"/>
        <w:bottom w:val="none" w:sz="0" w:space="0" w:color="auto"/>
        <w:right w:val="none" w:sz="0" w:space="0" w:color="auto"/>
      </w:divBdr>
    </w:div>
    <w:div w:id="430905180">
      <w:bodyDiv w:val="1"/>
      <w:marLeft w:val="0"/>
      <w:marRight w:val="0"/>
      <w:marTop w:val="0"/>
      <w:marBottom w:val="0"/>
      <w:divBdr>
        <w:top w:val="none" w:sz="0" w:space="0" w:color="auto"/>
        <w:left w:val="none" w:sz="0" w:space="0" w:color="auto"/>
        <w:bottom w:val="none" w:sz="0" w:space="0" w:color="auto"/>
        <w:right w:val="none" w:sz="0" w:space="0" w:color="auto"/>
      </w:divBdr>
    </w:div>
    <w:div w:id="444740332">
      <w:bodyDiv w:val="1"/>
      <w:marLeft w:val="0"/>
      <w:marRight w:val="0"/>
      <w:marTop w:val="0"/>
      <w:marBottom w:val="0"/>
      <w:divBdr>
        <w:top w:val="none" w:sz="0" w:space="0" w:color="auto"/>
        <w:left w:val="none" w:sz="0" w:space="0" w:color="auto"/>
        <w:bottom w:val="none" w:sz="0" w:space="0" w:color="auto"/>
        <w:right w:val="none" w:sz="0" w:space="0" w:color="auto"/>
      </w:divBdr>
    </w:div>
    <w:div w:id="450517121">
      <w:bodyDiv w:val="1"/>
      <w:marLeft w:val="0"/>
      <w:marRight w:val="0"/>
      <w:marTop w:val="0"/>
      <w:marBottom w:val="0"/>
      <w:divBdr>
        <w:top w:val="none" w:sz="0" w:space="0" w:color="auto"/>
        <w:left w:val="none" w:sz="0" w:space="0" w:color="auto"/>
        <w:bottom w:val="none" w:sz="0" w:space="0" w:color="auto"/>
        <w:right w:val="none" w:sz="0" w:space="0" w:color="auto"/>
      </w:divBdr>
    </w:div>
    <w:div w:id="456072987">
      <w:bodyDiv w:val="1"/>
      <w:marLeft w:val="0"/>
      <w:marRight w:val="0"/>
      <w:marTop w:val="0"/>
      <w:marBottom w:val="0"/>
      <w:divBdr>
        <w:top w:val="none" w:sz="0" w:space="0" w:color="auto"/>
        <w:left w:val="none" w:sz="0" w:space="0" w:color="auto"/>
        <w:bottom w:val="none" w:sz="0" w:space="0" w:color="auto"/>
        <w:right w:val="none" w:sz="0" w:space="0" w:color="auto"/>
      </w:divBdr>
    </w:div>
    <w:div w:id="462624154">
      <w:bodyDiv w:val="1"/>
      <w:marLeft w:val="0"/>
      <w:marRight w:val="0"/>
      <w:marTop w:val="0"/>
      <w:marBottom w:val="0"/>
      <w:divBdr>
        <w:top w:val="none" w:sz="0" w:space="0" w:color="auto"/>
        <w:left w:val="none" w:sz="0" w:space="0" w:color="auto"/>
        <w:bottom w:val="none" w:sz="0" w:space="0" w:color="auto"/>
        <w:right w:val="none" w:sz="0" w:space="0" w:color="auto"/>
      </w:divBdr>
    </w:div>
    <w:div w:id="463623258">
      <w:bodyDiv w:val="1"/>
      <w:marLeft w:val="0"/>
      <w:marRight w:val="0"/>
      <w:marTop w:val="0"/>
      <w:marBottom w:val="0"/>
      <w:divBdr>
        <w:top w:val="none" w:sz="0" w:space="0" w:color="auto"/>
        <w:left w:val="none" w:sz="0" w:space="0" w:color="auto"/>
        <w:bottom w:val="none" w:sz="0" w:space="0" w:color="auto"/>
        <w:right w:val="none" w:sz="0" w:space="0" w:color="auto"/>
      </w:divBdr>
    </w:div>
    <w:div w:id="467675502">
      <w:bodyDiv w:val="1"/>
      <w:marLeft w:val="0"/>
      <w:marRight w:val="0"/>
      <w:marTop w:val="0"/>
      <w:marBottom w:val="0"/>
      <w:divBdr>
        <w:top w:val="none" w:sz="0" w:space="0" w:color="auto"/>
        <w:left w:val="none" w:sz="0" w:space="0" w:color="auto"/>
        <w:bottom w:val="none" w:sz="0" w:space="0" w:color="auto"/>
        <w:right w:val="none" w:sz="0" w:space="0" w:color="auto"/>
      </w:divBdr>
    </w:div>
    <w:div w:id="479620267">
      <w:bodyDiv w:val="1"/>
      <w:marLeft w:val="0"/>
      <w:marRight w:val="0"/>
      <w:marTop w:val="0"/>
      <w:marBottom w:val="0"/>
      <w:divBdr>
        <w:top w:val="none" w:sz="0" w:space="0" w:color="auto"/>
        <w:left w:val="none" w:sz="0" w:space="0" w:color="auto"/>
        <w:bottom w:val="none" w:sz="0" w:space="0" w:color="auto"/>
        <w:right w:val="none" w:sz="0" w:space="0" w:color="auto"/>
      </w:divBdr>
    </w:div>
    <w:div w:id="486169597">
      <w:bodyDiv w:val="1"/>
      <w:marLeft w:val="0"/>
      <w:marRight w:val="0"/>
      <w:marTop w:val="0"/>
      <w:marBottom w:val="0"/>
      <w:divBdr>
        <w:top w:val="none" w:sz="0" w:space="0" w:color="auto"/>
        <w:left w:val="none" w:sz="0" w:space="0" w:color="auto"/>
        <w:bottom w:val="none" w:sz="0" w:space="0" w:color="auto"/>
        <w:right w:val="none" w:sz="0" w:space="0" w:color="auto"/>
      </w:divBdr>
    </w:div>
    <w:div w:id="486214633">
      <w:bodyDiv w:val="1"/>
      <w:marLeft w:val="0"/>
      <w:marRight w:val="0"/>
      <w:marTop w:val="0"/>
      <w:marBottom w:val="0"/>
      <w:divBdr>
        <w:top w:val="none" w:sz="0" w:space="0" w:color="auto"/>
        <w:left w:val="none" w:sz="0" w:space="0" w:color="auto"/>
        <w:bottom w:val="none" w:sz="0" w:space="0" w:color="auto"/>
        <w:right w:val="none" w:sz="0" w:space="0" w:color="auto"/>
      </w:divBdr>
    </w:div>
    <w:div w:id="486942424">
      <w:bodyDiv w:val="1"/>
      <w:marLeft w:val="0"/>
      <w:marRight w:val="0"/>
      <w:marTop w:val="0"/>
      <w:marBottom w:val="0"/>
      <w:divBdr>
        <w:top w:val="none" w:sz="0" w:space="0" w:color="auto"/>
        <w:left w:val="none" w:sz="0" w:space="0" w:color="auto"/>
        <w:bottom w:val="none" w:sz="0" w:space="0" w:color="auto"/>
        <w:right w:val="none" w:sz="0" w:space="0" w:color="auto"/>
      </w:divBdr>
    </w:div>
    <w:div w:id="494762923">
      <w:bodyDiv w:val="1"/>
      <w:marLeft w:val="0"/>
      <w:marRight w:val="0"/>
      <w:marTop w:val="0"/>
      <w:marBottom w:val="0"/>
      <w:divBdr>
        <w:top w:val="none" w:sz="0" w:space="0" w:color="auto"/>
        <w:left w:val="none" w:sz="0" w:space="0" w:color="auto"/>
        <w:bottom w:val="none" w:sz="0" w:space="0" w:color="auto"/>
        <w:right w:val="none" w:sz="0" w:space="0" w:color="auto"/>
      </w:divBdr>
    </w:div>
    <w:div w:id="499009651">
      <w:bodyDiv w:val="1"/>
      <w:marLeft w:val="0"/>
      <w:marRight w:val="0"/>
      <w:marTop w:val="0"/>
      <w:marBottom w:val="0"/>
      <w:divBdr>
        <w:top w:val="none" w:sz="0" w:space="0" w:color="auto"/>
        <w:left w:val="none" w:sz="0" w:space="0" w:color="auto"/>
        <w:bottom w:val="none" w:sz="0" w:space="0" w:color="auto"/>
        <w:right w:val="none" w:sz="0" w:space="0" w:color="auto"/>
      </w:divBdr>
    </w:div>
    <w:div w:id="499466806">
      <w:bodyDiv w:val="1"/>
      <w:marLeft w:val="0"/>
      <w:marRight w:val="0"/>
      <w:marTop w:val="0"/>
      <w:marBottom w:val="0"/>
      <w:divBdr>
        <w:top w:val="none" w:sz="0" w:space="0" w:color="auto"/>
        <w:left w:val="none" w:sz="0" w:space="0" w:color="auto"/>
        <w:bottom w:val="none" w:sz="0" w:space="0" w:color="auto"/>
        <w:right w:val="none" w:sz="0" w:space="0" w:color="auto"/>
      </w:divBdr>
    </w:div>
    <w:div w:id="500707437">
      <w:bodyDiv w:val="1"/>
      <w:marLeft w:val="0"/>
      <w:marRight w:val="0"/>
      <w:marTop w:val="0"/>
      <w:marBottom w:val="0"/>
      <w:divBdr>
        <w:top w:val="none" w:sz="0" w:space="0" w:color="auto"/>
        <w:left w:val="none" w:sz="0" w:space="0" w:color="auto"/>
        <w:bottom w:val="none" w:sz="0" w:space="0" w:color="auto"/>
        <w:right w:val="none" w:sz="0" w:space="0" w:color="auto"/>
      </w:divBdr>
    </w:div>
    <w:div w:id="508837881">
      <w:bodyDiv w:val="1"/>
      <w:marLeft w:val="0"/>
      <w:marRight w:val="0"/>
      <w:marTop w:val="0"/>
      <w:marBottom w:val="0"/>
      <w:divBdr>
        <w:top w:val="none" w:sz="0" w:space="0" w:color="auto"/>
        <w:left w:val="none" w:sz="0" w:space="0" w:color="auto"/>
        <w:bottom w:val="none" w:sz="0" w:space="0" w:color="auto"/>
        <w:right w:val="none" w:sz="0" w:space="0" w:color="auto"/>
      </w:divBdr>
    </w:div>
    <w:div w:id="509485972">
      <w:bodyDiv w:val="1"/>
      <w:marLeft w:val="0"/>
      <w:marRight w:val="0"/>
      <w:marTop w:val="0"/>
      <w:marBottom w:val="0"/>
      <w:divBdr>
        <w:top w:val="none" w:sz="0" w:space="0" w:color="auto"/>
        <w:left w:val="none" w:sz="0" w:space="0" w:color="auto"/>
        <w:bottom w:val="none" w:sz="0" w:space="0" w:color="auto"/>
        <w:right w:val="none" w:sz="0" w:space="0" w:color="auto"/>
      </w:divBdr>
    </w:div>
    <w:div w:id="512232959">
      <w:bodyDiv w:val="1"/>
      <w:marLeft w:val="0"/>
      <w:marRight w:val="0"/>
      <w:marTop w:val="0"/>
      <w:marBottom w:val="0"/>
      <w:divBdr>
        <w:top w:val="none" w:sz="0" w:space="0" w:color="auto"/>
        <w:left w:val="none" w:sz="0" w:space="0" w:color="auto"/>
        <w:bottom w:val="none" w:sz="0" w:space="0" w:color="auto"/>
        <w:right w:val="none" w:sz="0" w:space="0" w:color="auto"/>
      </w:divBdr>
    </w:div>
    <w:div w:id="514922714">
      <w:bodyDiv w:val="1"/>
      <w:marLeft w:val="0"/>
      <w:marRight w:val="0"/>
      <w:marTop w:val="0"/>
      <w:marBottom w:val="0"/>
      <w:divBdr>
        <w:top w:val="none" w:sz="0" w:space="0" w:color="auto"/>
        <w:left w:val="none" w:sz="0" w:space="0" w:color="auto"/>
        <w:bottom w:val="none" w:sz="0" w:space="0" w:color="auto"/>
        <w:right w:val="none" w:sz="0" w:space="0" w:color="auto"/>
      </w:divBdr>
    </w:div>
    <w:div w:id="515311464">
      <w:bodyDiv w:val="1"/>
      <w:marLeft w:val="0"/>
      <w:marRight w:val="0"/>
      <w:marTop w:val="0"/>
      <w:marBottom w:val="0"/>
      <w:divBdr>
        <w:top w:val="none" w:sz="0" w:space="0" w:color="auto"/>
        <w:left w:val="none" w:sz="0" w:space="0" w:color="auto"/>
        <w:bottom w:val="none" w:sz="0" w:space="0" w:color="auto"/>
        <w:right w:val="none" w:sz="0" w:space="0" w:color="auto"/>
      </w:divBdr>
    </w:div>
    <w:div w:id="515659440">
      <w:bodyDiv w:val="1"/>
      <w:marLeft w:val="0"/>
      <w:marRight w:val="0"/>
      <w:marTop w:val="0"/>
      <w:marBottom w:val="0"/>
      <w:divBdr>
        <w:top w:val="none" w:sz="0" w:space="0" w:color="auto"/>
        <w:left w:val="none" w:sz="0" w:space="0" w:color="auto"/>
        <w:bottom w:val="none" w:sz="0" w:space="0" w:color="auto"/>
        <w:right w:val="none" w:sz="0" w:space="0" w:color="auto"/>
      </w:divBdr>
    </w:div>
    <w:div w:id="515727331">
      <w:bodyDiv w:val="1"/>
      <w:marLeft w:val="0"/>
      <w:marRight w:val="0"/>
      <w:marTop w:val="0"/>
      <w:marBottom w:val="0"/>
      <w:divBdr>
        <w:top w:val="none" w:sz="0" w:space="0" w:color="auto"/>
        <w:left w:val="none" w:sz="0" w:space="0" w:color="auto"/>
        <w:bottom w:val="none" w:sz="0" w:space="0" w:color="auto"/>
        <w:right w:val="none" w:sz="0" w:space="0" w:color="auto"/>
      </w:divBdr>
    </w:div>
    <w:div w:id="520778148">
      <w:bodyDiv w:val="1"/>
      <w:marLeft w:val="0"/>
      <w:marRight w:val="0"/>
      <w:marTop w:val="0"/>
      <w:marBottom w:val="0"/>
      <w:divBdr>
        <w:top w:val="none" w:sz="0" w:space="0" w:color="auto"/>
        <w:left w:val="none" w:sz="0" w:space="0" w:color="auto"/>
        <w:bottom w:val="none" w:sz="0" w:space="0" w:color="auto"/>
        <w:right w:val="none" w:sz="0" w:space="0" w:color="auto"/>
      </w:divBdr>
    </w:div>
    <w:div w:id="525024533">
      <w:bodyDiv w:val="1"/>
      <w:marLeft w:val="0"/>
      <w:marRight w:val="0"/>
      <w:marTop w:val="0"/>
      <w:marBottom w:val="0"/>
      <w:divBdr>
        <w:top w:val="none" w:sz="0" w:space="0" w:color="auto"/>
        <w:left w:val="none" w:sz="0" w:space="0" w:color="auto"/>
        <w:bottom w:val="none" w:sz="0" w:space="0" w:color="auto"/>
        <w:right w:val="none" w:sz="0" w:space="0" w:color="auto"/>
      </w:divBdr>
    </w:div>
    <w:div w:id="525758295">
      <w:bodyDiv w:val="1"/>
      <w:marLeft w:val="0"/>
      <w:marRight w:val="0"/>
      <w:marTop w:val="0"/>
      <w:marBottom w:val="0"/>
      <w:divBdr>
        <w:top w:val="none" w:sz="0" w:space="0" w:color="auto"/>
        <w:left w:val="none" w:sz="0" w:space="0" w:color="auto"/>
        <w:bottom w:val="none" w:sz="0" w:space="0" w:color="auto"/>
        <w:right w:val="none" w:sz="0" w:space="0" w:color="auto"/>
      </w:divBdr>
    </w:div>
    <w:div w:id="540360904">
      <w:bodyDiv w:val="1"/>
      <w:marLeft w:val="0"/>
      <w:marRight w:val="0"/>
      <w:marTop w:val="0"/>
      <w:marBottom w:val="0"/>
      <w:divBdr>
        <w:top w:val="none" w:sz="0" w:space="0" w:color="auto"/>
        <w:left w:val="none" w:sz="0" w:space="0" w:color="auto"/>
        <w:bottom w:val="none" w:sz="0" w:space="0" w:color="auto"/>
        <w:right w:val="none" w:sz="0" w:space="0" w:color="auto"/>
      </w:divBdr>
    </w:div>
    <w:div w:id="548684091">
      <w:bodyDiv w:val="1"/>
      <w:marLeft w:val="0"/>
      <w:marRight w:val="0"/>
      <w:marTop w:val="0"/>
      <w:marBottom w:val="0"/>
      <w:divBdr>
        <w:top w:val="none" w:sz="0" w:space="0" w:color="auto"/>
        <w:left w:val="none" w:sz="0" w:space="0" w:color="auto"/>
        <w:bottom w:val="none" w:sz="0" w:space="0" w:color="auto"/>
        <w:right w:val="none" w:sz="0" w:space="0" w:color="auto"/>
      </w:divBdr>
    </w:div>
    <w:div w:id="572742174">
      <w:bodyDiv w:val="1"/>
      <w:marLeft w:val="0"/>
      <w:marRight w:val="0"/>
      <w:marTop w:val="0"/>
      <w:marBottom w:val="0"/>
      <w:divBdr>
        <w:top w:val="none" w:sz="0" w:space="0" w:color="auto"/>
        <w:left w:val="none" w:sz="0" w:space="0" w:color="auto"/>
        <w:bottom w:val="none" w:sz="0" w:space="0" w:color="auto"/>
        <w:right w:val="none" w:sz="0" w:space="0" w:color="auto"/>
      </w:divBdr>
    </w:div>
    <w:div w:id="574751110">
      <w:bodyDiv w:val="1"/>
      <w:marLeft w:val="0"/>
      <w:marRight w:val="0"/>
      <w:marTop w:val="0"/>
      <w:marBottom w:val="0"/>
      <w:divBdr>
        <w:top w:val="none" w:sz="0" w:space="0" w:color="auto"/>
        <w:left w:val="none" w:sz="0" w:space="0" w:color="auto"/>
        <w:bottom w:val="none" w:sz="0" w:space="0" w:color="auto"/>
        <w:right w:val="none" w:sz="0" w:space="0" w:color="auto"/>
      </w:divBdr>
    </w:div>
    <w:div w:id="576862499">
      <w:bodyDiv w:val="1"/>
      <w:marLeft w:val="0"/>
      <w:marRight w:val="0"/>
      <w:marTop w:val="0"/>
      <w:marBottom w:val="0"/>
      <w:divBdr>
        <w:top w:val="none" w:sz="0" w:space="0" w:color="auto"/>
        <w:left w:val="none" w:sz="0" w:space="0" w:color="auto"/>
        <w:bottom w:val="none" w:sz="0" w:space="0" w:color="auto"/>
        <w:right w:val="none" w:sz="0" w:space="0" w:color="auto"/>
      </w:divBdr>
    </w:div>
    <w:div w:id="594364057">
      <w:bodyDiv w:val="1"/>
      <w:marLeft w:val="0"/>
      <w:marRight w:val="0"/>
      <w:marTop w:val="0"/>
      <w:marBottom w:val="0"/>
      <w:divBdr>
        <w:top w:val="none" w:sz="0" w:space="0" w:color="auto"/>
        <w:left w:val="none" w:sz="0" w:space="0" w:color="auto"/>
        <w:bottom w:val="none" w:sz="0" w:space="0" w:color="auto"/>
        <w:right w:val="none" w:sz="0" w:space="0" w:color="auto"/>
      </w:divBdr>
    </w:div>
    <w:div w:id="606740336">
      <w:bodyDiv w:val="1"/>
      <w:marLeft w:val="0"/>
      <w:marRight w:val="0"/>
      <w:marTop w:val="0"/>
      <w:marBottom w:val="0"/>
      <w:divBdr>
        <w:top w:val="none" w:sz="0" w:space="0" w:color="auto"/>
        <w:left w:val="none" w:sz="0" w:space="0" w:color="auto"/>
        <w:bottom w:val="none" w:sz="0" w:space="0" w:color="auto"/>
        <w:right w:val="none" w:sz="0" w:space="0" w:color="auto"/>
      </w:divBdr>
    </w:div>
    <w:div w:id="611473736">
      <w:bodyDiv w:val="1"/>
      <w:marLeft w:val="0"/>
      <w:marRight w:val="0"/>
      <w:marTop w:val="0"/>
      <w:marBottom w:val="0"/>
      <w:divBdr>
        <w:top w:val="none" w:sz="0" w:space="0" w:color="auto"/>
        <w:left w:val="none" w:sz="0" w:space="0" w:color="auto"/>
        <w:bottom w:val="none" w:sz="0" w:space="0" w:color="auto"/>
        <w:right w:val="none" w:sz="0" w:space="0" w:color="auto"/>
      </w:divBdr>
    </w:div>
    <w:div w:id="612177927">
      <w:bodyDiv w:val="1"/>
      <w:marLeft w:val="0"/>
      <w:marRight w:val="0"/>
      <w:marTop w:val="0"/>
      <w:marBottom w:val="0"/>
      <w:divBdr>
        <w:top w:val="none" w:sz="0" w:space="0" w:color="auto"/>
        <w:left w:val="none" w:sz="0" w:space="0" w:color="auto"/>
        <w:bottom w:val="none" w:sz="0" w:space="0" w:color="auto"/>
        <w:right w:val="none" w:sz="0" w:space="0" w:color="auto"/>
      </w:divBdr>
    </w:div>
    <w:div w:id="624772737">
      <w:bodyDiv w:val="1"/>
      <w:marLeft w:val="0"/>
      <w:marRight w:val="0"/>
      <w:marTop w:val="0"/>
      <w:marBottom w:val="0"/>
      <w:divBdr>
        <w:top w:val="none" w:sz="0" w:space="0" w:color="auto"/>
        <w:left w:val="none" w:sz="0" w:space="0" w:color="auto"/>
        <w:bottom w:val="none" w:sz="0" w:space="0" w:color="auto"/>
        <w:right w:val="none" w:sz="0" w:space="0" w:color="auto"/>
      </w:divBdr>
    </w:div>
    <w:div w:id="639379587">
      <w:bodyDiv w:val="1"/>
      <w:marLeft w:val="0"/>
      <w:marRight w:val="0"/>
      <w:marTop w:val="0"/>
      <w:marBottom w:val="0"/>
      <w:divBdr>
        <w:top w:val="none" w:sz="0" w:space="0" w:color="auto"/>
        <w:left w:val="none" w:sz="0" w:space="0" w:color="auto"/>
        <w:bottom w:val="none" w:sz="0" w:space="0" w:color="auto"/>
        <w:right w:val="none" w:sz="0" w:space="0" w:color="auto"/>
      </w:divBdr>
    </w:div>
    <w:div w:id="667292637">
      <w:bodyDiv w:val="1"/>
      <w:marLeft w:val="0"/>
      <w:marRight w:val="0"/>
      <w:marTop w:val="0"/>
      <w:marBottom w:val="0"/>
      <w:divBdr>
        <w:top w:val="none" w:sz="0" w:space="0" w:color="auto"/>
        <w:left w:val="none" w:sz="0" w:space="0" w:color="auto"/>
        <w:bottom w:val="none" w:sz="0" w:space="0" w:color="auto"/>
        <w:right w:val="none" w:sz="0" w:space="0" w:color="auto"/>
      </w:divBdr>
    </w:div>
    <w:div w:id="680200332">
      <w:bodyDiv w:val="1"/>
      <w:marLeft w:val="0"/>
      <w:marRight w:val="0"/>
      <w:marTop w:val="0"/>
      <w:marBottom w:val="0"/>
      <w:divBdr>
        <w:top w:val="none" w:sz="0" w:space="0" w:color="auto"/>
        <w:left w:val="none" w:sz="0" w:space="0" w:color="auto"/>
        <w:bottom w:val="none" w:sz="0" w:space="0" w:color="auto"/>
        <w:right w:val="none" w:sz="0" w:space="0" w:color="auto"/>
      </w:divBdr>
    </w:div>
    <w:div w:id="684091514">
      <w:bodyDiv w:val="1"/>
      <w:marLeft w:val="0"/>
      <w:marRight w:val="0"/>
      <w:marTop w:val="0"/>
      <w:marBottom w:val="0"/>
      <w:divBdr>
        <w:top w:val="none" w:sz="0" w:space="0" w:color="auto"/>
        <w:left w:val="none" w:sz="0" w:space="0" w:color="auto"/>
        <w:bottom w:val="none" w:sz="0" w:space="0" w:color="auto"/>
        <w:right w:val="none" w:sz="0" w:space="0" w:color="auto"/>
      </w:divBdr>
    </w:div>
    <w:div w:id="692996187">
      <w:bodyDiv w:val="1"/>
      <w:marLeft w:val="0"/>
      <w:marRight w:val="0"/>
      <w:marTop w:val="0"/>
      <w:marBottom w:val="0"/>
      <w:divBdr>
        <w:top w:val="none" w:sz="0" w:space="0" w:color="auto"/>
        <w:left w:val="none" w:sz="0" w:space="0" w:color="auto"/>
        <w:bottom w:val="none" w:sz="0" w:space="0" w:color="auto"/>
        <w:right w:val="none" w:sz="0" w:space="0" w:color="auto"/>
      </w:divBdr>
    </w:div>
    <w:div w:id="698238991">
      <w:bodyDiv w:val="1"/>
      <w:marLeft w:val="0"/>
      <w:marRight w:val="0"/>
      <w:marTop w:val="0"/>
      <w:marBottom w:val="0"/>
      <w:divBdr>
        <w:top w:val="none" w:sz="0" w:space="0" w:color="auto"/>
        <w:left w:val="none" w:sz="0" w:space="0" w:color="auto"/>
        <w:bottom w:val="none" w:sz="0" w:space="0" w:color="auto"/>
        <w:right w:val="none" w:sz="0" w:space="0" w:color="auto"/>
      </w:divBdr>
    </w:div>
    <w:div w:id="713651510">
      <w:bodyDiv w:val="1"/>
      <w:marLeft w:val="0"/>
      <w:marRight w:val="0"/>
      <w:marTop w:val="0"/>
      <w:marBottom w:val="0"/>
      <w:divBdr>
        <w:top w:val="none" w:sz="0" w:space="0" w:color="auto"/>
        <w:left w:val="none" w:sz="0" w:space="0" w:color="auto"/>
        <w:bottom w:val="none" w:sz="0" w:space="0" w:color="auto"/>
        <w:right w:val="none" w:sz="0" w:space="0" w:color="auto"/>
      </w:divBdr>
    </w:div>
    <w:div w:id="714934316">
      <w:bodyDiv w:val="1"/>
      <w:marLeft w:val="0"/>
      <w:marRight w:val="0"/>
      <w:marTop w:val="0"/>
      <w:marBottom w:val="0"/>
      <w:divBdr>
        <w:top w:val="none" w:sz="0" w:space="0" w:color="auto"/>
        <w:left w:val="none" w:sz="0" w:space="0" w:color="auto"/>
        <w:bottom w:val="none" w:sz="0" w:space="0" w:color="auto"/>
        <w:right w:val="none" w:sz="0" w:space="0" w:color="auto"/>
      </w:divBdr>
    </w:div>
    <w:div w:id="716511296">
      <w:bodyDiv w:val="1"/>
      <w:marLeft w:val="0"/>
      <w:marRight w:val="0"/>
      <w:marTop w:val="0"/>
      <w:marBottom w:val="0"/>
      <w:divBdr>
        <w:top w:val="none" w:sz="0" w:space="0" w:color="auto"/>
        <w:left w:val="none" w:sz="0" w:space="0" w:color="auto"/>
        <w:bottom w:val="none" w:sz="0" w:space="0" w:color="auto"/>
        <w:right w:val="none" w:sz="0" w:space="0" w:color="auto"/>
      </w:divBdr>
    </w:div>
    <w:div w:id="716710279">
      <w:bodyDiv w:val="1"/>
      <w:marLeft w:val="0"/>
      <w:marRight w:val="0"/>
      <w:marTop w:val="0"/>
      <w:marBottom w:val="0"/>
      <w:divBdr>
        <w:top w:val="none" w:sz="0" w:space="0" w:color="auto"/>
        <w:left w:val="none" w:sz="0" w:space="0" w:color="auto"/>
        <w:bottom w:val="none" w:sz="0" w:space="0" w:color="auto"/>
        <w:right w:val="none" w:sz="0" w:space="0" w:color="auto"/>
      </w:divBdr>
    </w:div>
    <w:div w:id="716710426">
      <w:bodyDiv w:val="1"/>
      <w:marLeft w:val="0"/>
      <w:marRight w:val="0"/>
      <w:marTop w:val="0"/>
      <w:marBottom w:val="0"/>
      <w:divBdr>
        <w:top w:val="none" w:sz="0" w:space="0" w:color="auto"/>
        <w:left w:val="none" w:sz="0" w:space="0" w:color="auto"/>
        <w:bottom w:val="none" w:sz="0" w:space="0" w:color="auto"/>
        <w:right w:val="none" w:sz="0" w:space="0" w:color="auto"/>
      </w:divBdr>
    </w:div>
    <w:div w:id="724182989">
      <w:bodyDiv w:val="1"/>
      <w:marLeft w:val="0"/>
      <w:marRight w:val="0"/>
      <w:marTop w:val="0"/>
      <w:marBottom w:val="0"/>
      <w:divBdr>
        <w:top w:val="none" w:sz="0" w:space="0" w:color="auto"/>
        <w:left w:val="none" w:sz="0" w:space="0" w:color="auto"/>
        <w:bottom w:val="none" w:sz="0" w:space="0" w:color="auto"/>
        <w:right w:val="none" w:sz="0" w:space="0" w:color="auto"/>
      </w:divBdr>
    </w:div>
    <w:div w:id="732627094">
      <w:bodyDiv w:val="1"/>
      <w:marLeft w:val="0"/>
      <w:marRight w:val="0"/>
      <w:marTop w:val="0"/>
      <w:marBottom w:val="0"/>
      <w:divBdr>
        <w:top w:val="none" w:sz="0" w:space="0" w:color="auto"/>
        <w:left w:val="none" w:sz="0" w:space="0" w:color="auto"/>
        <w:bottom w:val="none" w:sz="0" w:space="0" w:color="auto"/>
        <w:right w:val="none" w:sz="0" w:space="0" w:color="auto"/>
      </w:divBdr>
    </w:div>
    <w:div w:id="735133223">
      <w:bodyDiv w:val="1"/>
      <w:marLeft w:val="0"/>
      <w:marRight w:val="0"/>
      <w:marTop w:val="0"/>
      <w:marBottom w:val="0"/>
      <w:divBdr>
        <w:top w:val="none" w:sz="0" w:space="0" w:color="auto"/>
        <w:left w:val="none" w:sz="0" w:space="0" w:color="auto"/>
        <w:bottom w:val="none" w:sz="0" w:space="0" w:color="auto"/>
        <w:right w:val="none" w:sz="0" w:space="0" w:color="auto"/>
      </w:divBdr>
      <w:divsChild>
        <w:div w:id="1641615415">
          <w:marLeft w:val="1166"/>
          <w:marRight w:val="0"/>
          <w:marTop w:val="240"/>
          <w:marBottom w:val="0"/>
          <w:divBdr>
            <w:top w:val="none" w:sz="0" w:space="0" w:color="auto"/>
            <w:left w:val="none" w:sz="0" w:space="0" w:color="auto"/>
            <w:bottom w:val="none" w:sz="0" w:space="0" w:color="auto"/>
            <w:right w:val="none" w:sz="0" w:space="0" w:color="auto"/>
          </w:divBdr>
        </w:div>
      </w:divsChild>
    </w:div>
    <w:div w:id="739210726">
      <w:bodyDiv w:val="1"/>
      <w:marLeft w:val="0"/>
      <w:marRight w:val="0"/>
      <w:marTop w:val="0"/>
      <w:marBottom w:val="0"/>
      <w:divBdr>
        <w:top w:val="none" w:sz="0" w:space="0" w:color="auto"/>
        <w:left w:val="none" w:sz="0" w:space="0" w:color="auto"/>
        <w:bottom w:val="none" w:sz="0" w:space="0" w:color="auto"/>
        <w:right w:val="none" w:sz="0" w:space="0" w:color="auto"/>
      </w:divBdr>
    </w:div>
    <w:div w:id="754208062">
      <w:bodyDiv w:val="1"/>
      <w:marLeft w:val="0"/>
      <w:marRight w:val="0"/>
      <w:marTop w:val="0"/>
      <w:marBottom w:val="0"/>
      <w:divBdr>
        <w:top w:val="none" w:sz="0" w:space="0" w:color="auto"/>
        <w:left w:val="none" w:sz="0" w:space="0" w:color="auto"/>
        <w:bottom w:val="none" w:sz="0" w:space="0" w:color="auto"/>
        <w:right w:val="none" w:sz="0" w:space="0" w:color="auto"/>
      </w:divBdr>
    </w:div>
    <w:div w:id="754595454">
      <w:bodyDiv w:val="1"/>
      <w:marLeft w:val="0"/>
      <w:marRight w:val="0"/>
      <w:marTop w:val="0"/>
      <w:marBottom w:val="0"/>
      <w:divBdr>
        <w:top w:val="none" w:sz="0" w:space="0" w:color="auto"/>
        <w:left w:val="none" w:sz="0" w:space="0" w:color="auto"/>
        <w:bottom w:val="none" w:sz="0" w:space="0" w:color="auto"/>
        <w:right w:val="none" w:sz="0" w:space="0" w:color="auto"/>
      </w:divBdr>
    </w:div>
    <w:div w:id="754672407">
      <w:bodyDiv w:val="1"/>
      <w:marLeft w:val="0"/>
      <w:marRight w:val="0"/>
      <w:marTop w:val="0"/>
      <w:marBottom w:val="0"/>
      <w:divBdr>
        <w:top w:val="none" w:sz="0" w:space="0" w:color="auto"/>
        <w:left w:val="none" w:sz="0" w:space="0" w:color="auto"/>
        <w:bottom w:val="none" w:sz="0" w:space="0" w:color="auto"/>
        <w:right w:val="none" w:sz="0" w:space="0" w:color="auto"/>
      </w:divBdr>
    </w:div>
    <w:div w:id="755171595">
      <w:bodyDiv w:val="1"/>
      <w:marLeft w:val="0"/>
      <w:marRight w:val="0"/>
      <w:marTop w:val="0"/>
      <w:marBottom w:val="0"/>
      <w:divBdr>
        <w:top w:val="none" w:sz="0" w:space="0" w:color="auto"/>
        <w:left w:val="none" w:sz="0" w:space="0" w:color="auto"/>
        <w:bottom w:val="none" w:sz="0" w:space="0" w:color="auto"/>
        <w:right w:val="none" w:sz="0" w:space="0" w:color="auto"/>
      </w:divBdr>
    </w:div>
    <w:div w:id="757023817">
      <w:bodyDiv w:val="1"/>
      <w:marLeft w:val="0"/>
      <w:marRight w:val="0"/>
      <w:marTop w:val="0"/>
      <w:marBottom w:val="0"/>
      <w:divBdr>
        <w:top w:val="none" w:sz="0" w:space="0" w:color="auto"/>
        <w:left w:val="none" w:sz="0" w:space="0" w:color="auto"/>
        <w:bottom w:val="none" w:sz="0" w:space="0" w:color="auto"/>
        <w:right w:val="none" w:sz="0" w:space="0" w:color="auto"/>
      </w:divBdr>
    </w:div>
    <w:div w:id="768888865">
      <w:bodyDiv w:val="1"/>
      <w:marLeft w:val="0"/>
      <w:marRight w:val="0"/>
      <w:marTop w:val="0"/>
      <w:marBottom w:val="0"/>
      <w:divBdr>
        <w:top w:val="none" w:sz="0" w:space="0" w:color="auto"/>
        <w:left w:val="none" w:sz="0" w:space="0" w:color="auto"/>
        <w:bottom w:val="none" w:sz="0" w:space="0" w:color="auto"/>
        <w:right w:val="none" w:sz="0" w:space="0" w:color="auto"/>
      </w:divBdr>
    </w:div>
    <w:div w:id="771976596">
      <w:bodyDiv w:val="1"/>
      <w:marLeft w:val="0"/>
      <w:marRight w:val="0"/>
      <w:marTop w:val="0"/>
      <w:marBottom w:val="0"/>
      <w:divBdr>
        <w:top w:val="none" w:sz="0" w:space="0" w:color="auto"/>
        <w:left w:val="none" w:sz="0" w:space="0" w:color="auto"/>
        <w:bottom w:val="none" w:sz="0" w:space="0" w:color="auto"/>
        <w:right w:val="none" w:sz="0" w:space="0" w:color="auto"/>
      </w:divBdr>
    </w:div>
    <w:div w:id="786314083">
      <w:bodyDiv w:val="1"/>
      <w:marLeft w:val="0"/>
      <w:marRight w:val="0"/>
      <w:marTop w:val="0"/>
      <w:marBottom w:val="0"/>
      <w:divBdr>
        <w:top w:val="none" w:sz="0" w:space="0" w:color="auto"/>
        <w:left w:val="none" w:sz="0" w:space="0" w:color="auto"/>
        <w:bottom w:val="none" w:sz="0" w:space="0" w:color="auto"/>
        <w:right w:val="none" w:sz="0" w:space="0" w:color="auto"/>
      </w:divBdr>
    </w:div>
    <w:div w:id="794374060">
      <w:bodyDiv w:val="1"/>
      <w:marLeft w:val="0"/>
      <w:marRight w:val="0"/>
      <w:marTop w:val="0"/>
      <w:marBottom w:val="0"/>
      <w:divBdr>
        <w:top w:val="none" w:sz="0" w:space="0" w:color="auto"/>
        <w:left w:val="none" w:sz="0" w:space="0" w:color="auto"/>
        <w:bottom w:val="none" w:sz="0" w:space="0" w:color="auto"/>
        <w:right w:val="none" w:sz="0" w:space="0" w:color="auto"/>
      </w:divBdr>
    </w:div>
    <w:div w:id="795565274">
      <w:bodyDiv w:val="1"/>
      <w:marLeft w:val="0"/>
      <w:marRight w:val="0"/>
      <w:marTop w:val="0"/>
      <w:marBottom w:val="0"/>
      <w:divBdr>
        <w:top w:val="none" w:sz="0" w:space="0" w:color="auto"/>
        <w:left w:val="none" w:sz="0" w:space="0" w:color="auto"/>
        <w:bottom w:val="none" w:sz="0" w:space="0" w:color="auto"/>
        <w:right w:val="none" w:sz="0" w:space="0" w:color="auto"/>
      </w:divBdr>
    </w:div>
    <w:div w:id="797335748">
      <w:bodyDiv w:val="1"/>
      <w:marLeft w:val="0"/>
      <w:marRight w:val="0"/>
      <w:marTop w:val="0"/>
      <w:marBottom w:val="0"/>
      <w:divBdr>
        <w:top w:val="none" w:sz="0" w:space="0" w:color="auto"/>
        <w:left w:val="none" w:sz="0" w:space="0" w:color="auto"/>
        <w:bottom w:val="none" w:sz="0" w:space="0" w:color="auto"/>
        <w:right w:val="none" w:sz="0" w:space="0" w:color="auto"/>
      </w:divBdr>
    </w:div>
    <w:div w:id="799105209">
      <w:bodyDiv w:val="1"/>
      <w:marLeft w:val="0"/>
      <w:marRight w:val="0"/>
      <w:marTop w:val="0"/>
      <w:marBottom w:val="0"/>
      <w:divBdr>
        <w:top w:val="none" w:sz="0" w:space="0" w:color="auto"/>
        <w:left w:val="none" w:sz="0" w:space="0" w:color="auto"/>
        <w:bottom w:val="none" w:sz="0" w:space="0" w:color="auto"/>
        <w:right w:val="none" w:sz="0" w:space="0" w:color="auto"/>
      </w:divBdr>
    </w:div>
    <w:div w:id="809250635">
      <w:bodyDiv w:val="1"/>
      <w:marLeft w:val="0"/>
      <w:marRight w:val="0"/>
      <w:marTop w:val="0"/>
      <w:marBottom w:val="0"/>
      <w:divBdr>
        <w:top w:val="none" w:sz="0" w:space="0" w:color="auto"/>
        <w:left w:val="none" w:sz="0" w:space="0" w:color="auto"/>
        <w:bottom w:val="none" w:sz="0" w:space="0" w:color="auto"/>
        <w:right w:val="none" w:sz="0" w:space="0" w:color="auto"/>
      </w:divBdr>
    </w:div>
    <w:div w:id="813060515">
      <w:bodyDiv w:val="1"/>
      <w:marLeft w:val="0"/>
      <w:marRight w:val="0"/>
      <w:marTop w:val="0"/>
      <w:marBottom w:val="0"/>
      <w:divBdr>
        <w:top w:val="none" w:sz="0" w:space="0" w:color="auto"/>
        <w:left w:val="none" w:sz="0" w:space="0" w:color="auto"/>
        <w:bottom w:val="none" w:sz="0" w:space="0" w:color="auto"/>
        <w:right w:val="none" w:sz="0" w:space="0" w:color="auto"/>
      </w:divBdr>
    </w:div>
    <w:div w:id="827400202">
      <w:bodyDiv w:val="1"/>
      <w:marLeft w:val="0"/>
      <w:marRight w:val="0"/>
      <w:marTop w:val="0"/>
      <w:marBottom w:val="0"/>
      <w:divBdr>
        <w:top w:val="none" w:sz="0" w:space="0" w:color="auto"/>
        <w:left w:val="none" w:sz="0" w:space="0" w:color="auto"/>
        <w:bottom w:val="none" w:sz="0" w:space="0" w:color="auto"/>
        <w:right w:val="none" w:sz="0" w:space="0" w:color="auto"/>
      </w:divBdr>
    </w:div>
    <w:div w:id="832063059">
      <w:bodyDiv w:val="1"/>
      <w:marLeft w:val="0"/>
      <w:marRight w:val="0"/>
      <w:marTop w:val="0"/>
      <w:marBottom w:val="0"/>
      <w:divBdr>
        <w:top w:val="none" w:sz="0" w:space="0" w:color="auto"/>
        <w:left w:val="none" w:sz="0" w:space="0" w:color="auto"/>
        <w:bottom w:val="none" w:sz="0" w:space="0" w:color="auto"/>
        <w:right w:val="none" w:sz="0" w:space="0" w:color="auto"/>
      </w:divBdr>
    </w:div>
    <w:div w:id="832911013">
      <w:bodyDiv w:val="1"/>
      <w:marLeft w:val="0"/>
      <w:marRight w:val="0"/>
      <w:marTop w:val="0"/>
      <w:marBottom w:val="0"/>
      <w:divBdr>
        <w:top w:val="none" w:sz="0" w:space="0" w:color="auto"/>
        <w:left w:val="none" w:sz="0" w:space="0" w:color="auto"/>
        <w:bottom w:val="none" w:sz="0" w:space="0" w:color="auto"/>
        <w:right w:val="none" w:sz="0" w:space="0" w:color="auto"/>
      </w:divBdr>
    </w:div>
    <w:div w:id="839925601">
      <w:bodyDiv w:val="1"/>
      <w:marLeft w:val="0"/>
      <w:marRight w:val="0"/>
      <w:marTop w:val="0"/>
      <w:marBottom w:val="0"/>
      <w:divBdr>
        <w:top w:val="none" w:sz="0" w:space="0" w:color="auto"/>
        <w:left w:val="none" w:sz="0" w:space="0" w:color="auto"/>
        <w:bottom w:val="none" w:sz="0" w:space="0" w:color="auto"/>
        <w:right w:val="none" w:sz="0" w:space="0" w:color="auto"/>
      </w:divBdr>
    </w:div>
    <w:div w:id="843326188">
      <w:bodyDiv w:val="1"/>
      <w:marLeft w:val="0"/>
      <w:marRight w:val="0"/>
      <w:marTop w:val="0"/>
      <w:marBottom w:val="0"/>
      <w:divBdr>
        <w:top w:val="none" w:sz="0" w:space="0" w:color="auto"/>
        <w:left w:val="none" w:sz="0" w:space="0" w:color="auto"/>
        <w:bottom w:val="none" w:sz="0" w:space="0" w:color="auto"/>
        <w:right w:val="none" w:sz="0" w:space="0" w:color="auto"/>
      </w:divBdr>
    </w:div>
    <w:div w:id="846335080">
      <w:bodyDiv w:val="1"/>
      <w:marLeft w:val="0"/>
      <w:marRight w:val="0"/>
      <w:marTop w:val="0"/>
      <w:marBottom w:val="0"/>
      <w:divBdr>
        <w:top w:val="none" w:sz="0" w:space="0" w:color="auto"/>
        <w:left w:val="none" w:sz="0" w:space="0" w:color="auto"/>
        <w:bottom w:val="none" w:sz="0" w:space="0" w:color="auto"/>
        <w:right w:val="none" w:sz="0" w:space="0" w:color="auto"/>
      </w:divBdr>
    </w:div>
    <w:div w:id="847450365">
      <w:bodyDiv w:val="1"/>
      <w:marLeft w:val="0"/>
      <w:marRight w:val="0"/>
      <w:marTop w:val="0"/>
      <w:marBottom w:val="0"/>
      <w:divBdr>
        <w:top w:val="none" w:sz="0" w:space="0" w:color="auto"/>
        <w:left w:val="none" w:sz="0" w:space="0" w:color="auto"/>
        <w:bottom w:val="none" w:sz="0" w:space="0" w:color="auto"/>
        <w:right w:val="none" w:sz="0" w:space="0" w:color="auto"/>
      </w:divBdr>
    </w:div>
    <w:div w:id="850678803">
      <w:bodyDiv w:val="1"/>
      <w:marLeft w:val="0"/>
      <w:marRight w:val="0"/>
      <w:marTop w:val="0"/>
      <w:marBottom w:val="0"/>
      <w:divBdr>
        <w:top w:val="none" w:sz="0" w:space="0" w:color="auto"/>
        <w:left w:val="none" w:sz="0" w:space="0" w:color="auto"/>
        <w:bottom w:val="none" w:sz="0" w:space="0" w:color="auto"/>
        <w:right w:val="none" w:sz="0" w:space="0" w:color="auto"/>
      </w:divBdr>
    </w:div>
    <w:div w:id="851576964">
      <w:bodyDiv w:val="1"/>
      <w:marLeft w:val="0"/>
      <w:marRight w:val="0"/>
      <w:marTop w:val="0"/>
      <w:marBottom w:val="0"/>
      <w:divBdr>
        <w:top w:val="none" w:sz="0" w:space="0" w:color="auto"/>
        <w:left w:val="none" w:sz="0" w:space="0" w:color="auto"/>
        <w:bottom w:val="none" w:sz="0" w:space="0" w:color="auto"/>
        <w:right w:val="none" w:sz="0" w:space="0" w:color="auto"/>
      </w:divBdr>
      <w:divsChild>
        <w:div w:id="213590493">
          <w:marLeft w:val="0"/>
          <w:marRight w:val="0"/>
          <w:marTop w:val="0"/>
          <w:marBottom w:val="0"/>
          <w:divBdr>
            <w:top w:val="none" w:sz="0" w:space="0" w:color="auto"/>
            <w:left w:val="none" w:sz="0" w:space="0" w:color="auto"/>
            <w:bottom w:val="none" w:sz="0" w:space="0" w:color="auto"/>
            <w:right w:val="none" w:sz="0" w:space="0" w:color="auto"/>
          </w:divBdr>
        </w:div>
        <w:div w:id="919412737">
          <w:marLeft w:val="0"/>
          <w:marRight w:val="0"/>
          <w:marTop w:val="0"/>
          <w:marBottom w:val="0"/>
          <w:divBdr>
            <w:top w:val="none" w:sz="0" w:space="0" w:color="auto"/>
            <w:left w:val="none" w:sz="0" w:space="0" w:color="auto"/>
            <w:bottom w:val="none" w:sz="0" w:space="0" w:color="auto"/>
            <w:right w:val="none" w:sz="0" w:space="0" w:color="auto"/>
          </w:divBdr>
        </w:div>
        <w:div w:id="1188371858">
          <w:marLeft w:val="0"/>
          <w:marRight w:val="0"/>
          <w:marTop w:val="0"/>
          <w:marBottom w:val="0"/>
          <w:divBdr>
            <w:top w:val="none" w:sz="0" w:space="0" w:color="auto"/>
            <w:left w:val="none" w:sz="0" w:space="0" w:color="auto"/>
            <w:bottom w:val="none" w:sz="0" w:space="0" w:color="auto"/>
            <w:right w:val="none" w:sz="0" w:space="0" w:color="auto"/>
          </w:divBdr>
        </w:div>
        <w:div w:id="1375274997">
          <w:marLeft w:val="0"/>
          <w:marRight w:val="0"/>
          <w:marTop w:val="0"/>
          <w:marBottom w:val="0"/>
          <w:divBdr>
            <w:top w:val="none" w:sz="0" w:space="0" w:color="auto"/>
            <w:left w:val="none" w:sz="0" w:space="0" w:color="auto"/>
            <w:bottom w:val="none" w:sz="0" w:space="0" w:color="auto"/>
            <w:right w:val="none" w:sz="0" w:space="0" w:color="auto"/>
          </w:divBdr>
        </w:div>
        <w:div w:id="1653487819">
          <w:marLeft w:val="0"/>
          <w:marRight w:val="0"/>
          <w:marTop w:val="0"/>
          <w:marBottom w:val="0"/>
          <w:divBdr>
            <w:top w:val="none" w:sz="0" w:space="0" w:color="auto"/>
            <w:left w:val="none" w:sz="0" w:space="0" w:color="auto"/>
            <w:bottom w:val="none" w:sz="0" w:space="0" w:color="auto"/>
            <w:right w:val="none" w:sz="0" w:space="0" w:color="auto"/>
          </w:divBdr>
        </w:div>
      </w:divsChild>
    </w:div>
    <w:div w:id="865406803">
      <w:bodyDiv w:val="1"/>
      <w:marLeft w:val="0"/>
      <w:marRight w:val="0"/>
      <w:marTop w:val="0"/>
      <w:marBottom w:val="0"/>
      <w:divBdr>
        <w:top w:val="none" w:sz="0" w:space="0" w:color="auto"/>
        <w:left w:val="none" w:sz="0" w:space="0" w:color="auto"/>
        <w:bottom w:val="none" w:sz="0" w:space="0" w:color="auto"/>
        <w:right w:val="none" w:sz="0" w:space="0" w:color="auto"/>
      </w:divBdr>
    </w:div>
    <w:div w:id="878474564">
      <w:bodyDiv w:val="1"/>
      <w:marLeft w:val="0"/>
      <w:marRight w:val="0"/>
      <w:marTop w:val="0"/>
      <w:marBottom w:val="0"/>
      <w:divBdr>
        <w:top w:val="none" w:sz="0" w:space="0" w:color="auto"/>
        <w:left w:val="none" w:sz="0" w:space="0" w:color="auto"/>
        <w:bottom w:val="none" w:sz="0" w:space="0" w:color="auto"/>
        <w:right w:val="none" w:sz="0" w:space="0" w:color="auto"/>
      </w:divBdr>
    </w:div>
    <w:div w:id="891238171">
      <w:bodyDiv w:val="1"/>
      <w:marLeft w:val="0"/>
      <w:marRight w:val="0"/>
      <w:marTop w:val="0"/>
      <w:marBottom w:val="0"/>
      <w:divBdr>
        <w:top w:val="none" w:sz="0" w:space="0" w:color="auto"/>
        <w:left w:val="none" w:sz="0" w:space="0" w:color="auto"/>
        <w:bottom w:val="none" w:sz="0" w:space="0" w:color="auto"/>
        <w:right w:val="none" w:sz="0" w:space="0" w:color="auto"/>
      </w:divBdr>
      <w:divsChild>
        <w:div w:id="1049501723">
          <w:marLeft w:val="0"/>
          <w:marRight w:val="0"/>
          <w:marTop w:val="0"/>
          <w:marBottom w:val="0"/>
          <w:divBdr>
            <w:top w:val="none" w:sz="0" w:space="0" w:color="auto"/>
            <w:left w:val="none" w:sz="0" w:space="0" w:color="auto"/>
            <w:bottom w:val="none" w:sz="0" w:space="0" w:color="auto"/>
            <w:right w:val="none" w:sz="0" w:space="0" w:color="auto"/>
          </w:divBdr>
          <w:divsChild>
            <w:div w:id="2058698157">
              <w:marLeft w:val="0"/>
              <w:marRight w:val="0"/>
              <w:marTop w:val="0"/>
              <w:marBottom w:val="0"/>
              <w:divBdr>
                <w:top w:val="none" w:sz="0" w:space="0" w:color="auto"/>
                <w:left w:val="none" w:sz="0" w:space="0" w:color="auto"/>
                <w:bottom w:val="none" w:sz="0" w:space="0" w:color="auto"/>
                <w:right w:val="none" w:sz="0" w:space="0" w:color="auto"/>
              </w:divBdr>
              <w:divsChild>
                <w:div w:id="107287406">
                  <w:marLeft w:val="0"/>
                  <w:marRight w:val="0"/>
                  <w:marTop w:val="0"/>
                  <w:marBottom w:val="0"/>
                  <w:divBdr>
                    <w:top w:val="none" w:sz="0" w:space="0" w:color="auto"/>
                    <w:left w:val="none" w:sz="0" w:space="0" w:color="auto"/>
                    <w:bottom w:val="none" w:sz="0" w:space="0" w:color="auto"/>
                    <w:right w:val="none" w:sz="0" w:space="0" w:color="auto"/>
                  </w:divBdr>
                  <w:divsChild>
                    <w:div w:id="6166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32674">
      <w:bodyDiv w:val="1"/>
      <w:marLeft w:val="0"/>
      <w:marRight w:val="0"/>
      <w:marTop w:val="0"/>
      <w:marBottom w:val="0"/>
      <w:divBdr>
        <w:top w:val="none" w:sz="0" w:space="0" w:color="auto"/>
        <w:left w:val="none" w:sz="0" w:space="0" w:color="auto"/>
        <w:bottom w:val="none" w:sz="0" w:space="0" w:color="auto"/>
        <w:right w:val="none" w:sz="0" w:space="0" w:color="auto"/>
      </w:divBdr>
    </w:div>
    <w:div w:id="894126454">
      <w:bodyDiv w:val="1"/>
      <w:marLeft w:val="0"/>
      <w:marRight w:val="0"/>
      <w:marTop w:val="0"/>
      <w:marBottom w:val="0"/>
      <w:divBdr>
        <w:top w:val="none" w:sz="0" w:space="0" w:color="auto"/>
        <w:left w:val="none" w:sz="0" w:space="0" w:color="auto"/>
        <w:bottom w:val="none" w:sz="0" w:space="0" w:color="auto"/>
        <w:right w:val="none" w:sz="0" w:space="0" w:color="auto"/>
      </w:divBdr>
    </w:div>
    <w:div w:id="900406116">
      <w:bodyDiv w:val="1"/>
      <w:marLeft w:val="0"/>
      <w:marRight w:val="0"/>
      <w:marTop w:val="0"/>
      <w:marBottom w:val="0"/>
      <w:divBdr>
        <w:top w:val="none" w:sz="0" w:space="0" w:color="auto"/>
        <w:left w:val="none" w:sz="0" w:space="0" w:color="auto"/>
        <w:bottom w:val="none" w:sz="0" w:space="0" w:color="auto"/>
        <w:right w:val="none" w:sz="0" w:space="0" w:color="auto"/>
      </w:divBdr>
    </w:div>
    <w:div w:id="905258829">
      <w:bodyDiv w:val="1"/>
      <w:marLeft w:val="0"/>
      <w:marRight w:val="0"/>
      <w:marTop w:val="0"/>
      <w:marBottom w:val="0"/>
      <w:divBdr>
        <w:top w:val="none" w:sz="0" w:space="0" w:color="auto"/>
        <w:left w:val="none" w:sz="0" w:space="0" w:color="auto"/>
        <w:bottom w:val="none" w:sz="0" w:space="0" w:color="auto"/>
        <w:right w:val="none" w:sz="0" w:space="0" w:color="auto"/>
      </w:divBdr>
    </w:div>
    <w:div w:id="919101239">
      <w:bodyDiv w:val="1"/>
      <w:marLeft w:val="0"/>
      <w:marRight w:val="0"/>
      <w:marTop w:val="0"/>
      <w:marBottom w:val="0"/>
      <w:divBdr>
        <w:top w:val="none" w:sz="0" w:space="0" w:color="auto"/>
        <w:left w:val="none" w:sz="0" w:space="0" w:color="auto"/>
        <w:bottom w:val="none" w:sz="0" w:space="0" w:color="auto"/>
        <w:right w:val="none" w:sz="0" w:space="0" w:color="auto"/>
      </w:divBdr>
    </w:div>
    <w:div w:id="919563054">
      <w:bodyDiv w:val="1"/>
      <w:marLeft w:val="0"/>
      <w:marRight w:val="0"/>
      <w:marTop w:val="0"/>
      <w:marBottom w:val="0"/>
      <w:divBdr>
        <w:top w:val="none" w:sz="0" w:space="0" w:color="auto"/>
        <w:left w:val="none" w:sz="0" w:space="0" w:color="auto"/>
        <w:bottom w:val="none" w:sz="0" w:space="0" w:color="auto"/>
        <w:right w:val="none" w:sz="0" w:space="0" w:color="auto"/>
      </w:divBdr>
    </w:div>
    <w:div w:id="920990003">
      <w:bodyDiv w:val="1"/>
      <w:marLeft w:val="0"/>
      <w:marRight w:val="0"/>
      <w:marTop w:val="0"/>
      <w:marBottom w:val="0"/>
      <w:divBdr>
        <w:top w:val="none" w:sz="0" w:space="0" w:color="auto"/>
        <w:left w:val="none" w:sz="0" w:space="0" w:color="auto"/>
        <w:bottom w:val="none" w:sz="0" w:space="0" w:color="auto"/>
        <w:right w:val="none" w:sz="0" w:space="0" w:color="auto"/>
      </w:divBdr>
    </w:div>
    <w:div w:id="924538670">
      <w:bodyDiv w:val="1"/>
      <w:marLeft w:val="0"/>
      <w:marRight w:val="0"/>
      <w:marTop w:val="0"/>
      <w:marBottom w:val="0"/>
      <w:divBdr>
        <w:top w:val="none" w:sz="0" w:space="0" w:color="auto"/>
        <w:left w:val="none" w:sz="0" w:space="0" w:color="auto"/>
        <w:bottom w:val="none" w:sz="0" w:space="0" w:color="auto"/>
        <w:right w:val="none" w:sz="0" w:space="0" w:color="auto"/>
      </w:divBdr>
    </w:div>
    <w:div w:id="926157979">
      <w:bodyDiv w:val="1"/>
      <w:marLeft w:val="0"/>
      <w:marRight w:val="0"/>
      <w:marTop w:val="0"/>
      <w:marBottom w:val="0"/>
      <w:divBdr>
        <w:top w:val="none" w:sz="0" w:space="0" w:color="auto"/>
        <w:left w:val="none" w:sz="0" w:space="0" w:color="auto"/>
        <w:bottom w:val="none" w:sz="0" w:space="0" w:color="auto"/>
        <w:right w:val="none" w:sz="0" w:space="0" w:color="auto"/>
      </w:divBdr>
    </w:div>
    <w:div w:id="928395083">
      <w:bodyDiv w:val="1"/>
      <w:marLeft w:val="0"/>
      <w:marRight w:val="0"/>
      <w:marTop w:val="0"/>
      <w:marBottom w:val="0"/>
      <w:divBdr>
        <w:top w:val="none" w:sz="0" w:space="0" w:color="auto"/>
        <w:left w:val="none" w:sz="0" w:space="0" w:color="auto"/>
        <w:bottom w:val="none" w:sz="0" w:space="0" w:color="auto"/>
        <w:right w:val="none" w:sz="0" w:space="0" w:color="auto"/>
      </w:divBdr>
    </w:div>
    <w:div w:id="937251033">
      <w:bodyDiv w:val="1"/>
      <w:marLeft w:val="0"/>
      <w:marRight w:val="0"/>
      <w:marTop w:val="0"/>
      <w:marBottom w:val="0"/>
      <w:divBdr>
        <w:top w:val="none" w:sz="0" w:space="0" w:color="auto"/>
        <w:left w:val="none" w:sz="0" w:space="0" w:color="auto"/>
        <w:bottom w:val="none" w:sz="0" w:space="0" w:color="auto"/>
        <w:right w:val="none" w:sz="0" w:space="0" w:color="auto"/>
      </w:divBdr>
    </w:div>
    <w:div w:id="945311909">
      <w:bodyDiv w:val="1"/>
      <w:marLeft w:val="0"/>
      <w:marRight w:val="0"/>
      <w:marTop w:val="0"/>
      <w:marBottom w:val="0"/>
      <w:divBdr>
        <w:top w:val="none" w:sz="0" w:space="0" w:color="auto"/>
        <w:left w:val="none" w:sz="0" w:space="0" w:color="auto"/>
        <w:bottom w:val="none" w:sz="0" w:space="0" w:color="auto"/>
        <w:right w:val="none" w:sz="0" w:space="0" w:color="auto"/>
      </w:divBdr>
    </w:div>
    <w:div w:id="956331526">
      <w:bodyDiv w:val="1"/>
      <w:marLeft w:val="0"/>
      <w:marRight w:val="0"/>
      <w:marTop w:val="0"/>
      <w:marBottom w:val="0"/>
      <w:divBdr>
        <w:top w:val="none" w:sz="0" w:space="0" w:color="auto"/>
        <w:left w:val="none" w:sz="0" w:space="0" w:color="auto"/>
        <w:bottom w:val="none" w:sz="0" w:space="0" w:color="auto"/>
        <w:right w:val="none" w:sz="0" w:space="0" w:color="auto"/>
      </w:divBdr>
    </w:div>
    <w:div w:id="960958757">
      <w:bodyDiv w:val="1"/>
      <w:marLeft w:val="0"/>
      <w:marRight w:val="0"/>
      <w:marTop w:val="0"/>
      <w:marBottom w:val="0"/>
      <w:divBdr>
        <w:top w:val="none" w:sz="0" w:space="0" w:color="auto"/>
        <w:left w:val="none" w:sz="0" w:space="0" w:color="auto"/>
        <w:bottom w:val="none" w:sz="0" w:space="0" w:color="auto"/>
        <w:right w:val="none" w:sz="0" w:space="0" w:color="auto"/>
      </w:divBdr>
    </w:div>
    <w:div w:id="963072852">
      <w:bodyDiv w:val="1"/>
      <w:marLeft w:val="0"/>
      <w:marRight w:val="0"/>
      <w:marTop w:val="0"/>
      <w:marBottom w:val="0"/>
      <w:divBdr>
        <w:top w:val="none" w:sz="0" w:space="0" w:color="auto"/>
        <w:left w:val="none" w:sz="0" w:space="0" w:color="auto"/>
        <w:bottom w:val="none" w:sz="0" w:space="0" w:color="auto"/>
        <w:right w:val="none" w:sz="0" w:space="0" w:color="auto"/>
      </w:divBdr>
    </w:div>
    <w:div w:id="969749967">
      <w:bodyDiv w:val="1"/>
      <w:marLeft w:val="0"/>
      <w:marRight w:val="0"/>
      <w:marTop w:val="0"/>
      <w:marBottom w:val="0"/>
      <w:divBdr>
        <w:top w:val="none" w:sz="0" w:space="0" w:color="auto"/>
        <w:left w:val="none" w:sz="0" w:space="0" w:color="auto"/>
        <w:bottom w:val="none" w:sz="0" w:space="0" w:color="auto"/>
        <w:right w:val="none" w:sz="0" w:space="0" w:color="auto"/>
      </w:divBdr>
    </w:div>
    <w:div w:id="971178635">
      <w:bodyDiv w:val="1"/>
      <w:marLeft w:val="0"/>
      <w:marRight w:val="0"/>
      <w:marTop w:val="0"/>
      <w:marBottom w:val="0"/>
      <w:divBdr>
        <w:top w:val="none" w:sz="0" w:space="0" w:color="auto"/>
        <w:left w:val="none" w:sz="0" w:space="0" w:color="auto"/>
        <w:bottom w:val="none" w:sz="0" w:space="0" w:color="auto"/>
        <w:right w:val="none" w:sz="0" w:space="0" w:color="auto"/>
      </w:divBdr>
    </w:div>
    <w:div w:id="982199153">
      <w:bodyDiv w:val="1"/>
      <w:marLeft w:val="0"/>
      <w:marRight w:val="0"/>
      <w:marTop w:val="0"/>
      <w:marBottom w:val="0"/>
      <w:divBdr>
        <w:top w:val="none" w:sz="0" w:space="0" w:color="auto"/>
        <w:left w:val="none" w:sz="0" w:space="0" w:color="auto"/>
        <w:bottom w:val="none" w:sz="0" w:space="0" w:color="auto"/>
        <w:right w:val="none" w:sz="0" w:space="0" w:color="auto"/>
      </w:divBdr>
    </w:div>
    <w:div w:id="982274014">
      <w:bodyDiv w:val="1"/>
      <w:marLeft w:val="0"/>
      <w:marRight w:val="0"/>
      <w:marTop w:val="0"/>
      <w:marBottom w:val="0"/>
      <w:divBdr>
        <w:top w:val="none" w:sz="0" w:space="0" w:color="auto"/>
        <w:left w:val="none" w:sz="0" w:space="0" w:color="auto"/>
        <w:bottom w:val="none" w:sz="0" w:space="0" w:color="auto"/>
        <w:right w:val="none" w:sz="0" w:space="0" w:color="auto"/>
      </w:divBdr>
    </w:div>
    <w:div w:id="989746356">
      <w:bodyDiv w:val="1"/>
      <w:marLeft w:val="0"/>
      <w:marRight w:val="0"/>
      <w:marTop w:val="0"/>
      <w:marBottom w:val="0"/>
      <w:divBdr>
        <w:top w:val="none" w:sz="0" w:space="0" w:color="auto"/>
        <w:left w:val="none" w:sz="0" w:space="0" w:color="auto"/>
        <w:bottom w:val="none" w:sz="0" w:space="0" w:color="auto"/>
        <w:right w:val="none" w:sz="0" w:space="0" w:color="auto"/>
      </w:divBdr>
    </w:div>
    <w:div w:id="991786298">
      <w:bodyDiv w:val="1"/>
      <w:marLeft w:val="0"/>
      <w:marRight w:val="0"/>
      <w:marTop w:val="0"/>
      <w:marBottom w:val="0"/>
      <w:divBdr>
        <w:top w:val="none" w:sz="0" w:space="0" w:color="auto"/>
        <w:left w:val="none" w:sz="0" w:space="0" w:color="auto"/>
        <w:bottom w:val="none" w:sz="0" w:space="0" w:color="auto"/>
        <w:right w:val="none" w:sz="0" w:space="0" w:color="auto"/>
      </w:divBdr>
    </w:div>
    <w:div w:id="1003313765">
      <w:bodyDiv w:val="1"/>
      <w:marLeft w:val="0"/>
      <w:marRight w:val="0"/>
      <w:marTop w:val="0"/>
      <w:marBottom w:val="0"/>
      <w:divBdr>
        <w:top w:val="none" w:sz="0" w:space="0" w:color="auto"/>
        <w:left w:val="none" w:sz="0" w:space="0" w:color="auto"/>
        <w:bottom w:val="none" w:sz="0" w:space="0" w:color="auto"/>
        <w:right w:val="none" w:sz="0" w:space="0" w:color="auto"/>
      </w:divBdr>
    </w:div>
    <w:div w:id="1004816292">
      <w:bodyDiv w:val="1"/>
      <w:marLeft w:val="0"/>
      <w:marRight w:val="0"/>
      <w:marTop w:val="0"/>
      <w:marBottom w:val="0"/>
      <w:divBdr>
        <w:top w:val="none" w:sz="0" w:space="0" w:color="auto"/>
        <w:left w:val="none" w:sz="0" w:space="0" w:color="auto"/>
        <w:bottom w:val="none" w:sz="0" w:space="0" w:color="auto"/>
        <w:right w:val="none" w:sz="0" w:space="0" w:color="auto"/>
      </w:divBdr>
    </w:div>
    <w:div w:id="1005325200">
      <w:bodyDiv w:val="1"/>
      <w:marLeft w:val="0"/>
      <w:marRight w:val="0"/>
      <w:marTop w:val="0"/>
      <w:marBottom w:val="0"/>
      <w:divBdr>
        <w:top w:val="none" w:sz="0" w:space="0" w:color="auto"/>
        <w:left w:val="none" w:sz="0" w:space="0" w:color="auto"/>
        <w:bottom w:val="none" w:sz="0" w:space="0" w:color="auto"/>
        <w:right w:val="none" w:sz="0" w:space="0" w:color="auto"/>
      </w:divBdr>
    </w:div>
    <w:div w:id="1014188372">
      <w:bodyDiv w:val="1"/>
      <w:marLeft w:val="0"/>
      <w:marRight w:val="0"/>
      <w:marTop w:val="0"/>
      <w:marBottom w:val="0"/>
      <w:divBdr>
        <w:top w:val="none" w:sz="0" w:space="0" w:color="auto"/>
        <w:left w:val="none" w:sz="0" w:space="0" w:color="auto"/>
        <w:bottom w:val="none" w:sz="0" w:space="0" w:color="auto"/>
        <w:right w:val="none" w:sz="0" w:space="0" w:color="auto"/>
      </w:divBdr>
    </w:div>
    <w:div w:id="1020203531">
      <w:bodyDiv w:val="1"/>
      <w:marLeft w:val="0"/>
      <w:marRight w:val="0"/>
      <w:marTop w:val="0"/>
      <w:marBottom w:val="0"/>
      <w:divBdr>
        <w:top w:val="none" w:sz="0" w:space="0" w:color="auto"/>
        <w:left w:val="none" w:sz="0" w:space="0" w:color="auto"/>
        <w:bottom w:val="none" w:sz="0" w:space="0" w:color="auto"/>
        <w:right w:val="none" w:sz="0" w:space="0" w:color="auto"/>
      </w:divBdr>
    </w:div>
    <w:div w:id="1021784790">
      <w:bodyDiv w:val="1"/>
      <w:marLeft w:val="0"/>
      <w:marRight w:val="0"/>
      <w:marTop w:val="0"/>
      <w:marBottom w:val="0"/>
      <w:divBdr>
        <w:top w:val="none" w:sz="0" w:space="0" w:color="auto"/>
        <w:left w:val="none" w:sz="0" w:space="0" w:color="auto"/>
        <w:bottom w:val="none" w:sz="0" w:space="0" w:color="auto"/>
        <w:right w:val="none" w:sz="0" w:space="0" w:color="auto"/>
      </w:divBdr>
    </w:div>
    <w:div w:id="1023483219">
      <w:bodyDiv w:val="1"/>
      <w:marLeft w:val="0"/>
      <w:marRight w:val="0"/>
      <w:marTop w:val="0"/>
      <w:marBottom w:val="0"/>
      <w:divBdr>
        <w:top w:val="none" w:sz="0" w:space="0" w:color="auto"/>
        <w:left w:val="none" w:sz="0" w:space="0" w:color="auto"/>
        <w:bottom w:val="none" w:sz="0" w:space="0" w:color="auto"/>
        <w:right w:val="none" w:sz="0" w:space="0" w:color="auto"/>
      </w:divBdr>
    </w:div>
    <w:div w:id="1023677351">
      <w:bodyDiv w:val="1"/>
      <w:marLeft w:val="0"/>
      <w:marRight w:val="0"/>
      <w:marTop w:val="0"/>
      <w:marBottom w:val="0"/>
      <w:divBdr>
        <w:top w:val="none" w:sz="0" w:space="0" w:color="auto"/>
        <w:left w:val="none" w:sz="0" w:space="0" w:color="auto"/>
        <w:bottom w:val="none" w:sz="0" w:space="0" w:color="auto"/>
        <w:right w:val="none" w:sz="0" w:space="0" w:color="auto"/>
      </w:divBdr>
    </w:div>
    <w:div w:id="1027559810">
      <w:bodyDiv w:val="1"/>
      <w:marLeft w:val="0"/>
      <w:marRight w:val="0"/>
      <w:marTop w:val="0"/>
      <w:marBottom w:val="0"/>
      <w:divBdr>
        <w:top w:val="none" w:sz="0" w:space="0" w:color="auto"/>
        <w:left w:val="none" w:sz="0" w:space="0" w:color="auto"/>
        <w:bottom w:val="none" w:sz="0" w:space="0" w:color="auto"/>
        <w:right w:val="none" w:sz="0" w:space="0" w:color="auto"/>
      </w:divBdr>
    </w:div>
    <w:div w:id="1034841183">
      <w:bodyDiv w:val="1"/>
      <w:marLeft w:val="0"/>
      <w:marRight w:val="0"/>
      <w:marTop w:val="0"/>
      <w:marBottom w:val="0"/>
      <w:divBdr>
        <w:top w:val="none" w:sz="0" w:space="0" w:color="auto"/>
        <w:left w:val="none" w:sz="0" w:space="0" w:color="auto"/>
        <w:bottom w:val="none" w:sz="0" w:space="0" w:color="auto"/>
        <w:right w:val="none" w:sz="0" w:space="0" w:color="auto"/>
      </w:divBdr>
    </w:div>
    <w:div w:id="1053456848">
      <w:bodyDiv w:val="1"/>
      <w:marLeft w:val="0"/>
      <w:marRight w:val="0"/>
      <w:marTop w:val="0"/>
      <w:marBottom w:val="0"/>
      <w:divBdr>
        <w:top w:val="none" w:sz="0" w:space="0" w:color="auto"/>
        <w:left w:val="none" w:sz="0" w:space="0" w:color="auto"/>
        <w:bottom w:val="none" w:sz="0" w:space="0" w:color="auto"/>
        <w:right w:val="none" w:sz="0" w:space="0" w:color="auto"/>
      </w:divBdr>
    </w:div>
    <w:div w:id="1059209116">
      <w:bodyDiv w:val="1"/>
      <w:marLeft w:val="0"/>
      <w:marRight w:val="0"/>
      <w:marTop w:val="0"/>
      <w:marBottom w:val="0"/>
      <w:divBdr>
        <w:top w:val="none" w:sz="0" w:space="0" w:color="auto"/>
        <w:left w:val="none" w:sz="0" w:space="0" w:color="auto"/>
        <w:bottom w:val="none" w:sz="0" w:space="0" w:color="auto"/>
        <w:right w:val="none" w:sz="0" w:space="0" w:color="auto"/>
      </w:divBdr>
    </w:div>
    <w:div w:id="1064523613">
      <w:bodyDiv w:val="1"/>
      <w:marLeft w:val="0"/>
      <w:marRight w:val="0"/>
      <w:marTop w:val="0"/>
      <w:marBottom w:val="0"/>
      <w:divBdr>
        <w:top w:val="none" w:sz="0" w:space="0" w:color="auto"/>
        <w:left w:val="none" w:sz="0" w:space="0" w:color="auto"/>
        <w:bottom w:val="none" w:sz="0" w:space="0" w:color="auto"/>
        <w:right w:val="none" w:sz="0" w:space="0" w:color="auto"/>
      </w:divBdr>
    </w:div>
    <w:div w:id="1073359064">
      <w:bodyDiv w:val="1"/>
      <w:marLeft w:val="0"/>
      <w:marRight w:val="0"/>
      <w:marTop w:val="0"/>
      <w:marBottom w:val="0"/>
      <w:divBdr>
        <w:top w:val="none" w:sz="0" w:space="0" w:color="auto"/>
        <w:left w:val="none" w:sz="0" w:space="0" w:color="auto"/>
        <w:bottom w:val="none" w:sz="0" w:space="0" w:color="auto"/>
        <w:right w:val="none" w:sz="0" w:space="0" w:color="auto"/>
      </w:divBdr>
    </w:div>
    <w:div w:id="1076166743">
      <w:bodyDiv w:val="1"/>
      <w:marLeft w:val="0"/>
      <w:marRight w:val="0"/>
      <w:marTop w:val="0"/>
      <w:marBottom w:val="0"/>
      <w:divBdr>
        <w:top w:val="none" w:sz="0" w:space="0" w:color="auto"/>
        <w:left w:val="none" w:sz="0" w:space="0" w:color="auto"/>
        <w:bottom w:val="none" w:sz="0" w:space="0" w:color="auto"/>
        <w:right w:val="none" w:sz="0" w:space="0" w:color="auto"/>
      </w:divBdr>
    </w:div>
    <w:div w:id="1080172134">
      <w:bodyDiv w:val="1"/>
      <w:marLeft w:val="0"/>
      <w:marRight w:val="0"/>
      <w:marTop w:val="0"/>
      <w:marBottom w:val="0"/>
      <w:divBdr>
        <w:top w:val="none" w:sz="0" w:space="0" w:color="auto"/>
        <w:left w:val="none" w:sz="0" w:space="0" w:color="auto"/>
        <w:bottom w:val="none" w:sz="0" w:space="0" w:color="auto"/>
        <w:right w:val="none" w:sz="0" w:space="0" w:color="auto"/>
      </w:divBdr>
    </w:div>
    <w:div w:id="1081100545">
      <w:bodyDiv w:val="1"/>
      <w:marLeft w:val="0"/>
      <w:marRight w:val="0"/>
      <w:marTop w:val="0"/>
      <w:marBottom w:val="0"/>
      <w:divBdr>
        <w:top w:val="none" w:sz="0" w:space="0" w:color="auto"/>
        <w:left w:val="none" w:sz="0" w:space="0" w:color="auto"/>
        <w:bottom w:val="none" w:sz="0" w:space="0" w:color="auto"/>
        <w:right w:val="none" w:sz="0" w:space="0" w:color="auto"/>
      </w:divBdr>
    </w:div>
    <w:div w:id="1086263848">
      <w:bodyDiv w:val="1"/>
      <w:marLeft w:val="0"/>
      <w:marRight w:val="0"/>
      <w:marTop w:val="0"/>
      <w:marBottom w:val="0"/>
      <w:divBdr>
        <w:top w:val="none" w:sz="0" w:space="0" w:color="auto"/>
        <w:left w:val="none" w:sz="0" w:space="0" w:color="auto"/>
        <w:bottom w:val="none" w:sz="0" w:space="0" w:color="auto"/>
        <w:right w:val="none" w:sz="0" w:space="0" w:color="auto"/>
      </w:divBdr>
    </w:div>
    <w:div w:id="1087969332">
      <w:marLeft w:val="0"/>
      <w:marRight w:val="0"/>
      <w:marTop w:val="0"/>
      <w:marBottom w:val="0"/>
      <w:divBdr>
        <w:top w:val="none" w:sz="0" w:space="0" w:color="auto"/>
        <w:left w:val="none" w:sz="0" w:space="0" w:color="auto"/>
        <w:bottom w:val="none" w:sz="0" w:space="0" w:color="auto"/>
        <w:right w:val="none" w:sz="0" w:space="0" w:color="auto"/>
      </w:divBdr>
    </w:div>
    <w:div w:id="1087969333">
      <w:marLeft w:val="0"/>
      <w:marRight w:val="0"/>
      <w:marTop w:val="0"/>
      <w:marBottom w:val="0"/>
      <w:divBdr>
        <w:top w:val="none" w:sz="0" w:space="0" w:color="auto"/>
        <w:left w:val="none" w:sz="0" w:space="0" w:color="auto"/>
        <w:bottom w:val="none" w:sz="0" w:space="0" w:color="auto"/>
        <w:right w:val="none" w:sz="0" w:space="0" w:color="auto"/>
      </w:divBdr>
    </w:div>
    <w:div w:id="1087969334">
      <w:marLeft w:val="0"/>
      <w:marRight w:val="0"/>
      <w:marTop w:val="0"/>
      <w:marBottom w:val="0"/>
      <w:divBdr>
        <w:top w:val="none" w:sz="0" w:space="0" w:color="auto"/>
        <w:left w:val="none" w:sz="0" w:space="0" w:color="auto"/>
        <w:bottom w:val="none" w:sz="0" w:space="0" w:color="auto"/>
        <w:right w:val="none" w:sz="0" w:space="0" w:color="auto"/>
      </w:divBdr>
    </w:div>
    <w:div w:id="1087969335">
      <w:marLeft w:val="0"/>
      <w:marRight w:val="0"/>
      <w:marTop w:val="0"/>
      <w:marBottom w:val="0"/>
      <w:divBdr>
        <w:top w:val="none" w:sz="0" w:space="0" w:color="auto"/>
        <w:left w:val="none" w:sz="0" w:space="0" w:color="auto"/>
        <w:bottom w:val="none" w:sz="0" w:space="0" w:color="auto"/>
        <w:right w:val="none" w:sz="0" w:space="0" w:color="auto"/>
      </w:divBdr>
    </w:div>
    <w:div w:id="1087969336">
      <w:marLeft w:val="0"/>
      <w:marRight w:val="0"/>
      <w:marTop w:val="0"/>
      <w:marBottom w:val="0"/>
      <w:divBdr>
        <w:top w:val="none" w:sz="0" w:space="0" w:color="auto"/>
        <w:left w:val="none" w:sz="0" w:space="0" w:color="auto"/>
        <w:bottom w:val="none" w:sz="0" w:space="0" w:color="auto"/>
        <w:right w:val="none" w:sz="0" w:space="0" w:color="auto"/>
      </w:divBdr>
    </w:div>
    <w:div w:id="1087969337">
      <w:marLeft w:val="0"/>
      <w:marRight w:val="0"/>
      <w:marTop w:val="0"/>
      <w:marBottom w:val="0"/>
      <w:divBdr>
        <w:top w:val="none" w:sz="0" w:space="0" w:color="auto"/>
        <w:left w:val="none" w:sz="0" w:space="0" w:color="auto"/>
        <w:bottom w:val="none" w:sz="0" w:space="0" w:color="auto"/>
        <w:right w:val="none" w:sz="0" w:space="0" w:color="auto"/>
      </w:divBdr>
    </w:div>
    <w:div w:id="1087969340">
      <w:marLeft w:val="0"/>
      <w:marRight w:val="0"/>
      <w:marTop w:val="0"/>
      <w:marBottom w:val="0"/>
      <w:divBdr>
        <w:top w:val="none" w:sz="0" w:space="0" w:color="auto"/>
        <w:left w:val="none" w:sz="0" w:space="0" w:color="auto"/>
        <w:bottom w:val="none" w:sz="0" w:space="0" w:color="auto"/>
        <w:right w:val="none" w:sz="0" w:space="0" w:color="auto"/>
      </w:divBdr>
    </w:div>
    <w:div w:id="1087969341">
      <w:marLeft w:val="0"/>
      <w:marRight w:val="0"/>
      <w:marTop w:val="0"/>
      <w:marBottom w:val="0"/>
      <w:divBdr>
        <w:top w:val="none" w:sz="0" w:space="0" w:color="auto"/>
        <w:left w:val="none" w:sz="0" w:space="0" w:color="auto"/>
        <w:bottom w:val="none" w:sz="0" w:space="0" w:color="auto"/>
        <w:right w:val="none" w:sz="0" w:space="0" w:color="auto"/>
      </w:divBdr>
    </w:div>
    <w:div w:id="1087969342">
      <w:marLeft w:val="0"/>
      <w:marRight w:val="0"/>
      <w:marTop w:val="0"/>
      <w:marBottom w:val="0"/>
      <w:divBdr>
        <w:top w:val="none" w:sz="0" w:space="0" w:color="auto"/>
        <w:left w:val="none" w:sz="0" w:space="0" w:color="auto"/>
        <w:bottom w:val="none" w:sz="0" w:space="0" w:color="auto"/>
        <w:right w:val="none" w:sz="0" w:space="0" w:color="auto"/>
      </w:divBdr>
    </w:div>
    <w:div w:id="1087969343">
      <w:marLeft w:val="0"/>
      <w:marRight w:val="0"/>
      <w:marTop w:val="0"/>
      <w:marBottom w:val="0"/>
      <w:divBdr>
        <w:top w:val="none" w:sz="0" w:space="0" w:color="auto"/>
        <w:left w:val="none" w:sz="0" w:space="0" w:color="auto"/>
        <w:bottom w:val="none" w:sz="0" w:space="0" w:color="auto"/>
        <w:right w:val="none" w:sz="0" w:space="0" w:color="auto"/>
      </w:divBdr>
    </w:div>
    <w:div w:id="1087969344">
      <w:marLeft w:val="0"/>
      <w:marRight w:val="0"/>
      <w:marTop w:val="0"/>
      <w:marBottom w:val="0"/>
      <w:divBdr>
        <w:top w:val="none" w:sz="0" w:space="0" w:color="auto"/>
        <w:left w:val="none" w:sz="0" w:space="0" w:color="auto"/>
        <w:bottom w:val="none" w:sz="0" w:space="0" w:color="auto"/>
        <w:right w:val="none" w:sz="0" w:space="0" w:color="auto"/>
      </w:divBdr>
    </w:div>
    <w:div w:id="1087969345">
      <w:marLeft w:val="0"/>
      <w:marRight w:val="0"/>
      <w:marTop w:val="0"/>
      <w:marBottom w:val="0"/>
      <w:divBdr>
        <w:top w:val="none" w:sz="0" w:space="0" w:color="auto"/>
        <w:left w:val="none" w:sz="0" w:space="0" w:color="auto"/>
        <w:bottom w:val="none" w:sz="0" w:space="0" w:color="auto"/>
        <w:right w:val="none" w:sz="0" w:space="0" w:color="auto"/>
      </w:divBdr>
    </w:div>
    <w:div w:id="1087969346">
      <w:marLeft w:val="0"/>
      <w:marRight w:val="0"/>
      <w:marTop w:val="0"/>
      <w:marBottom w:val="0"/>
      <w:divBdr>
        <w:top w:val="none" w:sz="0" w:space="0" w:color="auto"/>
        <w:left w:val="none" w:sz="0" w:space="0" w:color="auto"/>
        <w:bottom w:val="none" w:sz="0" w:space="0" w:color="auto"/>
        <w:right w:val="none" w:sz="0" w:space="0" w:color="auto"/>
      </w:divBdr>
      <w:divsChild>
        <w:div w:id="1087969357">
          <w:marLeft w:val="0"/>
          <w:marRight w:val="0"/>
          <w:marTop w:val="0"/>
          <w:marBottom w:val="0"/>
          <w:divBdr>
            <w:top w:val="none" w:sz="0" w:space="0" w:color="auto"/>
            <w:left w:val="none" w:sz="0" w:space="0" w:color="auto"/>
            <w:bottom w:val="none" w:sz="0" w:space="0" w:color="auto"/>
            <w:right w:val="none" w:sz="0" w:space="0" w:color="auto"/>
          </w:divBdr>
          <w:divsChild>
            <w:div w:id="10879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347">
      <w:marLeft w:val="0"/>
      <w:marRight w:val="0"/>
      <w:marTop w:val="0"/>
      <w:marBottom w:val="0"/>
      <w:divBdr>
        <w:top w:val="none" w:sz="0" w:space="0" w:color="auto"/>
        <w:left w:val="none" w:sz="0" w:space="0" w:color="auto"/>
        <w:bottom w:val="none" w:sz="0" w:space="0" w:color="auto"/>
        <w:right w:val="none" w:sz="0" w:space="0" w:color="auto"/>
      </w:divBdr>
    </w:div>
    <w:div w:id="1087969348">
      <w:marLeft w:val="0"/>
      <w:marRight w:val="0"/>
      <w:marTop w:val="0"/>
      <w:marBottom w:val="0"/>
      <w:divBdr>
        <w:top w:val="none" w:sz="0" w:space="0" w:color="auto"/>
        <w:left w:val="none" w:sz="0" w:space="0" w:color="auto"/>
        <w:bottom w:val="none" w:sz="0" w:space="0" w:color="auto"/>
        <w:right w:val="none" w:sz="0" w:space="0" w:color="auto"/>
      </w:divBdr>
      <w:divsChild>
        <w:div w:id="1087969339">
          <w:marLeft w:val="0"/>
          <w:marRight w:val="0"/>
          <w:marTop w:val="0"/>
          <w:marBottom w:val="0"/>
          <w:divBdr>
            <w:top w:val="none" w:sz="0" w:space="0" w:color="auto"/>
            <w:left w:val="none" w:sz="0" w:space="0" w:color="auto"/>
            <w:bottom w:val="none" w:sz="0" w:space="0" w:color="auto"/>
            <w:right w:val="none" w:sz="0" w:space="0" w:color="auto"/>
          </w:divBdr>
          <w:divsChild>
            <w:div w:id="10879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349">
      <w:marLeft w:val="0"/>
      <w:marRight w:val="0"/>
      <w:marTop w:val="0"/>
      <w:marBottom w:val="0"/>
      <w:divBdr>
        <w:top w:val="none" w:sz="0" w:space="0" w:color="auto"/>
        <w:left w:val="none" w:sz="0" w:space="0" w:color="auto"/>
        <w:bottom w:val="none" w:sz="0" w:space="0" w:color="auto"/>
        <w:right w:val="none" w:sz="0" w:space="0" w:color="auto"/>
      </w:divBdr>
    </w:div>
    <w:div w:id="1087969350">
      <w:marLeft w:val="0"/>
      <w:marRight w:val="0"/>
      <w:marTop w:val="0"/>
      <w:marBottom w:val="0"/>
      <w:divBdr>
        <w:top w:val="none" w:sz="0" w:space="0" w:color="auto"/>
        <w:left w:val="none" w:sz="0" w:space="0" w:color="auto"/>
        <w:bottom w:val="none" w:sz="0" w:space="0" w:color="auto"/>
        <w:right w:val="none" w:sz="0" w:space="0" w:color="auto"/>
      </w:divBdr>
    </w:div>
    <w:div w:id="1087969351">
      <w:marLeft w:val="0"/>
      <w:marRight w:val="0"/>
      <w:marTop w:val="0"/>
      <w:marBottom w:val="0"/>
      <w:divBdr>
        <w:top w:val="none" w:sz="0" w:space="0" w:color="auto"/>
        <w:left w:val="none" w:sz="0" w:space="0" w:color="auto"/>
        <w:bottom w:val="none" w:sz="0" w:space="0" w:color="auto"/>
        <w:right w:val="none" w:sz="0" w:space="0" w:color="auto"/>
      </w:divBdr>
    </w:div>
    <w:div w:id="1087969352">
      <w:marLeft w:val="0"/>
      <w:marRight w:val="0"/>
      <w:marTop w:val="0"/>
      <w:marBottom w:val="0"/>
      <w:divBdr>
        <w:top w:val="none" w:sz="0" w:space="0" w:color="auto"/>
        <w:left w:val="none" w:sz="0" w:space="0" w:color="auto"/>
        <w:bottom w:val="none" w:sz="0" w:space="0" w:color="auto"/>
        <w:right w:val="none" w:sz="0" w:space="0" w:color="auto"/>
      </w:divBdr>
    </w:div>
    <w:div w:id="1087969353">
      <w:marLeft w:val="0"/>
      <w:marRight w:val="0"/>
      <w:marTop w:val="0"/>
      <w:marBottom w:val="0"/>
      <w:divBdr>
        <w:top w:val="none" w:sz="0" w:space="0" w:color="auto"/>
        <w:left w:val="none" w:sz="0" w:space="0" w:color="auto"/>
        <w:bottom w:val="none" w:sz="0" w:space="0" w:color="auto"/>
        <w:right w:val="none" w:sz="0" w:space="0" w:color="auto"/>
      </w:divBdr>
    </w:div>
    <w:div w:id="1087969354">
      <w:marLeft w:val="0"/>
      <w:marRight w:val="0"/>
      <w:marTop w:val="0"/>
      <w:marBottom w:val="0"/>
      <w:divBdr>
        <w:top w:val="none" w:sz="0" w:space="0" w:color="auto"/>
        <w:left w:val="none" w:sz="0" w:space="0" w:color="auto"/>
        <w:bottom w:val="none" w:sz="0" w:space="0" w:color="auto"/>
        <w:right w:val="none" w:sz="0" w:space="0" w:color="auto"/>
      </w:divBdr>
    </w:div>
    <w:div w:id="1087969356">
      <w:marLeft w:val="0"/>
      <w:marRight w:val="0"/>
      <w:marTop w:val="0"/>
      <w:marBottom w:val="0"/>
      <w:divBdr>
        <w:top w:val="none" w:sz="0" w:space="0" w:color="auto"/>
        <w:left w:val="none" w:sz="0" w:space="0" w:color="auto"/>
        <w:bottom w:val="none" w:sz="0" w:space="0" w:color="auto"/>
        <w:right w:val="none" w:sz="0" w:space="0" w:color="auto"/>
      </w:divBdr>
    </w:div>
    <w:div w:id="1093237315">
      <w:bodyDiv w:val="1"/>
      <w:marLeft w:val="0"/>
      <w:marRight w:val="0"/>
      <w:marTop w:val="0"/>
      <w:marBottom w:val="0"/>
      <w:divBdr>
        <w:top w:val="none" w:sz="0" w:space="0" w:color="auto"/>
        <w:left w:val="none" w:sz="0" w:space="0" w:color="auto"/>
        <w:bottom w:val="none" w:sz="0" w:space="0" w:color="auto"/>
        <w:right w:val="none" w:sz="0" w:space="0" w:color="auto"/>
      </w:divBdr>
    </w:div>
    <w:div w:id="1097597020">
      <w:bodyDiv w:val="1"/>
      <w:marLeft w:val="0"/>
      <w:marRight w:val="0"/>
      <w:marTop w:val="0"/>
      <w:marBottom w:val="0"/>
      <w:divBdr>
        <w:top w:val="none" w:sz="0" w:space="0" w:color="auto"/>
        <w:left w:val="none" w:sz="0" w:space="0" w:color="auto"/>
        <w:bottom w:val="none" w:sz="0" w:space="0" w:color="auto"/>
        <w:right w:val="none" w:sz="0" w:space="0" w:color="auto"/>
      </w:divBdr>
    </w:div>
    <w:div w:id="1100418733">
      <w:bodyDiv w:val="1"/>
      <w:marLeft w:val="0"/>
      <w:marRight w:val="0"/>
      <w:marTop w:val="0"/>
      <w:marBottom w:val="0"/>
      <w:divBdr>
        <w:top w:val="none" w:sz="0" w:space="0" w:color="auto"/>
        <w:left w:val="none" w:sz="0" w:space="0" w:color="auto"/>
        <w:bottom w:val="none" w:sz="0" w:space="0" w:color="auto"/>
        <w:right w:val="none" w:sz="0" w:space="0" w:color="auto"/>
      </w:divBdr>
    </w:div>
    <w:div w:id="1112674577">
      <w:bodyDiv w:val="1"/>
      <w:marLeft w:val="0"/>
      <w:marRight w:val="0"/>
      <w:marTop w:val="0"/>
      <w:marBottom w:val="0"/>
      <w:divBdr>
        <w:top w:val="none" w:sz="0" w:space="0" w:color="auto"/>
        <w:left w:val="none" w:sz="0" w:space="0" w:color="auto"/>
        <w:bottom w:val="none" w:sz="0" w:space="0" w:color="auto"/>
        <w:right w:val="none" w:sz="0" w:space="0" w:color="auto"/>
      </w:divBdr>
    </w:div>
    <w:div w:id="1115294463">
      <w:bodyDiv w:val="1"/>
      <w:marLeft w:val="0"/>
      <w:marRight w:val="0"/>
      <w:marTop w:val="0"/>
      <w:marBottom w:val="0"/>
      <w:divBdr>
        <w:top w:val="none" w:sz="0" w:space="0" w:color="auto"/>
        <w:left w:val="none" w:sz="0" w:space="0" w:color="auto"/>
        <w:bottom w:val="none" w:sz="0" w:space="0" w:color="auto"/>
        <w:right w:val="none" w:sz="0" w:space="0" w:color="auto"/>
      </w:divBdr>
    </w:div>
    <w:div w:id="1118917891">
      <w:bodyDiv w:val="1"/>
      <w:marLeft w:val="0"/>
      <w:marRight w:val="0"/>
      <w:marTop w:val="0"/>
      <w:marBottom w:val="0"/>
      <w:divBdr>
        <w:top w:val="none" w:sz="0" w:space="0" w:color="auto"/>
        <w:left w:val="none" w:sz="0" w:space="0" w:color="auto"/>
        <w:bottom w:val="none" w:sz="0" w:space="0" w:color="auto"/>
        <w:right w:val="none" w:sz="0" w:space="0" w:color="auto"/>
      </w:divBdr>
    </w:div>
    <w:div w:id="1127048918">
      <w:bodyDiv w:val="1"/>
      <w:marLeft w:val="0"/>
      <w:marRight w:val="0"/>
      <w:marTop w:val="0"/>
      <w:marBottom w:val="0"/>
      <w:divBdr>
        <w:top w:val="none" w:sz="0" w:space="0" w:color="auto"/>
        <w:left w:val="none" w:sz="0" w:space="0" w:color="auto"/>
        <w:bottom w:val="none" w:sz="0" w:space="0" w:color="auto"/>
        <w:right w:val="none" w:sz="0" w:space="0" w:color="auto"/>
      </w:divBdr>
    </w:div>
    <w:div w:id="1128667403">
      <w:bodyDiv w:val="1"/>
      <w:marLeft w:val="0"/>
      <w:marRight w:val="0"/>
      <w:marTop w:val="0"/>
      <w:marBottom w:val="0"/>
      <w:divBdr>
        <w:top w:val="none" w:sz="0" w:space="0" w:color="auto"/>
        <w:left w:val="none" w:sz="0" w:space="0" w:color="auto"/>
        <w:bottom w:val="none" w:sz="0" w:space="0" w:color="auto"/>
        <w:right w:val="none" w:sz="0" w:space="0" w:color="auto"/>
      </w:divBdr>
    </w:div>
    <w:div w:id="1133674012">
      <w:bodyDiv w:val="1"/>
      <w:marLeft w:val="0"/>
      <w:marRight w:val="0"/>
      <w:marTop w:val="0"/>
      <w:marBottom w:val="0"/>
      <w:divBdr>
        <w:top w:val="none" w:sz="0" w:space="0" w:color="auto"/>
        <w:left w:val="none" w:sz="0" w:space="0" w:color="auto"/>
        <w:bottom w:val="none" w:sz="0" w:space="0" w:color="auto"/>
        <w:right w:val="none" w:sz="0" w:space="0" w:color="auto"/>
      </w:divBdr>
    </w:div>
    <w:div w:id="1137838359">
      <w:bodyDiv w:val="1"/>
      <w:marLeft w:val="0"/>
      <w:marRight w:val="0"/>
      <w:marTop w:val="0"/>
      <w:marBottom w:val="0"/>
      <w:divBdr>
        <w:top w:val="none" w:sz="0" w:space="0" w:color="auto"/>
        <w:left w:val="none" w:sz="0" w:space="0" w:color="auto"/>
        <w:bottom w:val="none" w:sz="0" w:space="0" w:color="auto"/>
        <w:right w:val="none" w:sz="0" w:space="0" w:color="auto"/>
      </w:divBdr>
    </w:div>
    <w:div w:id="1139688530">
      <w:bodyDiv w:val="1"/>
      <w:marLeft w:val="0"/>
      <w:marRight w:val="0"/>
      <w:marTop w:val="0"/>
      <w:marBottom w:val="0"/>
      <w:divBdr>
        <w:top w:val="none" w:sz="0" w:space="0" w:color="auto"/>
        <w:left w:val="none" w:sz="0" w:space="0" w:color="auto"/>
        <w:bottom w:val="none" w:sz="0" w:space="0" w:color="auto"/>
        <w:right w:val="none" w:sz="0" w:space="0" w:color="auto"/>
      </w:divBdr>
    </w:div>
    <w:div w:id="1145194565">
      <w:bodyDiv w:val="1"/>
      <w:marLeft w:val="0"/>
      <w:marRight w:val="0"/>
      <w:marTop w:val="0"/>
      <w:marBottom w:val="0"/>
      <w:divBdr>
        <w:top w:val="none" w:sz="0" w:space="0" w:color="auto"/>
        <w:left w:val="none" w:sz="0" w:space="0" w:color="auto"/>
        <w:bottom w:val="none" w:sz="0" w:space="0" w:color="auto"/>
        <w:right w:val="none" w:sz="0" w:space="0" w:color="auto"/>
      </w:divBdr>
    </w:div>
    <w:div w:id="1148977533">
      <w:bodyDiv w:val="1"/>
      <w:marLeft w:val="0"/>
      <w:marRight w:val="0"/>
      <w:marTop w:val="0"/>
      <w:marBottom w:val="0"/>
      <w:divBdr>
        <w:top w:val="none" w:sz="0" w:space="0" w:color="auto"/>
        <w:left w:val="none" w:sz="0" w:space="0" w:color="auto"/>
        <w:bottom w:val="none" w:sz="0" w:space="0" w:color="auto"/>
        <w:right w:val="none" w:sz="0" w:space="0" w:color="auto"/>
      </w:divBdr>
    </w:div>
    <w:div w:id="1159923528">
      <w:bodyDiv w:val="1"/>
      <w:marLeft w:val="0"/>
      <w:marRight w:val="0"/>
      <w:marTop w:val="0"/>
      <w:marBottom w:val="0"/>
      <w:divBdr>
        <w:top w:val="none" w:sz="0" w:space="0" w:color="auto"/>
        <w:left w:val="none" w:sz="0" w:space="0" w:color="auto"/>
        <w:bottom w:val="none" w:sz="0" w:space="0" w:color="auto"/>
        <w:right w:val="none" w:sz="0" w:space="0" w:color="auto"/>
      </w:divBdr>
    </w:div>
    <w:div w:id="1166287418">
      <w:bodyDiv w:val="1"/>
      <w:marLeft w:val="0"/>
      <w:marRight w:val="0"/>
      <w:marTop w:val="0"/>
      <w:marBottom w:val="0"/>
      <w:divBdr>
        <w:top w:val="none" w:sz="0" w:space="0" w:color="auto"/>
        <w:left w:val="none" w:sz="0" w:space="0" w:color="auto"/>
        <w:bottom w:val="none" w:sz="0" w:space="0" w:color="auto"/>
        <w:right w:val="none" w:sz="0" w:space="0" w:color="auto"/>
      </w:divBdr>
    </w:div>
    <w:div w:id="1174879076">
      <w:bodyDiv w:val="1"/>
      <w:marLeft w:val="0"/>
      <w:marRight w:val="0"/>
      <w:marTop w:val="0"/>
      <w:marBottom w:val="0"/>
      <w:divBdr>
        <w:top w:val="none" w:sz="0" w:space="0" w:color="auto"/>
        <w:left w:val="none" w:sz="0" w:space="0" w:color="auto"/>
        <w:bottom w:val="none" w:sz="0" w:space="0" w:color="auto"/>
        <w:right w:val="none" w:sz="0" w:space="0" w:color="auto"/>
      </w:divBdr>
    </w:div>
    <w:div w:id="1177965113">
      <w:bodyDiv w:val="1"/>
      <w:marLeft w:val="0"/>
      <w:marRight w:val="0"/>
      <w:marTop w:val="0"/>
      <w:marBottom w:val="0"/>
      <w:divBdr>
        <w:top w:val="none" w:sz="0" w:space="0" w:color="auto"/>
        <w:left w:val="none" w:sz="0" w:space="0" w:color="auto"/>
        <w:bottom w:val="none" w:sz="0" w:space="0" w:color="auto"/>
        <w:right w:val="none" w:sz="0" w:space="0" w:color="auto"/>
      </w:divBdr>
    </w:div>
    <w:div w:id="1178616633">
      <w:bodyDiv w:val="1"/>
      <w:marLeft w:val="0"/>
      <w:marRight w:val="0"/>
      <w:marTop w:val="0"/>
      <w:marBottom w:val="0"/>
      <w:divBdr>
        <w:top w:val="none" w:sz="0" w:space="0" w:color="auto"/>
        <w:left w:val="none" w:sz="0" w:space="0" w:color="auto"/>
        <w:bottom w:val="none" w:sz="0" w:space="0" w:color="auto"/>
        <w:right w:val="none" w:sz="0" w:space="0" w:color="auto"/>
      </w:divBdr>
    </w:div>
    <w:div w:id="1223492080">
      <w:bodyDiv w:val="1"/>
      <w:marLeft w:val="0"/>
      <w:marRight w:val="0"/>
      <w:marTop w:val="0"/>
      <w:marBottom w:val="0"/>
      <w:divBdr>
        <w:top w:val="none" w:sz="0" w:space="0" w:color="auto"/>
        <w:left w:val="none" w:sz="0" w:space="0" w:color="auto"/>
        <w:bottom w:val="none" w:sz="0" w:space="0" w:color="auto"/>
        <w:right w:val="none" w:sz="0" w:space="0" w:color="auto"/>
      </w:divBdr>
    </w:div>
    <w:div w:id="1232427520">
      <w:bodyDiv w:val="1"/>
      <w:marLeft w:val="0"/>
      <w:marRight w:val="0"/>
      <w:marTop w:val="0"/>
      <w:marBottom w:val="0"/>
      <w:divBdr>
        <w:top w:val="none" w:sz="0" w:space="0" w:color="auto"/>
        <w:left w:val="none" w:sz="0" w:space="0" w:color="auto"/>
        <w:bottom w:val="none" w:sz="0" w:space="0" w:color="auto"/>
        <w:right w:val="none" w:sz="0" w:space="0" w:color="auto"/>
      </w:divBdr>
    </w:div>
    <w:div w:id="1234005343">
      <w:bodyDiv w:val="1"/>
      <w:marLeft w:val="0"/>
      <w:marRight w:val="0"/>
      <w:marTop w:val="0"/>
      <w:marBottom w:val="0"/>
      <w:divBdr>
        <w:top w:val="none" w:sz="0" w:space="0" w:color="auto"/>
        <w:left w:val="none" w:sz="0" w:space="0" w:color="auto"/>
        <w:bottom w:val="none" w:sz="0" w:space="0" w:color="auto"/>
        <w:right w:val="none" w:sz="0" w:space="0" w:color="auto"/>
      </w:divBdr>
    </w:div>
    <w:div w:id="1236277666">
      <w:bodyDiv w:val="1"/>
      <w:marLeft w:val="0"/>
      <w:marRight w:val="0"/>
      <w:marTop w:val="0"/>
      <w:marBottom w:val="0"/>
      <w:divBdr>
        <w:top w:val="none" w:sz="0" w:space="0" w:color="auto"/>
        <w:left w:val="none" w:sz="0" w:space="0" w:color="auto"/>
        <w:bottom w:val="none" w:sz="0" w:space="0" w:color="auto"/>
        <w:right w:val="none" w:sz="0" w:space="0" w:color="auto"/>
      </w:divBdr>
    </w:div>
    <w:div w:id="1242255198">
      <w:bodyDiv w:val="1"/>
      <w:marLeft w:val="0"/>
      <w:marRight w:val="0"/>
      <w:marTop w:val="0"/>
      <w:marBottom w:val="0"/>
      <w:divBdr>
        <w:top w:val="none" w:sz="0" w:space="0" w:color="auto"/>
        <w:left w:val="none" w:sz="0" w:space="0" w:color="auto"/>
        <w:bottom w:val="none" w:sz="0" w:space="0" w:color="auto"/>
        <w:right w:val="none" w:sz="0" w:space="0" w:color="auto"/>
      </w:divBdr>
    </w:div>
    <w:div w:id="1242982111">
      <w:bodyDiv w:val="1"/>
      <w:marLeft w:val="0"/>
      <w:marRight w:val="0"/>
      <w:marTop w:val="0"/>
      <w:marBottom w:val="0"/>
      <w:divBdr>
        <w:top w:val="none" w:sz="0" w:space="0" w:color="auto"/>
        <w:left w:val="none" w:sz="0" w:space="0" w:color="auto"/>
        <w:bottom w:val="none" w:sz="0" w:space="0" w:color="auto"/>
        <w:right w:val="none" w:sz="0" w:space="0" w:color="auto"/>
      </w:divBdr>
    </w:div>
    <w:div w:id="1245603678">
      <w:bodyDiv w:val="1"/>
      <w:marLeft w:val="0"/>
      <w:marRight w:val="0"/>
      <w:marTop w:val="0"/>
      <w:marBottom w:val="0"/>
      <w:divBdr>
        <w:top w:val="none" w:sz="0" w:space="0" w:color="auto"/>
        <w:left w:val="none" w:sz="0" w:space="0" w:color="auto"/>
        <w:bottom w:val="none" w:sz="0" w:space="0" w:color="auto"/>
        <w:right w:val="none" w:sz="0" w:space="0" w:color="auto"/>
      </w:divBdr>
    </w:div>
    <w:div w:id="1252154582">
      <w:bodyDiv w:val="1"/>
      <w:marLeft w:val="0"/>
      <w:marRight w:val="0"/>
      <w:marTop w:val="0"/>
      <w:marBottom w:val="0"/>
      <w:divBdr>
        <w:top w:val="none" w:sz="0" w:space="0" w:color="auto"/>
        <w:left w:val="none" w:sz="0" w:space="0" w:color="auto"/>
        <w:bottom w:val="none" w:sz="0" w:space="0" w:color="auto"/>
        <w:right w:val="none" w:sz="0" w:space="0" w:color="auto"/>
      </w:divBdr>
    </w:div>
    <w:div w:id="1254239283">
      <w:bodyDiv w:val="1"/>
      <w:marLeft w:val="0"/>
      <w:marRight w:val="0"/>
      <w:marTop w:val="0"/>
      <w:marBottom w:val="0"/>
      <w:divBdr>
        <w:top w:val="none" w:sz="0" w:space="0" w:color="auto"/>
        <w:left w:val="none" w:sz="0" w:space="0" w:color="auto"/>
        <w:bottom w:val="none" w:sz="0" w:space="0" w:color="auto"/>
        <w:right w:val="none" w:sz="0" w:space="0" w:color="auto"/>
      </w:divBdr>
    </w:div>
    <w:div w:id="1263875591">
      <w:bodyDiv w:val="1"/>
      <w:marLeft w:val="0"/>
      <w:marRight w:val="0"/>
      <w:marTop w:val="0"/>
      <w:marBottom w:val="0"/>
      <w:divBdr>
        <w:top w:val="none" w:sz="0" w:space="0" w:color="auto"/>
        <w:left w:val="none" w:sz="0" w:space="0" w:color="auto"/>
        <w:bottom w:val="none" w:sz="0" w:space="0" w:color="auto"/>
        <w:right w:val="none" w:sz="0" w:space="0" w:color="auto"/>
      </w:divBdr>
    </w:div>
    <w:div w:id="1267888591">
      <w:bodyDiv w:val="1"/>
      <w:marLeft w:val="0"/>
      <w:marRight w:val="0"/>
      <w:marTop w:val="0"/>
      <w:marBottom w:val="0"/>
      <w:divBdr>
        <w:top w:val="none" w:sz="0" w:space="0" w:color="auto"/>
        <w:left w:val="none" w:sz="0" w:space="0" w:color="auto"/>
        <w:bottom w:val="none" w:sz="0" w:space="0" w:color="auto"/>
        <w:right w:val="none" w:sz="0" w:space="0" w:color="auto"/>
      </w:divBdr>
    </w:div>
    <w:div w:id="1270817272">
      <w:bodyDiv w:val="1"/>
      <w:marLeft w:val="0"/>
      <w:marRight w:val="0"/>
      <w:marTop w:val="0"/>
      <w:marBottom w:val="0"/>
      <w:divBdr>
        <w:top w:val="none" w:sz="0" w:space="0" w:color="auto"/>
        <w:left w:val="none" w:sz="0" w:space="0" w:color="auto"/>
        <w:bottom w:val="none" w:sz="0" w:space="0" w:color="auto"/>
        <w:right w:val="none" w:sz="0" w:space="0" w:color="auto"/>
      </w:divBdr>
    </w:div>
    <w:div w:id="1284387431">
      <w:bodyDiv w:val="1"/>
      <w:marLeft w:val="0"/>
      <w:marRight w:val="0"/>
      <w:marTop w:val="0"/>
      <w:marBottom w:val="0"/>
      <w:divBdr>
        <w:top w:val="none" w:sz="0" w:space="0" w:color="auto"/>
        <w:left w:val="none" w:sz="0" w:space="0" w:color="auto"/>
        <w:bottom w:val="none" w:sz="0" w:space="0" w:color="auto"/>
        <w:right w:val="none" w:sz="0" w:space="0" w:color="auto"/>
      </w:divBdr>
    </w:div>
    <w:div w:id="1297225510">
      <w:bodyDiv w:val="1"/>
      <w:marLeft w:val="0"/>
      <w:marRight w:val="0"/>
      <w:marTop w:val="0"/>
      <w:marBottom w:val="0"/>
      <w:divBdr>
        <w:top w:val="none" w:sz="0" w:space="0" w:color="auto"/>
        <w:left w:val="none" w:sz="0" w:space="0" w:color="auto"/>
        <w:bottom w:val="none" w:sz="0" w:space="0" w:color="auto"/>
        <w:right w:val="none" w:sz="0" w:space="0" w:color="auto"/>
      </w:divBdr>
    </w:div>
    <w:div w:id="1301571657">
      <w:bodyDiv w:val="1"/>
      <w:marLeft w:val="0"/>
      <w:marRight w:val="0"/>
      <w:marTop w:val="0"/>
      <w:marBottom w:val="0"/>
      <w:divBdr>
        <w:top w:val="none" w:sz="0" w:space="0" w:color="auto"/>
        <w:left w:val="none" w:sz="0" w:space="0" w:color="auto"/>
        <w:bottom w:val="none" w:sz="0" w:space="0" w:color="auto"/>
        <w:right w:val="none" w:sz="0" w:space="0" w:color="auto"/>
      </w:divBdr>
    </w:div>
    <w:div w:id="1304651872">
      <w:bodyDiv w:val="1"/>
      <w:marLeft w:val="0"/>
      <w:marRight w:val="0"/>
      <w:marTop w:val="0"/>
      <w:marBottom w:val="0"/>
      <w:divBdr>
        <w:top w:val="none" w:sz="0" w:space="0" w:color="auto"/>
        <w:left w:val="none" w:sz="0" w:space="0" w:color="auto"/>
        <w:bottom w:val="none" w:sz="0" w:space="0" w:color="auto"/>
        <w:right w:val="none" w:sz="0" w:space="0" w:color="auto"/>
      </w:divBdr>
    </w:div>
    <w:div w:id="1305354110">
      <w:bodyDiv w:val="1"/>
      <w:marLeft w:val="0"/>
      <w:marRight w:val="0"/>
      <w:marTop w:val="0"/>
      <w:marBottom w:val="0"/>
      <w:divBdr>
        <w:top w:val="none" w:sz="0" w:space="0" w:color="auto"/>
        <w:left w:val="none" w:sz="0" w:space="0" w:color="auto"/>
        <w:bottom w:val="none" w:sz="0" w:space="0" w:color="auto"/>
        <w:right w:val="none" w:sz="0" w:space="0" w:color="auto"/>
      </w:divBdr>
    </w:div>
    <w:div w:id="1307007642">
      <w:bodyDiv w:val="1"/>
      <w:marLeft w:val="0"/>
      <w:marRight w:val="0"/>
      <w:marTop w:val="0"/>
      <w:marBottom w:val="0"/>
      <w:divBdr>
        <w:top w:val="none" w:sz="0" w:space="0" w:color="auto"/>
        <w:left w:val="none" w:sz="0" w:space="0" w:color="auto"/>
        <w:bottom w:val="none" w:sz="0" w:space="0" w:color="auto"/>
        <w:right w:val="none" w:sz="0" w:space="0" w:color="auto"/>
      </w:divBdr>
    </w:div>
    <w:div w:id="1331980789">
      <w:bodyDiv w:val="1"/>
      <w:marLeft w:val="0"/>
      <w:marRight w:val="0"/>
      <w:marTop w:val="0"/>
      <w:marBottom w:val="0"/>
      <w:divBdr>
        <w:top w:val="none" w:sz="0" w:space="0" w:color="auto"/>
        <w:left w:val="none" w:sz="0" w:space="0" w:color="auto"/>
        <w:bottom w:val="none" w:sz="0" w:space="0" w:color="auto"/>
        <w:right w:val="none" w:sz="0" w:space="0" w:color="auto"/>
      </w:divBdr>
    </w:div>
    <w:div w:id="1338119426">
      <w:bodyDiv w:val="1"/>
      <w:marLeft w:val="0"/>
      <w:marRight w:val="0"/>
      <w:marTop w:val="0"/>
      <w:marBottom w:val="0"/>
      <w:divBdr>
        <w:top w:val="none" w:sz="0" w:space="0" w:color="auto"/>
        <w:left w:val="none" w:sz="0" w:space="0" w:color="auto"/>
        <w:bottom w:val="none" w:sz="0" w:space="0" w:color="auto"/>
        <w:right w:val="none" w:sz="0" w:space="0" w:color="auto"/>
      </w:divBdr>
    </w:div>
    <w:div w:id="1363091674">
      <w:bodyDiv w:val="1"/>
      <w:marLeft w:val="0"/>
      <w:marRight w:val="0"/>
      <w:marTop w:val="0"/>
      <w:marBottom w:val="0"/>
      <w:divBdr>
        <w:top w:val="none" w:sz="0" w:space="0" w:color="auto"/>
        <w:left w:val="none" w:sz="0" w:space="0" w:color="auto"/>
        <w:bottom w:val="none" w:sz="0" w:space="0" w:color="auto"/>
        <w:right w:val="none" w:sz="0" w:space="0" w:color="auto"/>
      </w:divBdr>
    </w:div>
    <w:div w:id="1396244813">
      <w:bodyDiv w:val="1"/>
      <w:marLeft w:val="0"/>
      <w:marRight w:val="0"/>
      <w:marTop w:val="0"/>
      <w:marBottom w:val="0"/>
      <w:divBdr>
        <w:top w:val="none" w:sz="0" w:space="0" w:color="auto"/>
        <w:left w:val="none" w:sz="0" w:space="0" w:color="auto"/>
        <w:bottom w:val="none" w:sz="0" w:space="0" w:color="auto"/>
        <w:right w:val="none" w:sz="0" w:space="0" w:color="auto"/>
      </w:divBdr>
    </w:div>
    <w:div w:id="1397624196">
      <w:bodyDiv w:val="1"/>
      <w:marLeft w:val="0"/>
      <w:marRight w:val="0"/>
      <w:marTop w:val="0"/>
      <w:marBottom w:val="0"/>
      <w:divBdr>
        <w:top w:val="none" w:sz="0" w:space="0" w:color="auto"/>
        <w:left w:val="none" w:sz="0" w:space="0" w:color="auto"/>
        <w:bottom w:val="none" w:sz="0" w:space="0" w:color="auto"/>
        <w:right w:val="none" w:sz="0" w:space="0" w:color="auto"/>
      </w:divBdr>
    </w:div>
    <w:div w:id="1398627534">
      <w:bodyDiv w:val="1"/>
      <w:marLeft w:val="0"/>
      <w:marRight w:val="0"/>
      <w:marTop w:val="0"/>
      <w:marBottom w:val="0"/>
      <w:divBdr>
        <w:top w:val="none" w:sz="0" w:space="0" w:color="auto"/>
        <w:left w:val="none" w:sz="0" w:space="0" w:color="auto"/>
        <w:bottom w:val="none" w:sz="0" w:space="0" w:color="auto"/>
        <w:right w:val="none" w:sz="0" w:space="0" w:color="auto"/>
      </w:divBdr>
    </w:div>
    <w:div w:id="1399279003">
      <w:bodyDiv w:val="1"/>
      <w:marLeft w:val="0"/>
      <w:marRight w:val="0"/>
      <w:marTop w:val="0"/>
      <w:marBottom w:val="0"/>
      <w:divBdr>
        <w:top w:val="none" w:sz="0" w:space="0" w:color="auto"/>
        <w:left w:val="none" w:sz="0" w:space="0" w:color="auto"/>
        <w:bottom w:val="none" w:sz="0" w:space="0" w:color="auto"/>
        <w:right w:val="none" w:sz="0" w:space="0" w:color="auto"/>
      </w:divBdr>
    </w:div>
    <w:div w:id="1400906658">
      <w:bodyDiv w:val="1"/>
      <w:marLeft w:val="0"/>
      <w:marRight w:val="0"/>
      <w:marTop w:val="0"/>
      <w:marBottom w:val="0"/>
      <w:divBdr>
        <w:top w:val="none" w:sz="0" w:space="0" w:color="auto"/>
        <w:left w:val="none" w:sz="0" w:space="0" w:color="auto"/>
        <w:bottom w:val="none" w:sz="0" w:space="0" w:color="auto"/>
        <w:right w:val="none" w:sz="0" w:space="0" w:color="auto"/>
      </w:divBdr>
    </w:div>
    <w:div w:id="1402800168">
      <w:bodyDiv w:val="1"/>
      <w:marLeft w:val="0"/>
      <w:marRight w:val="0"/>
      <w:marTop w:val="0"/>
      <w:marBottom w:val="0"/>
      <w:divBdr>
        <w:top w:val="none" w:sz="0" w:space="0" w:color="auto"/>
        <w:left w:val="none" w:sz="0" w:space="0" w:color="auto"/>
        <w:bottom w:val="none" w:sz="0" w:space="0" w:color="auto"/>
        <w:right w:val="none" w:sz="0" w:space="0" w:color="auto"/>
      </w:divBdr>
    </w:div>
    <w:div w:id="1411808553">
      <w:bodyDiv w:val="1"/>
      <w:marLeft w:val="0"/>
      <w:marRight w:val="0"/>
      <w:marTop w:val="0"/>
      <w:marBottom w:val="0"/>
      <w:divBdr>
        <w:top w:val="none" w:sz="0" w:space="0" w:color="auto"/>
        <w:left w:val="none" w:sz="0" w:space="0" w:color="auto"/>
        <w:bottom w:val="none" w:sz="0" w:space="0" w:color="auto"/>
        <w:right w:val="none" w:sz="0" w:space="0" w:color="auto"/>
      </w:divBdr>
    </w:div>
    <w:div w:id="1432047653">
      <w:bodyDiv w:val="1"/>
      <w:marLeft w:val="0"/>
      <w:marRight w:val="0"/>
      <w:marTop w:val="0"/>
      <w:marBottom w:val="0"/>
      <w:divBdr>
        <w:top w:val="none" w:sz="0" w:space="0" w:color="auto"/>
        <w:left w:val="none" w:sz="0" w:space="0" w:color="auto"/>
        <w:bottom w:val="none" w:sz="0" w:space="0" w:color="auto"/>
        <w:right w:val="none" w:sz="0" w:space="0" w:color="auto"/>
      </w:divBdr>
    </w:div>
    <w:div w:id="1432966673">
      <w:bodyDiv w:val="1"/>
      <w:marLeft w:val="0"/>
      <w:marRight w:val="0"/>
      <w:marTop w:val="0"/>
      <w:marBottom w:val="0"/>
      <w:divBdr>
        <w:top w:val="none" w:sz="0" w:space="0" w:color="auto"/>
        <w:left w:val="none" w:sz="0" w:space="0" w:color="auto"/>
        <w:bottom w:val="none" w:sz="0" w:space="0" w:color="auto"/>
        <w:right w:val="none" w:sz="0" w:space="0" w:color="auto"/>
      </w:divBdr>
    </w:div>
    <w:div w:id="1435783337">
      <w:bodyDiv w:val="1"/>
      <w:marLeft w:val="0"/>
      <w:marRight w:val="0"/>
      <w:marTop w:val="0"/>
      <w:marBottom w:val="0"/>
      <w:divBdr>
        <w:top w:val="none" w:sz="0" w:space="0" w:color="auto"/>
        <w:left w:val="none" w:sz="0" w:space="0" w:color="auto"/>
        <w:bottom w:val="none" w:sz="0" w:space="0" w:color="auto"/>
        <w:right w:val="none" w:sz="0" w:space="0" w:color="auto"/>
      </w:divBdr>
    </w:div>
    <w:div w:id="1460878592">
      <w:bodyDiv w:val="1"/>
      <w:marLeft w:val="0"/>
      <w:marRight w:val="0"/>
      <w:marTop w:val="0"/>
      <w:marBottom w:val="0"/>
      <w:divBdr>
        <w:top w:val="none" w:sz="0" w:space="0" w:color="auto"/>
        <w:left w:val="none" w:sz="0" w:space="0" w:color="auto"/>
        <w:bottom w:val="none" w:sz="0" w:space="0" w:color="auto"/>
        <w:right w:val="none" w:sz="0" w:space="0" w:color="auto"/>
      </w:divBdr>
    </w:div>
    <w:div w:id="1460955812">
      <w:bodyDiv w:val="1"/>
      <w:marLeft w:val="0"/>
      <w:marRight w:val="0"/>
      <w:marTop w:val="0"/>
      <w:marBottom w:val="0"/>
      <w:divBdr>
        <w:top w:val="none" w:sz="0" w:space="0" w:color="auto"/>
        <w:left w:val="none" w:sz="0" w:space="0" w:color="auto"/>
        <w:bottom w:val="none" w:sz="0" w:space="0" w:color="auto"/>
        <w:right w:val="none" w:sz="0" w:space="0" w:color="auto"/>
      </w:divBdr>
    </w:div>
    <w:div w:id="1462923478">
      <w:bodyDiv w:val="1"/>
      <w:marLeft w:val="0"/>
      <w:marRight w:val="0"/>
      <w:marTop w:val="0"/>
      <w:marBottom w:val="0"/>
      <w:divBdr>
        <w:top w:val="none" w:sz="0" w:space="0" w:color="auto"/>
        <w:left w:val="none" w:sz="0" w:space="0" w:color="auto"/>
        <w:bottom w:val="none" w:sz="0" w:space="0" w:color="auto"/>
        <w:right w:val="none" w:sz="0" w:space="0" w:color="auto"/>
      </w:divBdr>
    </w:div>
    <w:div w:id="1463424174">
      <w:bodyDiv w:val="1"/>
      <w:marLeft w:val="0"/>
      <w:marRight w:val="0"/>
      <w:marTop w:val="0"/>
      <w:marBottom w:val="0"/>
      <w:divBdr>
        <w:top w:val="none" w:sz="0" w:space="0" w:color="auto"/>
        <w:left w:val="none" w:sz="0" w:space="0" w:color="auto"/>
        <w:bottom w:val="none" w:sz="0" w:space="0" w:color="auto"/>
        <w:right w:val="none" w:sz="0" w:space="0" w:color="auto"/>
      </w:divBdr>
    </w:div>
    <w:div w:id="1465544825">
      <w:bodyDiv w:val="1"/>
      <w:marLeft w:val="0"/>
      <w:marRight w:val="0"/>
      <w:marTop w:val="0"/>
      <w:marBottom w:val="0"/>
      <w:divBdr>
        <w:top w:val="none" w:sz="0" w:space="0" w:color="auto"/>
        <w:left w:val="none" w:sz="0" w:space="0" w:color="auto"/>
        <w:bottom w:val="none" w:sz="0" w:space="0" w:color="auto"/>
        <w:right w:val="none" w:sz="0" w:space="0" w:color="auto"/>
      </w:divBdr>
    </w:div>
    <w:div w:id="1479765524">
      <w:bodyDiv w:val="1"/>
      <w:marLeft w:val="0"/>
      <w:marRight w:val="0"/>
      <w:marTop w:val="0"/>
      <w:marBottom w:val="0"/>
      <w:divBdr>
        <w:top w:val="none" w:sz="0" w:space="0" w:color="auto"/>
        <w:left w:val="none" w:sz="0" w:space="0" w:color="auto"/>
        <w:bottom w:val="none" w:sz="0" w:space="0" w:color="auto"/>
        <w:right w:val="none" w:sz="0" w:space="0" w:color="auto"/>
      </w:divBdr>
    </w:div>
    <w:div w:id="1481654157">
      <w:bodyDiv w:val="1"/>
      <w:marLeft w:val="0"/>
      <w:marRight w:val="0"/>
      <w:marTop w:val="0"/>
      <w:marBottom w:val="0"/>
      <w:divBdr>
        <w:top w:val="none" w:sz="0" w:space="0" w:color="auto"/>
        <w:left w:val="none" w:sz="0" w:space="0" w:color="auto"/>
        <w:bottom w:val="none" w:sz="0" w:space="0" w:color="auto"/>
        <w:right w:val="none" w:sz="0" w:space="0" w:color="auto"/>
      </w:divBdr>
    </w:div>
    <w:div w:id="1493835469">
      <w:bodyDiv w:val="1"/>
      <w:marLeft w:val="0"/>
      <w:marRight w:val="0"/>
      <w:marTop w:val="0"/>
      <w:marBottom w:val="0"/>
      <w:divBdr>
        <w:top w:val="none" w:sz="0" w:space="0" w:color="auto"/>
        <w:left w:val="none" w:sz="0" w:space="0" w:color="auto"/>
        <w:bottom w:val="none" w:sz="0" w:space="0" w:color="auto"/>
        <w:right w:val="none" w:sz="0" w:space="0" w:color="auto"/>
      </w:divBdr>
    </w:div>
    <w:div w:id="1503660994">
      <w:bodyDiv w:val="1"/>
      <w:marLeft w:val="0"/>
      <w:marRight w:val="0"/>
      <w:marTop w:val="0"/>
      <w:marBottom w:val="0"/>
      <w:divBdr>
        <w:top w:val="none" w:sz="0" w:space="0" w:color="auto"/>
        <w:left w:val="none" w:sz="0" w:space="0" w:color="auto"/>
        <w:bottom w:val="none" w:sz="0" w:space="0" w:color="auto"/>
        <w:right w:val="none" w:sz="0" w:space="0" w:color="auto"/>
      </w:divBdr>
    </w:div>
    <w:div w:id="1504857538">
      <w:bodyDiv w:val="1"/>
      <w:marLeft w:val="0"/>
      <w:marRight w:val="0"/>
      <w:marTop w:val="0"/>
      <w:marBottom w:val="0"/>
      <w:divBdr>
        <w:top w:val="none" w:sz="0" w:space="0" w:color="auto"/>
        <w:left w:val="none" w:sz="0" w:space="0" w:color="auto"/>
        <w:bottom w:val="none" w:sz="0" w:space="0" w:color="auto"/>
        <w:right w:val="none" w:sz="0" w:space="0" w:color="auto"/>
      </w:divBdr>
    </w:div>
    <w:div w:id="1506826494">
      <w:bodyDiv w:val="1"/>
      <w:marLeft w:val="0"/>
      <w:marRight w:val="0"/>
      <w:marTop w:val="0"/>
      <w:marBottom w:val="0"/>
      <w:divBdr>
        <w:top w:val="none" w:sz="0" w:space="0" w:color="auto"/>
        <w:left w:val="none" w:sz="0" w:space="0" w:color="auto"/>
        <w:bottom w:val="none" w:sz="0" w:space="0" w:color="auto"/>
        <w:right w:val="none" w:sz="0" w:space="0" w:color="auto"/>
      </w:divBdr>
    </w:div>
    <w:div w:id="1507476961">
      <w:bodyDiv w:val="1"/>
      <w:marLeft w:val="0"/>
      <w:marRight w:val="0"/>
      <w:marTop w:val="0"/>
      <w:marBottom w:val="0"/>
      <w:divBdr>
        <w:top w:val="none" w:sz="0" w:space="0" w:color="auto"/>
        <w:left w:val="none" w:sz="0" w:space="0" w:color="auto"/>
        <w:bottom w:val="none" w:sz="0" w:space="0" w:color="auto"/>
        <w:right w:val="none" w:sz="0" w:space="0" w:color="auto"/>
      </w:divBdr>
    </w:div>
    <w:div w:id="1508910048">
      <w:bodyDiv w:val="1"/>
      <w:marLeft w:val="0"/>
      <w:marRight w:val="0"/>
      <w:marTop w:val="0"/>
      <w:marBottom w:val="0"/>
      <w:divBdr>
        <w:top w:val="none" w:sz="0" w:space="0" w:color="auto"/>
        <w:left w:val="none" w:sz="0" w:space="0" w:color="auto"/>
        <w:bottom w:val="none" w:sz="0" w:space="0" w:color="auto"/>
        <w:right w:val="none" w:sz="0" w:space="0" w:color="auto"/>
      </w:divBdr>
    </w:div>
    <w:div w:id="1521620365">
      <w:bodyDiv w:val="1"/>
      <w:marLeft w:val="0"/>
      <w:marRight w:val="0"/>
      <w:marTop w:val="0"/>
      <w:marBottom w:val="0"/>
      <w:divBdr>
        <w:top w:val="none" w:sz="0" w:space="0" w:color="auto"/>
        <w:left w:val="none" w:sz="0" w:space="0" w:color="auto"/>
        <w:bottom w:val="none" w:sz="0" w:space="0" w:color="auto"/>
        <w:right w:val="none" w:sz="0" w:space="0" w:color="auto"/>
      </w:divBdr>
    </w:div>
    <w:div w:id="1524440257">
      <w:bodyDiv w:val="1"/>
      <w:marLeft w:val="0"/>
      <w:marRight w:val="0"/>
      <w:marTop w:val="0"/>
      <w:marBottom w:val="0"/>
      <w:divBdr>
        <w:top w:val="none" w:sz="0" w:space="0" w:color="auto"/>
        <w:left w:val="none" w:sz="0" w:space="0" w:color="auto"/>
        <w:bottom w:val="none" w:sz="0" w:space="0" w:color="auto"/>
        <w:right w:val="none" w:sz="0" w:space="0" w:color="auto"/>
      </w:divBdr>
    </w:div>
    <w:div w:id="1542128487">
      <w:bodyDiv w:val="1"/>
      <w:marLeft w:val="0"/>
      <w:marRight w:val="0"/>
      <w:marTop w:val="0"/>
      <w:marBottom w:val="0"/>
      <w:divBdr>
        <w:top w:val="none" w:sz="0" w:space="0" w:color="auto"/>
        <w:left w:val="none" w:sz="0" w:space="0" w:color="auto"/>
        <w:bottom w:val="none" w:sz="0" w:space="0" w:color="auto"/>
        <w:right w:val="none" w:sz="0" w:space="0" w:color="auto"/>
      </w:divBdr>
    </w:div>
    <w:div w:id="1543706782">
      <w:bodyDiv w:val="1"/>
      <w:marLeft w:val="0"/>
      <w:marRight w:val="0"/>
      <w:marTop w:val="0"/>
      <w:marBottom w:val="0"/>
      <w:divBdr>
        <w:top w:val="none" w:sz="0" w:space="0" w:color="auto"/>
        <w:left w:val="none" w:sz="0" w:space="0" w:color="auto"/>
        <w:bottom w:val="none" w:sz="0" w:space="0" w:color="auto"/>
        <w:right w:val="none" w:sz="0" w:space="0" w:color="auto"/>
      </w:divBdr>
    </w:div>
    <w:div w:id="1546599424">
      <w:bodyDiv w:val="1"/>
      <w:marLeft w:val="0"/>
      <w:marRight w:val="0"/>
      <w:marTop w:val="0"/>
      <w:marBottom w:val="0"/>
      <w:divBdr>
        <w:top w:val="none" w:sz="0" w:space="0" w:color="auto"/>
        <w:left w:val="none" w:sz="0" w:space="0" w:color="auto"/>
        <w:bottom w:val="none" w:sz="0" w:space="0" w:color="auto"/>
        <w:right w:val="none" w:sz="0" w:space="0" w:color="auto"/>
      </w:divBdr>
    </w:div>
    <w:div w:id="1558276348">
      <w:bodyDiv w:val="1"/>
      <w:marLeft w:val="0"/>
      <w:marRight w:val="0"/>
      <w:marTop w:val="0"/>
      <w:marBottom w:val="0"/>
      <w:divBdr>
        <w:top w:val="none" w:sz="0" w:space="0" w:color="auto"/>
        <w:left w:val="none" w:sz="0" w:space="0" w:color="auto"/>
        <w:bottom w:val="none" w:sz="0" w:space="0" w:color="auto"/>
        <w:right w:val="none" w:sz="0" w:space="0" w:color="auto"/>
      </w:divBdr>
    </w:div>
    <w:div w:id="1565725637">
      <w:bodyDiv w:val="1"/>
      <w:marLeft w:val="0"/>
      <w:marRight w:val="0"/>
      <w:marTop w:val="0"/>
      <w:marBottom w:val="0"/>
      <w:divBdr>
        <w:top w:val="none" w:sz="0" w:space="0" w:color="auto"/>
        <w:left w:val="none" w:sz="0" w:space="0" w:color="auto"/>
        <w:bottom w:val="none" w:sz="0" w:space="0" w:color="auto"/>
        <w:right w:val="none" w:sz="0" w:space="0" w:color="auto"/>
      </w:divBdr>
    </w:div>
    <w:div w:id="1566257249">
      <w:bodyDiv w:val="1"/>
      <w:marLeft w:val="0"/>
      <w:marRight w:val="0"/>
      <w:marTop w:val="0"/>
      <w:marBottom w:val="0"/>
      <w:divBdr>
        <w:top w:val="none" w:sz="0" w:space="0" w:color="auto"/>
        <w:left w:val="none" w:sz="0" w:space="0" w:color="auto"/>
        <w:bottom w:val="none" w:sz="0" w:space="0" w:color="auto"/>
        <w:right w:val="none" w:sz="0" w:space="0" w:color="auto"/>
      </w:divBdr>
    </w:div>
    <w:div w:id="1576087075">
      <w:bodyDiv w:val="1"/>
      <w:marLeft w:val="0"/>
      <w:marRight w:val="0"/>
      <w:marTop w:val="0"/>
      <w:marBottom w:val="0"/>
      <w:divBdr>
        <w:top w:val="none" w:sz="0" w:space="0" w:color="auto"/>
        <w:left w:val="none" w:sz="0" w:space="0" w:color="auto"/>
        <w:bottom w:val="none" w:sz="0" w:space="0" w:color="auto"/>
        <w:right w:val="none" w:sz="0" w:space="0" w:color="auto"/>
      </w:divBdr>
    </w:div>
    <w:div w:id="1579513207">
      <w:bodyDiv w:val="1"/>
      <w:marLeft w:val="0"/>
      <w:marRight w:val="0"/>
      <w:marTop w:val="0"/>
      <w:marBottom w:val="0"/>
      <w:divBdr>
        <w:top w:val="none" w:sz="0" w:space="0" w:color="auto"/>
        <w:left w:val="none" w:sz="0" w:space="0" w:color="auto"/>
        <w:bottom w:val="none" w:sz="0" w:space="0" w:color="auto"/>
        <w:right w:val="none" w:sz="0" w:space="0" w:color="auto"/>
      </w:divBdr>
    </w:div>
    <w:div w:id="1582569592">
      <w:bodyDiv w:val="1"/>
      <w:marLeft w:val="0"/>
      <w:marRight w:val="0"/>
      <w:marTop w:val="0"/>
      <w:marBottom w:val="0"/>
      <w:divBdr>
        <w:top w:val="none" w:sz="0" w:space="0" w:color="auto"/>
        <w:left w:val="none" w:sz="0" w:space="0" w:color="auto"/>
        <w:bottom w:val="none" w:sz="0" w:space="0" w:color="auto"/>
        <w:right w:val="none" w:sz="0" w:space="0" w:color="auto"/>
      </w:divBdr>
    </w:div>
    <w:div w:id="1583446967">
      <w:bodyDiv w:val="1"/>
      <w:marLeft w:val="0"/>
      <w:marRight w:val="0"/>
      <w:marTop w:val="0"/>
      <w:marBottom w:val="0"/>
      <w:divBdr>
        <w:top w:val="none" w:sz="0" w:space="0" w:color="auto"/>
        <w:left w:val="none" w:sz="0" w:space="0" w:color="auto"/>
        <w:bottom w:val="none" w:sz="0" w:space="0" w:color="auto"/>
        <w:right w:val="none" w:sz="0" w:space="0" w:color="auto"/>
      </w:divBdr>
    </w:div>
    <w:div w:id="1588731647">
      <w:bodyDiv w:val="1"/>
      <w:marLeft w:val="0"/>
      <w:marRight w:val="0"/>
      <w:marTop w:val="0"/>
      <w:marBottom w:val="0"/>
      <w:divBdr>
        <w:top w:val="none" w:sz="0" w:space="0" w:color="auto"/>
        <w:left w:val="none" w:sz="0" w:space="0" w:color="auto"/>
        <w:bottom w:val="none" w:sz="0" w:space="0" w:color="auto"/>
        <w:right w:val="none" w:sz="0" w:space="0" w:color="auto"/>
      </w:divBdr>
    </w:div>
    <w:div w:id="1598102421">
      <w:bodyDiv w:val="1"/>
      <w:marLeft w:val="0"/>
      <w:marRight w:val="0"/>
      <w:marTop w:val="0"/>
      <w:marBottom w:val="0"/>
      <w:divBdr>
        <w:top w:val="none" w:sz="0" w:space="0" w:color="auto"/>
        <w:left w:val="none" w:sz="0" w:space="0" w:color="auto"/>
        <w:bottom w:val="none" w:sz="0" w:space="0" w:color="auto"/>
        <w:right w:val="none" w:sz="0" w:space="0" w:color="auto"/>
      </w:divBdr>
    </w:div>
    <w:div w:id="1610887568">
      <w:bodyDiv w:val="1"/>
      <w:marLeft w:val="0"/>
      <w:marRight w:val="0"/>
      <w:marTop w:val="0"/>
      <w:marBottom w:val="0"/>
      <w:divBdr>
        <w:top w:val="none" w:sz="0" w:space="0" w:color="auto"/>
        <w:left w:val="none" w:sz="0" w:space="0" w:color="auto"/>
        <w:bottom w:val="none" w:sz="0" w:space="0" w:color="auto"/>
        <w:right w:val="none" w:sz="0" w:space="0" w:color="auto"/>
      </w:divBdr>
    </w:div>
    <w:div w:id="1616591995">
      <w:bodyDiv w:val="1"/>
      <w:marLeft w:val="0"/>
      <w:marRight w:val="0"/>
      <w:marTop w:val="0"/>
      <w:marBottom w:val="0"/>
      <w:divBdr>
        <w:top w:val="none" w:sz="0" w:space="0" w:color="auto"/>
        <w:left w:val="none" w:sz="0" w:space="0" w:color="auto"/>
        <w:bottom w:val="none" w:sz="0" w:space="0" w:color="auto"/>
        <w:right w:val="none" w:sz="0" w:space="0" w:color="auto"/>
      </w:divBdr>
    </w:div>
    <w:div w:id="1624576926">
      <w:bodyDiv w:val="1"/>
      <w:marLeft w:val="0"/>
      <w:marRight w:val="0"/>
      <w:marTop w:val="0"/>
      <w:marBottom w:val="0"/>
      <w:divBdr>
        <w:top w:val="none" w:sz="0" w:space="0" w:color="auto"/>
        <w:left w:val="none" w:sz="0" w:space="0" w:color="auto"/>
        <w:bottom w:val="none" w:sz="0" w:space="0" w:color="auto"/>
        <w:right w:val="none" w:sz="0" w:space="0" w:color="auto"/>
      </w:divBdr>
    </w:div>
    <w:div w:id="1651707827">
      <w:bodyDiv w:val="1"/>
      <w:marLeft w:val="0"/>
      <w:marRight w:val="0"/>
      <w:marTop w:val="0"/>
      <w:marBottom w:val="0"/>
      <w:divBdr>
        <w:top w:val="none" w:sz="0" w:space="0" w:color="auto"/>
        <w:left w:val="none" w:sz="0" w:space="0" w:color="auto"/>
        <w:bottom w:val="none" w:sz="0" w:space="0" w:color="auto"/>
        <w:right w:val="none" w:sz="0" w:space="0" w:color="auto"/>
      </w:divBdr>
    </w:div>
    <w:div w:id="1658608649">
      <w:bodyDiv w:val="1"/>
      <w:marLeft w:val="0"/>
      <w:marRight w:val="0"/>
      <w:marTop w:val="0"/>
      <w:marBottom w:val="0"/>
      <w:divBdr>
        <w:top w:val="none" w:sz="0" w:space="0" w:color="auto"/>
        <w:left w:val="none" w:sz="0" w:space="0" w:color="auto"/>
        <w:bottom w:val="none" w:sz="0" w:space="0" w:color="auto"/>
        <w:right w:val="none" w:sz="0" w:space="0" w:color="auto"/>
      </w:divBdr>
    </w:div>
    <w:div w:id="1662655481">
      <w:bodyDiv w:val="1"/>
      <w:marLeft w:val="0"/>
      <w:marRight w:val="0"/>
      <w:marTop w:val="0"/>
      <w:marBottom w:val="0"/>
      <w:divBdr>
        <w:top w:val="none" w:sz="0" w:space="0" w:color="auto"/>
        <w:left w:val="none" w:sz="0" w:space="0" w:color="auto"/>
        <w:bottom w:val="none" w:sz="0" w:space="0" w:color="auto"/>
        <w:right w:val="none" w:sz="0" w:space="0" w:color="auto"/>
      </w:divBdr>
    </w:div>
    <w:div w:id="1670330808">
      <w:bodyDiv w:val="1"/>
      <w:marLeft w:val="0"/>
      <w:marRight w:val="0"/>
      <w:marTop w:val="0"/>
      <w:marBottom w:val="0"/>
      <w:divBdr>
        <w:top w:val="none" w:sz="0" w:space="0" w:color="auto"/>
        <w:left w:val="none" w:sz="0" w:space="0" w:color="auto"/>
        <w:bottom w:val="none" w:sz="0" w:space="0" w:color="auto"/>
        <w:right w:val="none" w:sz="0" w:space="0" w:color="auto"/>
      </w:divBdr>
    </w:div>
    <w:div w:id="1673216680">
      <w:bodyDiv w:val="1"/>
      <w:marLeft w:val="0"/>
      <w:marRight w:val="0"/>
      <w:marTop w:val="0"/>
      <w:marBottom w:val="0"/>
      <w:divBdr>
        <w:top w:val="none" w:sz="0" w:space="0" w:color="auto"/>
        <w:left w:val="none" w:sz="0" w:space="0" w:color="auto"/>
        <w:bottom w:val="none" w:sz="0" w:space="0" w:color="auto"/>
        <w:right w:val="none" w:sz="0" w:space="0" w:color="auto"/>
      </w:divBdr>
    </w:div>
    <w:div w:id="1673407493">
      <w:bodyDiv w:val="1"/>
      <w:marLeft w:val="0"/>
      <w:marRight w:val="0"/>
      <w:marTop w:val="0"/>
      <w:marBottom w:val="0"/>
      <w:divBdr>
        <w:top w:val="none" w:sz="0" w:space="0" w:color="auto"/>
        <w:left w:val="none" w:sz="0" w:space="0" w:color="auto"/>
        <w:bottom w:val="none" w:sz="0" w:space="0" w:color="auto"/>
        <w:right w:val="none" w:sz="0" w:space="0" w:color="auto"/>
      </w:divBdr>
    </w:div>
    <w:div w:id="1674256514">
      <w:bodyDiv w:val="1"/>
      <w:marLeft w:val="0"/>
      <w:marRight w:val="0"/>
      <w:marTop w:val="0"/>
      <w:marBottom w:val="0"/>
      <w:divBdr>
        <w:top w:val="none" w:sz="0" w:space="0" w:color="auto"/>
        <w:left w:val="none" w:sz="0" w:space="0" w:color="auto"/>
        <w:bottom w:val="none" w:sz="0" w:space="0" w:color="auto"/>
        <w:right w:val="none" w:sz="0" w:space="0" w:color="auto"/>
      </w:divBdr>
    </w:div>
    <w:div w:id="1674990366">
      <w:bodyDiv w:val="1"/>
      <w:marLeft w:val="0"/>
      <w:marRight w:val="0"/>
      <w:marTop w:val="0"/>
      <w:marBottom w:val="0"/>
      <w:divBdr>
        <w:top w:val="none" w:sz="0" w:space="0" w:color="auto"/>
        <w:left w:val="none" w:sz="0" w:space="0" w:color="auto"/>
        <w:bottom w:val="none" w:sz="0" w:space="0" w:color="auto"/>
        <w:right w:val="none" w:sz="0" w:space="0" w:color="auto"/>
      </w:divBdr>
    </w:div>
    <w:div w:id="1684891377">
      <w:bodyDiv w:val="1"/>
      <w:marLeft w:val="0"/>
      <w:marRight w:val="0"/>
      <w:marTop w:val="0"/>
      <w:marBottom w:val="0"/>
      <w:divBdr>
        <w:top w:val="none" w:sz="0" w:space="0" w:color="auto"/>
        <w:left w:val="none" w:sz="0" w:space="0" w:color="auto"/>
        <w:bottom w:val="none" w:sz="0" w:space="0" w:color="auto"/>
        <w:right w:val="none" w:sz="0" w:space="0" w:color="auto"/>
      </w:divBdr>
    </w:div>
    <w:div w:id="1686904304">
      <w:bodyDiv w:val="1"/>
      <w:marLeft w:val="0"/>
      <w:marRight w:val="0"/>
      <w:marTop w:val="0"/>
      <w:marBottom w:val="0"/>
      <w:divBdr>
        <w:top w:val="none" w:sz="0" w:space="0" w:color="auto"/>
        <w:left w:val="none" w:sz="0" w:space="0" w:color="auto"/>
        <w:bottom w:val="none" w:sz="0" w:space="0" w:color="auto"/>
        <w:right w:val="none" w:sz="0" w:space="0" w:color="auto"/>
      </w:divBdr>
    </w:div>
    <w:div w:id="1691056561">
      <w:bodyDiv w:val="1"/>
      <w:marLeft w:val="0"/>
      <w:marRight w:val="0"/>
      <w:marTop w:val="0"/>
      <w:marBottom w:val="0"/>
      <w:divBdr>
        <w:top w:val="none" w:sz="0" w:space="0" w:color="auto"/>
        <w:left w:val="none" w:sz="0" w:space="0" w:color="auto"/>
        <w:bottom w:val="none" w:sz="0" w:space="0" w:color="auto"/>
        <w:right w:val="none" w:sz="0" w:space="0" w:color="auto"/>
      </w:divBdr>
    </w:div>
    <w:div w:id="1695957777">
      <w:bodyDiv w:val="1"/>
      <w:marLeft w:val="0"/>
      <w:marRight w:val="0"/>
      <w:marTop w:val="0"/>
      <w:marBottom w:val="0"/>
      <w:divBdr>
        <w:top w:val="none" w:sz="0" w:space="0" w:color="auto"/>
        <w:left w:val="none" w:sz="0" w:space="0" w:color="auto"/>
        <w:bottom w:val="none" w:sz="0" w:space="0" w:color="auto"/>
        <w:right w:val="none" w:sz="0" w:space="0" w:color="auto"/>
      </w:divBdr>
    </w:div>
    <w:div w:id="1699889258">
      <w:bodyDiv w:val="1"/>
      <w:marLeft w:val="0"/>
      <w:marRight w:val="0"/>
      <w:marTop w:val="0"/>
      <w:marBottom w:val="0"/>
      <w:divBdr>
        <w:top w:val="none" w:sz="0" w:space="0" w:color="auto"/>
        <w:left w:val="none" w:sz="0" w:space="0" w:color="auto"/>
        <w:bottom w:val="none" w:sz="0" w:space="0" w:color="auto"/>
        <w:right w:val="none" w:sz="0" w:space="0" w:color="auto"/>
      </w:divBdr>
    </w:div>
    <w:div w:id="1711342803">
      <w:bodyDiv w:val="1"/>
      <w:marLeft w:val="0"/>
      <w:marRight w:val="0"/>
      <w:marTop w:val="0"/>
      <w:marBottom w:val="0"/>
      <w:divBdr>
        <w:top w:val="none" w:sz="0" w:space="0" w:color="auto"/>
        <w:left w:val="none" w:sz="0" w:space="0" w:color="auto"/>
        <w:bottom w:val="none" w:sz="0" w:space="0" w:color="auto"/>
        <w:right w:val="none" w:sz="0" w:space="0" w:color="auto"/>
      </w:divBdr>
    </w:div>
    <w:div w:id="1727797436">
      <w:bodyDiv w:val="1"/>
      <w:marLeft w:val="0"/>
      <w:marRight w:val="0"/>
      <w:marTop w:val="0"/>
      <w:marBottom w:val="0"/>
      <w:divBdr>
        <w:top w:val="none" w:sz="0" w:space="0" w:color="auto"/>
        <w:left w:val="none" w:sz="0" w:space="0" w:color="auto"/>
        <w:bottom w:val="none" w:sz="0" w:space="0" w:color="auto"/>
        <w:right w:val="none" w:sz="0" w:space="0" w:color="auto"/>
      </w:divBdr>
      <w:divsChild>
        <w:div w:id="21975872">
          <w:marLeft w:val="255"/>
          <w:marRight w:val="0"/>
          <w:marTop w:val="0"/>
          <w:marBottom w:val="0"/>
          <w:divBdr>
            <w:top w:val="none" w:sz="0" w:space="0" w:color="auto"/>
            <w:left w:val="none" w:sz="0" w:space="0" w:color="auto"/>
            <w:bottom w:val="none" w:sz="0" w:space="0" w:color="auto"/>
            <w:right w:val="none" w:sz="0" w:space="0" w:color="auto"/>
          </w:divBdr>
        </w:div>
      </w:divsChild>
    </w:div>
    <w:div w:id="1732536630">
      <w:bodyDiv w:val="1"/>
      <w:marLeft w:val="0"/>
      <w:marRight w:val="0"/>
      <w:marTop w:val="0"/>
      <w:marBottom w:val="0"/>
      <w:divBdr>
        <w:top w:val="none" w:sz="0" w:space="0" w:color="auto"/>
        <w:left w:val="none" w:sz="0" w:space="0" w:color="auto"/>
        <w:bottom w:val="none" w:sz="0" w:space="0" w:color="auto"/>
        <w:right w:val="none" w:sz="0" w:space="0" w:color="auto"/>
      </w:divBdr>
    </w:div>
    <w:div w:id="1739667094">
      <w:bodyDiv w:val="1"/>
      <w:marLeft w:val="0"/>
      <w:marRight w:val="0"/>
      <w:marTop w:val="0"/>
      <w:marBottom w:val="0"/>
      <w:divBdr>
        <w:top w:val="none" w:sz="0" w:space="0" w:color="auto"/>
        <w:left w:val="none" w:sz="0" w:space="0" w:color="auto"/>
        <w:bottom w:val="none" w:sz="0" w:space="0" w:color="auto"/>
        <w:right w:val="none" w:sz="0" w:space="0" w:color="auto"/>
      </w:divBdr>
    </w:div>
    <w:div w:id="1749309211">
      <w:bodyDiv w:val="1"/>
      <w:marLeft w:val="0"/>
      <w:marRight w:val="0"/>
      <w:marTop w:val="0"/>
      <w:marBottom w:val="0"/>
      <w:divBdr>
        <w:top w:val="none" w:sz="0" w:space="0" w:color="auto"/>
        <w:left w:val="none" w:sz="0" w:space="0" w:color="auto"/>
        <w:bottom w:val="none" w:sz="0" w:space="0" w:color="auto"/>
        <w:right w:val="none" w:sz="0" w:space="0" w:color="auto"/>
      </w:divBdr>
    </w:div>
    <w:div w:id="1758096433">
      <w:bodyDiv w:val="1"/>
      <w:marLeft w:val="0"/>
      <w:marRight w:val="0"/>
      <w:marTop w:val="0"/>
      <w:marBottom w:val="0"/>
      <w:divBdr>
        <w:top w:val="none" w:sz="0" w:space="0" w:color="auto"/>
        <w:left w:val="none" w:sz="0" w:space="0" w:color="auto"/>
        <w:bottom w:val="none" w:sz="0" w:space="0" w:color="auto"/>
        <w:right w:val="none" w:sz="0" w:space="0" w:color="auto"/>
      </w:divBdr>
    </w:div>
    <w:div w:id="1758555387">
      <w:bodyDiv w:val="1"/>
      <w:marLeft w:val="0"/>
      <w:marRight w:val="0"/>
      <w:marTop w:val="0"/>
      <w:marBottom w:val="0"/>
      <w:divBdr>
        <w:top w:val="none" w:sz="0" w:space="0" w:color="auto"/>
        <w:left w:val="none" w:sz="0" w:space="0" w:color="auto"/>
        <w:bottom w:val="none" w:sz="0" w:space="0" w:color="auto"/>
        <w:right w:val="none" w:sz="0" w:space="0" w:color="auto"/>
      </w:divBdr>
    </w:div>
    <w:div w:id="1758557036">
      <w:bodyDiv w:val="1"/>
      <w:marLeft w:val="0"/>
      <w:marRight w:val="0"/>
      <w:marTop w:val="0"/>
      <w:marBottom w:val="0"/>
      <w:divBdr>
        <w:top w:val="none" w:sz="0" w:space="0" w:color="auto"/>
        <w:left w:val="none" w:sz="0" w:space="0" w:color="auto"/>
        <w:bottom w:val="none" w:sz="0" w:space="0" w:color="auto"/>
        <w:right w:val="none" w:sz="0" w:space="0" w:color="auto"/>
      </w:divBdr>
    </w:div>
    <w:div w:id="1763211880">
      <w:bodyDiv w:val="1"/>
      <w:marLeft w:val="0"/>
      <w:marRight w:val="0"/>
      <w:marTop w:val="0"/>
      <w:marBottom w:val="0"/>
      <w:divBdr>
        <w:top w:val="none" w:sz="0" w:space="0" w:color="auto"/>
        <w:left w:val="none" w:sz="0" w:space="0" w:color="auto"/>
        <w:bottom w:val="none" w:sz="0" w:space="0" w:color="auto"/>
        <w:right w:val="none" w:sz="0" w:space="0" w:color="auto"/>
      </w:divBdr>
    </w:div>
    <w:div w:id="1777751399">
      <w:bodyDiv w:val="1"/>
      <w:marLeft w:val="0"/>
      <w:marRight w:val="0"/>
      <w:marTop w:val="0"/>
      <w:marBottom w:val="0"/>
      <w:divBdr>
        <w:top w:val="none" w:sz="0" w:space="0" w:color="auto"/>
        <w:left w:val="none" w:sz="0" w:space="0" w:color="auto"/>
        <w:bottom w:val="none" w:sz="0" w:space="0" w:color="auto"/>
        <w:right w:val="none" w:sz="0" w:space="0" w:color="auto"/>
      </w:divBdr>
    </w:div>
    <w:div w:id="1778522128">
      <w:bodyDiv w:val="1"/>
      <w:marLeft w:val="0"/>
      <w:marRight w:val="0"/>
      <w:marTop w:val="0"/>
      <w:marBottom w:val="0"/>
      <w:divBdr>
        <w:top w:val="none" w:sz="0" w:space="0" w:color="auto"/>
        <w:left w:val="none" w:sz="0" w:space="0" w:color="auto"/>
        <w:bottom w:val="none" w:sz="0" w:space="0" w:color="auto"/>
        <w:right w:val="none" w:sz="0" w:space="0" w:color="auto"/>
      </w:divBdr>
    </w:div>
    <w:div w:id="1779058396">
      <w:bodyDiv w:val="1"/>
      <w:marLeft w:val="0"/>
      <w:marRight w:val="0"/>
      <w:marTop w:val="0"/>
      <w:marBottom w:val="0"/>
      <w:divBdr>
        <w:top w:val="none" w:sz="0" w:space="0" w:color="auto"/>
        <w:left w:val="none" w:sz="0" w:space="0" w:color="auto"/>
        <w:bottom w:val="none" w:sz="0" w:space="0" w:color="auto"/>
        <w:right w:val="none" w:sz="0" w:space="0" w:color="auto"/>
      </w:divBdr>
    </w:div>
    <w:div w:id="1781800505">
      <w:bodyDiv w:val="1"/>
      <w:marLeft w:val="0"/>
      <w:marRight w:val="0"/>
      <w:marTop w:val="0"/>
      <w:marBottom w:val="0"/>
      <w:divBdr>
        <w:top w:val="none" w:sz="0" w:space="0" w:color="auto"/>
        <w:left w:val="none" w:sz="0" w:space="0" w:color="auto"/>
        <w:bottom w:val="none" w:sz="0" w:space="0" w:color="auto"/>
        <w:right w:val="none" w:sz="0" w:space="0" w:color="auto"/>
      </w:divBdr>
      <w:divsChild>
        <w:div w:id="1525827732">
          <w:marLeft w:val="1267"/>
          <w:marRight w:val="0"/>
          <w:marTop w:val="240"/>
          <w:marBottom w:val="0"/>
          <w:divBdr>
            <w:top w:val="none" w:sz="0" w:space="0" w:color="auto"/>
            <w:left w:val="none" w:sz="0" w:space="0" w:color="auto"/>
            <w:bottom w:val="none" w:sz="0" w:space="0" w:color="auto"/>
            <w:right w:val="none" w:sz="0" w:space="0" w:color="auto"/>
          </w:divBdr>
        </w:div>
      </w:divsChild>
    </w:div>
    <w:div w:id="1783455819">
      <w:bodyDiv w:val="1"/>
      <w:marLeft w:val="0"/>
      <w:marRight w:val="0"/>
      <w:marTop w:val="0"/>
      <w:marBottom w:val="0"/>
      <w:divBdr>
        <w:top w:val="none" w:sz="0" w:space="0" w:color="auto"/>
        <w:left w:val="none" w:sz="0" w:space="0" w:color="auto"/>
        <w:bottom w:val="none" w:sz="0" w:space="0" w:color="auto"/>
        <w:right w:val="none" w:sz="0" w:space="0" w:color="auto"/>
      </w:divBdr>
    </w:div>
    <w:div w:id="1783527043">
      <w:bodyDiv w:val="1"/>
      <w:marLeft w:val="0"/>
      <w:marRight w:val="0"/>
      <w:marTop w:val="0"/>
      <w:marBottom w:val="0"/>
      <w:divBdr>
        <w:top w:val="none" w:sz="0" w:space="0" w:color="auto"/>
        <w:left w:val="none" w:sz="0" w:space="0" w:color="auto"/>
        <w:bottom w:val="none" w:sz="0" w:space="0" w:color="auto"/>
        <w:right w:val="none" w:sz="0" w:space="0" w:color="auto"/>
      </w:divBdr>
    </w:div>
    <w:div w:id="1800340987">
      <w:bodyDiv w:val="1"/>
      <w:marLeft w:val="0"/>
      <w:marRight w:val="0"/>
      <w:marTop w:val="0"/>
      <w:marBottom w:val="0"/>
      <w:divBdr>
        <w:top w:val="none" w:sz="0" w:space="0" w:color="auto"/>
        <w:left w:val="none" w:sz="0" w:space="0" w:color="auto"/>
        <w:bottom w:val="none" w:sz="0" w:space="0" w:color="auto"/>
        <w:right w:val="none" w:sz="0" w:space="0" w:color="auto"/>
      </w:divBdr>
    </w:div>
    <w:div w:id="1810781798">
      <w:bodyDiv w:val="1"/>
      <w:marLeft w:val="0"/>
      <w:marRight w:val="0"/>
      <w:marTop w:val="0"/>
      <w:marBottom w:val="0"/>
      <w:divBdr>
        <w:top w:val="none" w:sz="0" w:space="0" w:color="auto"/>
        <w:left w:val="none" w:sz="0" w:space="0" w:color="auto"/>
        <w:bottom w:val="none" w:sz="0" w:space="0" w:color="auto"/>
        <w:right w:val="none" w:sz="0" w:space="0" w:color="auto"/>
      </w:divBdr>
    </w:div>
    <w:div w:id="1813477388">
      <w:bodyDiv w:val="1"/>
      <w:marLeft w:val="0"/>
      <w:marRight w:val="0"/>
      <w:marTop w:val="0"/>
      <w:marBottom w:val="0"/>
      <w:divBdr>
        <w:top w:val="none" w:sz="0" w:space="0" w:color="auto"/>
        <w:left w:val="none" w:sz="0" w:space="0" w:color="auto"/>
        <w:bottom w:val="none" w:sz="0" w:space="0" w:color="auto"/>
        <w:right w:val="none" w:sz="0" w:space="0" w:color="auto"/>
      </w:divBdr>
    </w:div>
    <w:div w:id="1820607756">
      <w:bodyDiv w:val="1"/>
      <w:marLeft w:val="0"/>
      <w:marRight w:val="0"/>
      <w:marTop w:val="0"/>
      <w:marBottom w:val="0"/>
      <w:divBdr>
        <w:top w:val="none" w:sz="0" w:space="0" w:color="auto"/>
        <w:left w:val="none" w:sz="0" w:space="0" w:color="auto"/>
        <w:bottom w:val="none" w:sz="0" w:space="0" w:color="auto"/>
        <w:right w:val="none" w:sz="0" w:space="0" w:color="auto"/>
      </w:divBdr>
    </w:div>
    <w:div w:id="1828941153">
      <w:bodyDiv w:val="1"/>
      <w:marLeft w:val="0"/>
      <w:marRight w:val="0"/>
      <w:marTop w:val="0"/>
      <w:marBottom w:val="0"/>
      <w:divBdr>
        <w:top w:val="none" w:sz="0" w:space="0" w:color="auto"/>
        <w:left w:val="none" w:sz="0" w:space="0" w:color="auto"/>
        <w:bottom w:val="none" w:sz="0" w:space="0" w:color="auto"/>
        <w:right w:val="none" w:sz="0" w:space="0" w:color="auto"/>
      </w:divBdr>
    </w:div>
    <w:div w:id="1833645609">
      <w:bodyDiv w:val="1"/>
      <w:marLeft w:val="0"/>
      <w:marRight w:val="0"/>
      <w:marTop w:val="0"/>
      <w:marBottom w:val="0"/>
      <w:divBdr>
        <w:top w:val="none" w:sz="0" w:space="0" w:color="auto"/>
        <w:left w:val="none" w:sz="0" w:space="0" w:color="auto"/>
        <w:bottom w:val="none" w:sz="0" w:space="0" w:color="auto"/>
        <w:right w:val="none" w:sz="0" w:space="0" w:color="auto"/>
      </w:divBdr>
    </w:div>
    <w:div w:id="1835561385">
      <w:bodyDiv w:val="1"/>
      <w:marLeft w:val="0"/>
      <w:marRight w:val="0"/>
      <w:marTop w:val="0"/>
      <w:marBottom w:val="0"/>
      <w:divBdr>
        <w:top w:val="none" w:sz="0" w:space="0" w:color="auto"/>
        <w:left w:val="none" w:sz="0" w:space="0" w:color="auto"/>
        <w:bottom w:val="none" w:sz="0" w:space="0" w:color="auto"/>
        <w:right w:val="none" w:sz="0" w:space="0" w:color="auto"/>
      </w:divBdr>
    </w:div>
    <w:div w:id="1835992329">
      <w:bodyDiv w:val="1"/>
      <w:marLeft w:val="0"/>
      <w:marRight w:val="0"/>
      <w:marTop w:val="0"/>
      <w:marBottom w:val="0"/>
      <w:divBdr>
        <w:top w:val="none" w:sz="0" w:space="0" w:color="auto"/>
        <w:left w:val="none" w:sz="0" w:space="0" w:color="auto"/>
        <w:bottom w:val="none" w:sz="0" w:space="0" w:color="auto"/>
        <w:right w:val="none" w:sz="0" w:space="0" w:color="auto"/>
      </w:divBdr>
    </w:div>
    <w:div w:id="1850876318">
      <w:bodyDiv w:val="1"/>
      <w:marLeft w:val="0"/>
      <w:marRight w:val="0"/>
      <w:marTop w:val="0"/>
      <w:marBottom w:val="0"/>
      <w:divBdr>
        <w:top w:val="none" w:sz="0" w:space="0" w:color="auto"/>
        <w:left w:val="none" w:sz="0" w:space="0" w:color="auto"/>
        <w:bottom w:val="none" w:sz="0" w:space="0" w:color="auto"/>
        <w:right w:val="none" w:sz="0" w:space="0" w:color="auto"/>
      </w:divBdr>
    </w:div>
    <w:div w:id="1857498571">
      <w:bodyDiv w:val="1"/>
      <w:marLeft w:val="0"/>
      <w:marRight w:val="0"/>
      <w:marTop w:val="0"/>
      <w:marBottom w:val="0"/>
      <w:divBdr>
        <w:top w:val="none" w:sz="0" w:space="0" w:color="auto"/>
        <w:left w:val="none" w:sz="0" w:space="0" w:color="auto"/>
        <w:bottom w:val="none" w:sz="0" w:space="0" w:color="auto"/>
        <w:right w:val="none" w:sz="0" w:space="0" w:color="auto"/>
      </w:divBdr>
    </w:div>
    <w:div w:id="1857650160">
      <w:bodyDiv w:val="1"/>
      <w:marLeft w:val="0"/>
      <w:marRight w:val="0"/>
      <w:marTop w:val="0"/>
      <w:marBottom w:val="0"/>
      <w:divBdr>
        <w:top w:val="none" w:sz="0" w:space="0" w:color="auto"/>
        <w:left w:val="none" w:sz="0" w:space="0" w:color="auto"/>
        <w:bottom w:val="none" w:sz="0" w:space="0" w:color="auto"/>
        <w:right w:val="none" w:sz="0" w:space="0" w:color="auto"/>
      </w:divBdr>
    </w:div>
    <w:div w:id="1859612495">
      <w:bodyDiv w:val="1"/>
      <w:marLeft w:val="0"/>
      <w:marRight w:val="0"/>
      <w:marTop w:val="0"/>
      <w:marBottom w:val="0"/>
      <w:divBdr>
        <w:top w:val="none" w:sz="0" w:space="0" w:color="auto"/>
        <w:left w:val="none" w:sz="0" w:space="0" w:color="auto"/>
        <w:bottom w:val="none" w:sz="0" w:space="0" w:color="auto"/>
        <w:right w:val="none" w:sz="0" w:space="0" w:color="auto"/>
      </w:divBdr>
    </w:div>
    <w:div w:id="1864124812">
      <w:bodyDiv w:val="1"/>
      <w:marLeft w:val="0"/>
      <w:marRight w:val="0"/>
      <w:marTop w:val="0"/>
      <w:marBottom w:val="0"/>
      <w:divBdr>
        <w:top w:val="none" w:sz="0" w:space="0" w:color="auto"/>
        <w:left w:val="none" w:sz="0" w:space="0" w:color="auto"/>
        <w:bottom w:val="none" w:sz="0" w:space="0" w:color="auto"/>
        <w:right w:val="none" w:sz="0" w:space="0" w:color="auto"/>
      </w:divBdr>
    </w:div>
    <w:div w:id="1867325743">
      <w:bodyDiv w:val="1"/>
      <w:marLeft w:val="0"/>
      <w:marRight w:val="0"/>
      <w:marTop w:val="0"/>
      <w:marBottom w:val="0"/>
      <w:divBdr>
        <w:top w:val="none" w:sz="0" w:space="0" w:color="auto"/>
        <w:left w:val="none" w:sz="0" w:space="0" w:color="auto"/>
        <w:bottom w:val="none" w:sz="0" w:space="0" w:color="auto"/>
        <w:right w:val="none" w:sz="0" w:space="0" w:color="auto"/>
      </w:divBdr>
    </w:div>
    <w:div w:id="1868372488">
      <w:bodyDiv w:val="1"/>
      <w:marLeft w:val="0"/>
      <w:marRight w:val="0"/>
      <w:marTop w:val="0"/>
      <w:marBottom w:val="0"/>
      <w:divBdr>
        <w:top w:val="none" w:sz="0" w:space="0" w:color="auto"/>
        <w:left w:val="none" w:sz="0" w:space="0" w:color="auto"/>
        <w:bottom w:val="none" w:sz="0" w:space="0" w:color="auto"/>
        <w:right w:val="none" w:sz="0" w:space="0" w:color="auto"/>
      </w:divBdr>
    </w:div>
    <w:div w:id="1869484558">
      <w:bodyDiv w:val="1"/>
      <w:marLeft w:val="0"/>
      <w:marRight w:val="0"/>
      <w:marTop w:val="0"/>
      <w:marBottom w:val="0"/>
      <w:divBdr>
        <w:top w:val="none" w:sz="0" w:space="0" w:color="auto"/>
        <w:left w:val="none" w:sz="0" w:space="0" w:color="auto"/>
        <w:bottom w:val="none" w:sz="0" w:space="0" w:color="auto"/>
        <w:right w:val="none" w:sz="0" w:space="0" w:color="auto"/>
      </w:divBdr>
    </w:div>
    <w:div w:id="1877808351">
      <w:bodyDiv w:val="1"/>
      <w:marLeft w:val="0"/>
      <w:marRight w:val="0"/>
      <w:marTop w:val="0"/>
      <w:marBottom w:val="0"/>
      <w:divBdr>
        <w:top w:val="none" w:sz="0" w:space="0" w:color="auto"/>
        <w:left w:val="none" w:sz="0" w:space="0" w:color="auto"/>
        <w:bottom w:val="none" w:sz="0" w:space="0" w:color="auto"/>
        <w:right w:val="none" w:sz="0" w:space="0" w:color="auto"/>
      </w:divBdr>
    </w:div>
    <w:div w:id="1878198990">
      <w:bodyDiv w:val="1"/>
      <w:marLeft w:val="0"/>
      <w:marRight w:val="0"/>
      <w:marTop w:val="0"/>
      <w:marBottom w:val="0"/>
      <w:divBdr>
        <w:top w:val="none" w:sz="0" w:space="0" w:color="auto"/>
        <w:left w:val="none" w:sz="0" w:space="0" w:color="auto"/>
        <w:bottom w:val="none" w:sz="0" w:space="0" w:color="auto"/>
        <w:right w:val="none" w:sz="0" w:space="0" w:color="auto"/>
      </w:divBdr>
    </w:div>
    <w:div w:id="1889219268">
      <w:bodyDiv w:val="1"/>
      <w:marLeft w:val="0"/>
      <w:marRight w:val="0"/>
      <w:marTop w:val="0"/>
      <w:marBottom w:val="0"/>
      <w:divBdr>
        <w:top w:val="none" w:sz="0" w:space="0" w:color="auto"/>
        <w:left w:val="none" w:sz="0" w:space="0" w:color="auto"/>
        <w:bottom w:val="none" w:sz="0" w:space="0" w:color="auto"/>
        <w:right w:val="none" w:sz="0" w:space="0" w:color="auto"/>
      </w:divBdr>
    </w:div>
    <w:div w:id="1892689054">
      <w:bodyDiv w:val="1"/>
      <w:marLeft w:val="0"/>
      <w:marRight w:val="0"/>
      <w:marTop w:val="0"/>
      <w:marBottom w:val="0"/>
      <w:divBdr>
        <w:top w:val="none" w:sz="0" w:space="0" w:color="auto"/>
        <w:left w:val="none" w:sz="0" w:space="0" w:color="auto"/>
        <w:bottom w:val="none" w:sz="0" w:space="0" w:color="auto"/>
        <w:right w:val="none" w:sz="0" w:space="0" w:color="auto"/>
      </w:divBdr>
    </w:div>
    <w:div w:id="1904178788">
      <w:bodyDiv w:val="1"/>
      <w:marLeft w:val="0"/>
      <w:marRight w:val="0"/>
      <w:marTop w:val="0"/>
      <w:marBottom w:val="0"/>
      <w:divBdr>
        <w:top w:val="none" w:sz="0" w:space="0" w:color="auto"/>
        <w:left w:val="none" w:sz="0" w:space="0" w:color="auto"/>
        <w:bottom w:val="none" w:sz="0" w:space="0" w:color="auto"/>
        <w:right w:val="none" w:sz="0" w:space="0" w:color="auto"/>
      </w:divBdr>
    </w:div>
    <w:div w:id="1907253187">
      <w:bodyDiv w:val="1"/>
      <w:marLeft w:val="0"/>
      <w:marRight w:val="0"/>
      <w:marTop w:val="0"/>
      <w:marBottom w:val="0"/>
      <w:divBdr>
        <w:top w:val="none" w:sz="0" w:space="0" w:color="auto"/>
        <w:left w:val="none" w:sz="0" w:space="0" w:color="auto"/>
        <w:bottom w:val="none" w:sz="0" w:space="0" w:color="auto"/>
        <w:right w:val="none" w:sz="0" w:space="0" w:color="auto"/>
      </w:divBdr>
    </w:div>
    <w:div w:id="1907447707">
      <w:bodyDiv w:val="1"/>
      <w:marLeft w:val="0"/>
      <w:marRight w:val="0"/>
      <w:marTop w:val="0"/>
      <w:marBottom w:val="0"/>
      <w:divBdr>
        <w:top w:val="none" w:sz="0" w:space="0" w:color="auto"/>
        <w:left w:val="none" w:sz="0" w:space="0" w:color="auto"/>
        <w:bottom w:val="none" w:sz="0" w:space="0" w:color="auto"/>
        <w:right w:val="none" w:sz="0" w:space="0" w:color="auto"/>
      </w:divBdr>
    </w:div>
    <w:div w:id="1909267516">
      <w:bodyDiv w:val="1"/>
      <w:marLeft w:val="0"/>
      <w:marRight w:val="0"/>
      <w:marTop w:val="0"/>
      <w:marBottom w:val="0"/>
      <w:divBdr>
        <w:top w:val="none" w:sz="0" w:space="0" w:color="auto"/>
        <w:left w:val="none" w:sz="0" w:space="0" w:color="auto"/>
        <w:bottom w:val="none" w:sz="0" w:space="0" w:color="auto"/>
        <w:right w:val="none" w:sz="0" w:space="0" w:color="auto"/>
      </w:divBdr>
    </w:div>
    <w:div w:id="1915776540">
      <w:bodyDiv w:val="1"/>
      <w:marLeft w:val="0"/>
      <w:marRight w:val="0"/>
      <w:marTop w:val="0"/>
      <w:marBottom w:val="0"/>
      <w:divBdr>
        <w:top w:val="none" w:sz="0" w:space="0" w:color="auto"/>
        <w:left w:val="none" w:sz="0" w:space="0" w:color="auto"/>
        <w:bottom w:val="none" w:sz="0" w:space="0" w:color="auto"/>
        <w:right w:val="none" w:sz="0" w:space="0" w:color="auto"/>
      </w:divBdr>
    </w:div>
    <w:div w:id="1926183432">
      <w:bodyDiv w:val="1"/>
      <w:marLeft w:val="0"/>
      <w:marRight w:val="0"/>
      <w:marTop w:val="0"/>
      <w:marBottom w:val="0"/>
      <w:divBdr>
        <w:top w:val="none" w:sz="0" w:space="0" w:color="auto"/>
        <w:left w:val="none" w:sz="0" w:space="0" w:color="auto"/>
        <w:bottom w:val="none" w:sz="0" w:space="0" w:color="auto"/>
        <w:right w:val="none" w:sz="0" w:space="0" w:color="auto"/>
      </w:divBdr>
    </w:div>
    <w:div w:id="1930583398">
      <w:bodyDiv w:val="1"/>
      <w:marLeft w:val="0"/>
      <w:marRight w:val="0"/>
      <w:marTop w:val="0"/>
      <w:marBottom w:val="0"/>
      <w:divBdr>
        <w:top w:val="none" w:sz="0" w:space="0" w:color="auto"/>
        <w:left w:val="none" w:sz="0" w:space="0" w:color="auto"/>
        <w:bottom w:val="none" w:sz="0" w:space="0" w:color="auto"/>
        <w:right w:val="none" w:sz="0" w:space="0" w:color="auto"/>
      </w:divBdr>
    </w:div>
    <w:div w:id="1943224171">
      <w:bodyDiv w:val="1"/>
      <w:marLeft w:val="0"/>
      <w:marRight w:val="0"/>
      <w:marTop w:val="0"/>
      <w:marBottom w:val="0"/>
      <w:divBdr>
        <w:top w:val="none" w:sz="0" w:space="0" w:color="auto"/>
        <w:left w:val="none" w:sz="0" w:space="0" w:color="auto"/>
        <w:bottom w:val="none" w:sz="0" w:space="0" w:color="auto"/>
        <w:right w:val="none" w:sz="0" w:space="0" w:color="auto"/>
      </w:divBdr>
    </w:div>
    <w:div w:id="1958023368">
      <w:bodyDiv w:val="1"/>
      <w:marLeft w:val="0"/>
      <w:marRight w:val="0"/>
      <w:marTop w:val="0"/>
      <w:marBottom w:val="0"/>
      <w:divBdr>
        <w:top w:val="none" w:sz="0" w:space="0" w:color="auto"/>
        <w:left w:val="none" w:sz="0" w:space="0" w:color="auto"/>
        <w:bottom w:val="none" w:sz="0" w:space="0" w:color="auto"/>
        <w:right w:val="none" w:sz="0" w:space="0" w:color="auto"/>
      </w:divBdr>
    </w:div>
    <w:div w:id="1960524053">
      <w:bodyDiv w:val="1"/>
      <w:marLeft w:val="0"/>
      <w:marRight w:val="0"/>
      <w:marTop w:val="0"/>
      <w:marBottom w:val="0"/>
      <w:divBdr>
        <w:top w:val="none" w:sz="0" w:space="0" w:color="auto"/>
        <w:left w:val="none" w:sz="0" w:space="0" w:color="auto"/>
        <w:bottom w:val="none" w:sz="0" w:space="0" w:color="auto"/>
        <w:right w:val="none" w:sz="0" w:space="0" w:color="auto"/>
      </w:divBdr>
    </w:div>
    <w:div w:id="1972468658">
      <w:bodyDiv w:val="1"/>
      <w:marLeft w:val="0"/>
      <w:marRight w:val="0"/>
      <w:marTop w:val="0"/>
      <w:marBottom w:val="0"/>
      <w:divBdr>
        <w:top w:val="none" w:sz="0" w:space="0" w:color="auto"/>
        <w:left w:val="none" w:sz="0" w:space="0" w:color="auto"/>
        <w:bottom w:val="none" w:sz="0" w:space="0" w:color="auto"/>
        <w:right w:val="none" w:sz="0" w:space="0" w:color="auto"/>
      </w:divBdr>
    </w:div>
    <w:div w:id="1989287354">
      <w:bodyDiv w:val="1"/>
      <w:marLeft w:val="0"/>
      <w:marRight w:val="0"/>
      <w:marTop w:val="0"/>
      <w:marBottom w:val="0"/>
      <w:divBdr>
        <w:top w:val="none" w:sz="0" w:space="0" w:color="auto"/>
        <w:left w:val="none" w:sz="0" w:space="0" w:color="auto"/>
        <w:bottom w:val="none" w:sz="0" w:space="0" w:color="auto"/>
        <w:right w:val="none" w:sz="0" w:space="0" w:color="auto"/>
      </w:divBdr>
    </w:div>
    <w:div w:id="1995454007">
      <w:bodyDiv w:val="1"/>
      <w:marLeft w:val="0"/>
      <w:marRight w:val="0"/>
      <w:marTop w:val="0"/>
      <w:marBottom w:val="0"/>
      <w:divBdr>
        <w:top w:val="none" w:sz="0" w:space="0" w:color="auto"/>
        <w:left w:val="none" w:sz="0" w:space="0" w:color="auto"/>
        <w:bottom w:val="none" w:sz="0" w:space="0" w:color="auto"/>
        <w:right w:val="none" w:sz="0" w:space="0" w:color="auto"/>
      </w:divBdr>
    </w:div>
    <w:div w:id="2010520468">
      <w:bodyDiv w:val="1"/>
      <w:marLeft w:val="0"/>
      <w:marRight w:val="0"/>
      <w:marTop w:val="0"/>
      <w:marBottom w:val="0"/>
      <w:divBdr>
        <w:top w:val="none" w:sz="0" w:space="0" w:color="auto"/>
        <w:left w:val="none" w:sz="0" w:space="0" w:color="auto"/>
        <w:bottom w:val="none" w:sz="0" w:space="0" w:color="auto"/>
        <w:right w:val="none" w:sz="0" w:space="0" w:color="auto"/>
      </w:divBdr>
    </w:div>
    <w:div w:id="2014069809">
      <w:bodyDiv w:val="1"/>
      <w:marLeft w:val="0"/>
      <w:marRight w:val="0"/>
      <w:marTop w:val="0"/>
      <w:marBottom w:val="0"/>
      <w:divBdr>
        <w:top w:val="none" w:sz="0" w:space="0" w:color="auto"/>
        <w:left w:val="none" w:sz="0" w:space="0" w:color="auto"/>
        <w:bottom w:val="none" w:sz="0" w:space="0" w:color="auto"/>
        <w:right w:val="none" w:sz="0" w:space="0" w:color="auto"/>
      </w:divBdr>
    </w:div>
    <w:div w:id="2017531463">
      <w:bodyDiv w:val="1"/>
      <w:marLeft w:val="0"/>
      <w:marRight w:val="0"/>
      <w:marTop w:val="0"/>
      <w:marBottom w:val="0"/>
      <w:divBdr>
        <w:top w:val="none" w:sz="0" w:space="0" w:color="auto"/>
        <w:left w:val="none" w:sz="0" w:space="0" w:color="auto"/>
        <w:bottom w:val="none" w:sz="0" w:space="0" w:color="auto"/>
        <w:right w:val="none" w:sz="0" w:space="0" w:color="auto"/>
      </w:divBdr>
    </w:div>
    <w:div w:id="2024284937">
      <w:bodyDiv w:val="1"/>
      <w:marLeft w:val="0"/>
      <w:marRight w:val="0"/>
      <w:marTop w:val="0"/>
      <w:marBottom w:val="0"/>
      <w:divBdr>
        <w:top w:val="none" w:sz="0" w:space="0" w:color="auto"/>
        <w:left w:val="none" w:sz="0" w:space="0" w:color="auto"/>
        <w:bottom w:val="none" w:sz="0" w:space="0" w:color="auto"/>
        <w:right w:val="none" w:sz="0" w:space="0" w:color="auto"/>
      </w:divBdr>
    </w:div>
    <w:div w:id="2025131099">
      <w:bodyDiv w:val="1"/>
      <w:marLeft w:val="0"/>
      <w:marRight w:val="0"/>
      <w:marTop w:val="0"/>
      <w:marBottom w:val="0"/>
      <w:divBdr>
        <w:top w:val="none" w:sz="0" w:space="0" w:color="auto"/>
        <w:left w:val="none" w:sz="0" w:space="0" w:color="auto"/>
        <w:bottom w:val="none" w:sz="0" w:space="0" w:color="auto"/>
        <w:right w:val="none" w:sz="0" w:space="0" w:color="auto"/>
      </w:divBdr>
    </w:div>
    <w:div w:id="2025399396">
      <w:bodyDiv w:val="1"/>
      <w:marLeft w:val="0"/>
      <w:marRight w:val="0"/>
      <w:marTop w:val="0"/>
      <w:marBottom w:val="0"/>
      <w:divBdr>
        <w:top w:val="none" w:sz="0" w:space="0" w:color="auto"/>
        <w:left w:val="none" w:sz="0" w:space="0" w:color="auto"/>
        <w:bottom w:val="none" w:sz="0" w:space="0" w:color="auto"/>
        <w:right w:val="none" w:sz="0" w:space="0" w:color="auto"/>
      </w:divBdr>
    </w:div>
    <w:div w:id="2030326622">
      <w:bodyDiv w:val="1"/>
      <w:marLeft w:val="0"/>
      <w:marRight w:val="0"/>
      <w:marTop w:val="0"/>
      <w:marBottom w:val="0"/>
      <w:divBdr>
        <w:top w:val="none" w:sz="0" w:space="0" w:color="auto"/>
        <w:left w:val="none" w:sz="0" w:space="0" w:color="auto"/>
        <w:bottom w:val="none" w:sz="0" w:space="0" w:color="auto"/>
        <w:right w:val="none" w:sz="0" w:space="0" w:color="auto"/>
      </w:divBdr>
    </w:div>
    <w:div w:id="2037925177">
      <w:bodyDiv w:val="1"/>
      <w:marLeft w:val="0"/>
      <w:marRight w:val="0"/>
      <w:marTop w:val="0"/>
      <w:marBottom w:val="0"/>
      <w:divBdr>
        <w:top w:val="none" w:sz="0" w:space="0" w:color="auto"/>
        <w:left w:val="none" w:sz="0" w:space="0" w:color="auto"/>
        <w:bottom w:val="none" w:sz="0" w:space="0" w:color="auto"/>
        <w:right w:val="none" w:sz="0" w:space="0" w:color="auto"/>
      </w:divBdr>
    </w:div>
    <w:div w:id="2049600919">
      <w:bodyDiv w:val="1"/>
      <w:marLeft w:val="0"/>
      <w:marRight w:val="0"/>
      <w:marTop w:val="0"/>
      <w:marBottom w:val="0"/>
      <w:divBdr>
        <w:top w:val="none" w:sz="0" w:space="0" w:color="auto"/>
        <w:left w:val="none" w:sz="0" w:space="0" w:color="auto"/>
        <w:bottom w:val="none" w:sz="0" w:space="0" w:color="auto"/>
        <w:right w:val="none" w:sz="0" w:space="0" w:color="auto"/>
      </w:divBdr>
    </w:div>
    <w:div w:id="2056926853">
      <w:bodyDiv w:val="1"/>
      <w:marLeft w:val="0"/>
      <w:marRight w:val="0"/>
      <w:marTop w:val="0"/>
      <w:marBottom w:val="0"/>
      <w:divBdr>
        <w:top w:val="none" w:sz="0" w:space="0" w:color="auto"/>
        <w:left w:val="none" w:sz="0" w:space="0" w:color="auto"/>
        <w:bottom w:val="none" w:sz="0" w:space="0" w:color="auto"/>
        <w:right w:val="none" w:sz="0" w:space="0" w:color="auto"/>
      </w:divBdr>
    </w:div>
    <w:div w:id="2068069701">
      <w:bodyDiv w:val="1"/>
      <w:marLeft w:val="0"/>
      <w:marRight w:val="0"/>
      <w:marTop w:val="0"/>
      <w:marBottom w:val="0"/>
      <w:divBdr>
        <w:top w:val="none" w:sz="0" w:space="0" w:color="auto"/>
        <w:left w:val="none" w:sz="0" w:space="0" w:color="auto"/>
        <w:bottom w:val="none" w:sz="0" w:space="0" w:color="auto"/>
        <w:right w:val="none" w:sz="0" w:space="0" w:color="auto"/>
      </w:divBdr>
    </w:div>
    <w:div w:id="2081368588">
      <w:bodyDiv w:val="1"/>
      <w:marLeft w:val="0"/>
      <w:marRight w:val="0"/>
      <w:marTop w:val="0"/>
      <w:marBottom w:val="0"/>
      <w:divBdr>
        <w:top w:val="none" w:sz="0" w:space="0" w:color="auto"/>
        <w:left w:val="none" w:sz="0" w:space="0" w:color="auto"/>
        <w:bottom w:val="none" w:sz="0" w:space="0" w:color="auto"/>
        <w:right w:val="none" w:sz="0" w:space="0" w:color="auto"/>
      </w:divBdr>
    </w:div>
    <w:div w:id="2084259770">
      <w:bodyDiv w:val="1"/>
      <w:marLeft w:val="0"/>
      <w:marRight w:val="0"/>
      <w:marTop w:val="0"/>
      <w:marBottom w:val="0"/>
      <w:divBdr>
        <w:top w:val="none" w:sz="0" w:space="0" w:color="auto"/>
        <w:left w:val="none" w:sz="0" w:space="0" w:color="auto"/>
        <w:bottom w:val="none" w:sz="0" w:space="0" w:color="auto"/>
        <w:right w:val="none" w:sz="0" w:space="0" w:color="auto"/>
      </w:divBdr>
    </w:div>
    <w:div w:id="2084444121">
      <w:bodyDiv w:val="1"/>
      <w:marLeft w:val="0"/>
      <w:marRight w:val="0"/>
      <w:marTop w:val="0"/>
      <w:marBottom w:val="0"/>
      <w:divBdr>
        <w:top w:val="none" w:sz="0" w:space="0" w:color="auto"/>
        <w:left w:val="none" w:sz="0" w:space="0" w:color="auto"/>
        <w:bottom w:val="none" w:sz="0" w:space="0" w:color="auto"/>
        <w:right w:val="none" w:sz="0" w:space="0" w:color="auto"/>
      </w:divBdr>
    </w:div>
    <w:div w:id="2086292764">
      <w:bodyDiv w:val="1"/>
      <w:marLeft w:val="0"/>
      <w:marRight w:val="0"/>
      <w:marTop w:val="0"/>
      <w:marBottom w:val="0"/>
      <w:divBdr>
        <w:top w:val="none" w:sz="0" w:space="0" w:color="auto"/>
        <w:left w:val="none" w:sz="0" w:space="0" w:color="auto"/>
        <w:bottom w:val="none" w:sz="0" w:space="0" w:color="auto"/>
        <w:right w:val="none" w:sz="0" w:space="0" w:color="auto"/>
      </w:divBdr>
    </w:div>
    <w:div w:id="2121147870">
      <w:bodyDiv w:val="1"/>
      <w:marLeft w:val="0"/>
      <w:marRight w:val="0"/>
      <w:marTop w:val="0"/>
      <w:marBottom w:val="0"/>
      <w:divBdr>
        <w:top w:val="none" w:sz="0" w:space="0" w:color="auto"/>
        <w:left w:val="none" w:sz="0" w:space="0" w:color="auto"/>
        <w:bottom w:val="none" w:sz="0" w:space="0" w:color="auto"/>
        <w:right w:val="none" w:sz="0" w:space="0" w:color="auto"/>
      </w:divBdr>
    </w:div>
    <w:div w:id="2125424269">
      <w:bodyDiv w:val="1"/>
      <w:marLeft w:val="0"/>
      <w:marRight w:val="0"/>
      <w:marTop w:val="0"/>
      <w:marBottom w:val="0"/>
      <w:divBdr>
        <w:top w:val="none" w:sz="0" w:space="0" w:color="auto"/>
        <w:left w:val="none" w:sz="0" w:space="0" w:color="auto"/>
        <w:bottom w:val="none" w:sz="0" w:space="0" w:color="auto"/>
        <w:right w:val="none" w:sz="0" w:space="0" w:color="auto"/>
      </w:divBdr>
    </w:div>
    <w:div w:id="2126075146">
      <w:bodyDiv w:val="1"/>
      <w:marLeft w:val="0"/>
      <w:marRight w:val="0"/>
      <w:marTop w:val="0"/>
      <w:marBottom w:val="0"/>
      <w:divBdr>
        <w:top w:val="none" w:sz="0" w:space="0" w:color="auto"/>
        <w:left w:val="none" w:sz="0" w:space="0" w:color="auto"/>
        <w:bottom w:val="none" w:sz="0" w:space="0" w:color="auto"/>
        <w:right w:val="none" w:sz="0" w:space="0" w:color="auto"/>
      </w:divBdr>
    </w:div>
    <w:div w:id="2127193254">
      <w:bodyDiv w:val="1"/>
      <w:marLeft w:val="0"/>
      <w:marRight w:val="0"/>
      <w:marTop w:val="0"/>
      <w:marBottom w:val="0"/>
      <w:divBdr>
        <w:top w:val="none" w:sz="0" w:space="0" w:color="auto"/>
        <w:left w:val="none" w:sz="0" w:space="0" w:color="auto"/>
        <w:bottom w:val="none" w:sz="0" w:space="0" w:color="auto"/>
        <w:right w:val="none" w:sz="0" w:space="0" w:color="auto"/>
      </w:divBdr>
    </w:div>
    <w:div w:id="2132894051">
      <w:bodyDiv w:val="1"/>
      <w:marLeft w:val="0"/>
      <w:marRight w:val="0"/>
      <w:marTop w:val="0"/>
      <w:marBottom w:val="0"/>
      <w:divBdr>
        <w:top w:val="none" w:sz="0" w:space="0" w:color="auto"/>
        <w:left w:val="none" w:sz="0" w:space="0" w:color="auto"/>
        <w:bottom w:val="none" w:sz="0" w:space="0" w:color="auto"/>
        <w:right w:val="none" w:sz="0" w:space="0" w:color="auto"/>
      </w:divBdr>
    </w:div>
    <w:div w:id="2135172372">
      <w:bodyDiv w:val="1"/>
      <w:marLeft w:val="0"/>
      <w:marRight w:val="0"/>
      <w:marTop w:val="0"/>
      <w:marBottom w:val="0"/>
      <w:divBdr>
        <w:top w:val="none" w:sz="0" w:space="0" w:color="auto"/>
        <w:left w:val="none" w:sz="0" w:space="0" w:color="auto"/>
        <w:bottom w:val="none" w:sz="0" w:space="0" w:color="auto"/>
        <w:right w:val="none" w:sz="0" w:space="0" w:color="auto"/>
      </w:divBdr>
    </w:div>
    <w:div w:id="2140023911">
      <w:bodyDiv w:val="1"/>
      <w:marLeft w:val="0"/>
      <w:marRight w:val="0"/>
      <w:marTop w:val="0"/>
      <w:marBottom w:val="0"/>
      <w:divBdr>
        <w:top w:val="none" w:sz="0" w:space="0" w:color="auto"/>
        <w:left w:val="none" w:sz="0" w:space="0" w:color="auto"/>
        <w:bottom w:val="none" w:sz="0" w:space="0" w:color="auto"/>
        <w:right w:val="none" w:sz="0" w:space="0" w:color="auto"/>
      </w:divBdr>
    </w:div>
    <w:div w:id="214291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numbering" Target="numbering.xml"/><Relationship Id="rId21" Type="http://schemas.openxmlformats.org/officeDocument/2006/relationships/chart" Target="charts/chart11.xm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C:\Users\jkubala\AppData\Local\Microsoft\Windows\INetCache\Content.MSO\7E3016A6.xlsx" TargetMode="Externa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fsr.sk/files/sk/financie/institut-financnej-politiky/strategicke-materialy/navrh-rozpoctoveho-planu/dbp_2023_master_final.pdf" TargetMode="External"/><Relationship Id="rId3" Type="http://schemas.openxmlformats.org/officeDocument/2006/relationships/hyperlink" Target="https://economy-finance.ec.europa.eu/document/download/e3a23fba-1402-4cc9-b571-7473b5e7842a_en?filename=ip271_en.pdf" TargetMode="External"/><Relationship Id="rId7" Type="http://schemas.openxmlformats.org/officeDocument/2006/relationships/hyperlink" Target="https://www.nrsr.sk/web/Default.aspx?sid=zakony/zakon&amp;ZakZborID=13&amp;CisObdobia=9&amp;CPT=137" TargetMode="External"/><Relationship Id="rId2" Type="http://schemas.openxmlformats.org/officeDocument/2006/relationships/hyperlink" Target="https://www.mfsr.sk/files/sk/financie/institut-financnej-politiky/strategicke-materialy/navrh-rozpoctoveho-planu/dbp_2023_master_final.pdf" TargetMode="External"/><Relationship Id="rId1" Type="http://schemas.openxmlformats.org/officeDocument/2006/relationships/hyperlink" Target="https://economy-finance.ec.europa.eu/system/files/2024-01/C_2024_343_1_EN_ACT_part1_v3.pdf" TargetMode="External"/><Relationship Id="rId6" Type="http://schemas.openxmlformats.org/officeDocument/2006/relationships/hyperlink" Target="https://www.nrsr.sk/web/Dynamic/DocumentPreview.aspx?DocID=544920" TargetMode="External"/><Relationship Id="rId5" Type="http://schemas.openxmlformats.org/officeDocument/2006/relationships/hyperlink" Target="https://economy-finance.ec.europa.eu/document/download/e3a23fba-1402-4cc9-b571-7473b5e7842a_en?filename=ip271_en.pdf" TargetMode="External"/><Relationship Id="rId4" Type="http://schemas.openxmlformats.org/officeDocument/2006/relationships/hyperlink" Target="https://www.mfsr.sk/files/sk/financie/institut-financnej-politiky/strategicke-materialy/program-stability/program-stability-slovenska-roky-2023-20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VM-DFS.mf.mfsr.sk\FileShare\ADRESARE\IFP_NEW\5_MATERIALY\5_3_Strategicke_materialy\Program_stability\2024\Tabulky\PS_2024_Tabulky_Komple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VM-DFS.mf.mfsr.sk\FileShare\ADRESARE\IFP_NEW\5_MATERIALY\5_3_Strategicke_materialy\Program_stability\2024\Tabulky\PS_2023_Tabulky_Komplet.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_rok_programu_Microsoft_Excel.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DFS.mf.mfsr.sk\FileShare\ADRESARE\IFP_NEW\5_MATERIALY\5_3_Strategicke_materialy\Program_stability\2024\Vstupy\NFPE_2024.xlsx"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Vstupy\Dlh\DLH_Model_2024_PS%202024_FRRVS.xlsm" TargetMode="External"/><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Vstupy\Dlh\DLH_Model_2024_PS%202024_FRRVS.xlsm" TargetMode="External"/><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DFS.mf.mfsr.sk\FileShare\ADRESARE\IFP_NEW\5_MATERIALY\5_3_Strategicke_materialy\Program_stability\2024\Vstupy\Dlh\Dlh_dlhodoba%20projekcia_2040.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pmartiska\Desktop\PS_grafy.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Vstupy\Dlh\DLH_Model_2024_PS%202024_FRRVS.xlsm"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3" Type="http://schemas.openxmlformats.org/officeDocument/2006/relationships/oleObject" Target="file:///\\VM-DFS.mf.mfsr.sk\FileShare\ADRESARE\IFP_NEW\4_STRUKTURAL\4_4_Agenda\01_Dlhodoba_udrzatelnost\02_Indikatory_udrzatelnosti\2024\PSD40\vystup.xlsx" TargetMode="External"/><Relationship Id="rId2" Type="http://schemas.microsoft.com/office/2011/relationships/chartColorStyle" Target="colors8.xml"/><Relationship Id="rId1" Type="http://schemas.microsoft.com/office/2011/relationships/chartStyle" Target="style8.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mklucik\Downloads\PS_makro_prilohy.xlsx" TargetMode="External"/><Relationship Id="rId1" Type="http://schemas.openxmlformats.org/officeDocument/2006/relationships/themeOverride" Target="../theme/themeOverride17.xml"/></Relationships>
</file>

<file path=word/charts/_rels/chart3.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Program_stability\2024\Tabulky\PS_2023_Tabulky_Komplet.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DFS.mf.mfsr.sk\FileShare\ADRESARE\IFP_NEW\5_MATERIALY\5_3_Strategicke_materialy\Program_stability\2024\Tabulky\PS_2023_Tabulky_Komplet.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DFS.mf.mfsr.sk\FileShare\ADRESARE\IFP_NEW\5_MATERIALY\5_3_Strategicke_materialy\Program_stability\2024\Tabulky\PS_2023_Tabulky_Kompl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VM-DFS.mf.mfsr.sk\FileShare\ADRESARE\IFP_NEW\5_MATERIALY\5_3_Strategicke_materialy\Program_stability\2024\Tabulky\PS_2023_Tabulky_Kompl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07849879990274E-2"/>
          <c:y val="9.0745715609078265E-2"/>
          <c:w val="0.91351843249686038"/>
          <c:h val="0.7959812670475015"/>
        </c:manualLayout>
      </c:layout>
      <c:barChart>
        <c:barDir val="col"/>
        <c:grouping val="clustered"/>
        <c:varyColors val="0"/>
        <c:ser>
          <c:idx val="0"/>
          <c:order val="0"/>
          <c:tx>
            <c:strRef>
              <c:f>'Zhrnutie '!$A$20</c:f>
              <c:strCache>
                <c:ptCount val="1"/>
                <c:pt idx="0">
                  <c:v>Skutočnost / Rozpočet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369ADC"/>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'Zhrnutie '!$B$19:$H$19</c:f>
              <c:numCache>
                <c:formatCode>General</c:formatCode>
                <c:ptCount val="7"/>
                <c:pt idx="0">
                  <c:v>2021</c:v>
                </c:pt>
                <c:pt idx="1">
                  <c:v>2022</c:v>
                </c:pt>
                <c:pt idx="2">
                  <c:v>2023</c:v>
                </c:pt>
                <c:pt idx="3">
                  <c:v>2024</c:v>
                </c:pt>
                <c:pt idx="4">
                  <c:v>2025</c:v>
                </c:pt>
                <c:pt idx="5">
                  <c:v>2026</c:v>
                </c:pt>
                <c:pt idx="6">
                  <c:v>2027</c:v>
                </c:pt>
              </c:numCache>
            </c:numRef>
          </c:cat>
          <c:val>
            <c:numRef>
              <c:f>'Zhrnutie '!$B$20:$H$20</c:f>
              <c:numCache>
                <c:formatCode>0.0</c:formatCode>
                <c:ptCount val="7"/>
                <c:pt idx="0">
                  <c:v>5.1820005730585974</c:v>
                </c:pt>
                <c:pt idx="1">
                  <c:v>1.6726605737150249</c:v>
                </c:pt>
                <c:pt idx="2">
                  <c:v>4.893474657913286</c:v>
                </c:pt>
                <c:pt idx="3">
                  <c:v>5.9</c:v>
                </c:pt>
                <c:pt idx="4">
                  <c:v>5.4155726039670702</c:v>
                </c:pt>
                <c:pt idx="5">
                  <c:v>5.1745871567630202</c:v>
                </c:pt>
                <c:pt idx="6">
                  <c:v>5.5285015649328004</c:v>
                </c:pt>
              </c:numCache>
            </c:numRef>
          </c:val>
          <c:extLst>
            <c:ext xmlns:c16="http://schemas.microsoft.com/office/drawing/2014/chart" uri="{C3380CC4-5D6E-409C-BE32-E72D297353CC}">
              <c16:uniqueId val="{00000000-DFC5-4376-ADC9-821236869A65}"/>
            </c:ext>
          </c:extLst>
        </c:ser>
        <c:dLbls>
          <c:showLegendKey val="0"/>
          <c:showVal val="0"/>
          <c:showCatName val="0"/>
          <c:showSerName val="0"/>
          <c:showPercent val="0"/>
          <c:showBubbleSize val="0"/>
        </c:dLbls>
        <c:gapWidth val="150"/>
        <c:axId val="305389816"/>
        <c:axId val="305390208"/>
      </c:barChart>
      <c:lineChart>
        <c:grouping val="standard"/>
        <c:varyColors val="0"/>
        <c:ser>
          <c:idx val="7"/>
          <c:order val="1"/>
          <c:tx>
            <c:strRef>
              <c:f>'Zhrnutie '!$A$28</c:f>
              <c:strCache>
                <c:ptCount val="1"/>
                <c:pt idx="0">
                  <c:v>Rozpočotvý cieľ</c:v>
                </c:pt>
              </c:strCache>
            </c:strRef>
          </c:tx>
          <c:spPr>
            <a:ln w="25400" cap="rnd">
              <a:noFill/>
              <a:round/>
            </a:ln>
            <a:effectLst/>
          </c:spPr>
          <c:marker>
            <c:symbol val="circle"/>
            <c:size val="5"/>
            <c:spPr>
              <a:solidFill>
                <a:schemeClr val="tx1"/>
              </a:solidFill>
              <a:ln w="9525">
                <a:solidFill>
                  <a:schemeClr val="bg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'Zhrnutie '!$B$19:$H$19</c:f>
              <c:numCache>
                <c:formatCode>General</c:formatCode>
                <c:ptCount val="7"/>
                <c:pt idx="0">
                  <c:v>2021</c:v>
                </c:pt>
                <c:pt idx="1">
                  <c:v>2022</c:v>
                </c:pt>
                <c:pt idx="2">
                  <c:v>2023</c:v>
                </c:pt>
                <c:pt idx="3">
                  <c:v>2024</c:v>
                </c:pt>
                <c:pt idx="4">
                  <c:v>2025</c:v>
                </c:pt>
                <c:pt idx="5">
                  <c:v>2026</c:v>
                </c:pt>
                <c:pt idx="6">
                  <c:v>2027</c:v>
                </c:pt>
              </c:numCache>
            </c:numRef>
          </c:cat>
          <c:val>
            <c:numRef>
              <c:f>'Zhrnutie '!$B$28:$H$28</c:f>
              <c:numCache>
                <c:formatCode>General</c:formatCode>
                <c:ptCount val="7"/>
                <c:pt idx="4" formatCode="0.0">
                  <c:v>4.97</c:v>
                </c:pt>
                <c:pt idx="5" formatCode="0.0">
                  <c:v>3.97</c:v>
                </c:pt>
                <c:pt idx="6" formatCode="0.0">
                  <c:v>2.97</c:v>
                </c:pt>
              </c:numCache>
            </c:numRef>
          </c:val>
          <c:smooth val="0"/>
          <c:extLst>
            <c:ext xmlns:c16="http://schemas.microsoft.com/office/drawing/2014/chart" uri="{C3380CC4-5D6E-409C-BE32-E72D297353CC}">
              <c16:uniqueId val="{00000001-DFC5-4376-ADC9-821236869A65}"/>
            </c:ext>
          </c:extLst>
        </c:ser>
        <c:dLbls>
          <c:showLegendKey val="0"/>
          <c:showVal val="0"/>
          <c:showCatName val="0"/>
          <c:showSerName val="0"/>
          <c:showPercent val="0"/>
          <c:showBubbleSize val="0"/>
        </c:dLbls>
        <c:marker val="1"/>
        <c:smooth val="0"/>
        <c:axId val="305389816"/>
        <c:axId val="305390208"/>
      </c:lineChart>
      <c:catAx>
        <c:axId val="305389816"/>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305390208"/>
        <c:crosses val="autoZero"/>
        <c:auto val="1"/>
        <c:lblAlgn val="ctr"/>
        <c:lblOffset val="100"/>
        <c:noMultiLvlLbl val="0"/>
      </c:catAx>
      <c:valAx>
        <c:axId val="305390208"/>
        <c:scaling>
          <c:orientation val="minMax"/>
        </c:scaling>
        <c:delete val="0"/>
        <c:axPos val="l"/>
        <c:majorGridlines>
          <c:spPr>
            <a:ln w="3175" cap="flat" cmpd="sng" algn="ctr">
              <a:solidFill>
                <a:srgbClr val="686767">
                  <a:alpha val="25000"/>
                </a:srgbClr>
              </a:solidFill>
              <a:prstDash val="sysDot"/>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305389816"/>
        <c:crosses val="autoZero"/>
        <c:crossBetween val="between"/>
      </c:valAx>
      <c:spPr>
        <a:noFill/>
        <a:ln>
          <a:noFill/>
        </a:ln>
        <a:effectLst/>
      </c:spPr>
    </c:plotArea>
    <c:legend>
      <c:legendPos val="t"/>
      <c:layout>
        <c:manualLayout>
          <c:xMode val="edge"/>
          <c:yMode val="edge"/>
          <c:x val="9.9873910307925209E-2"/>
          <c:y val="7.3227915254817366E-3"/>
          <c:w val="0.52274017919674542"/>
          <c:h val="0.1355804642066800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sz="800">
          <a:latin typeface="Arial Narrow" panose="020B0606020202030204" pitchFamily="34" charset="0"/>
        </a:defRPr>
      </a:pPr>
      <a:endParaRPr lang="sk-SK"/>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687208333853947E-2"/>
          <c:y val="3.8929440389294405E-2"/>
          <c:w val="0.95157210585966878"/>
          <c:h val="0.83679713393490052"/>
        </c:manualLayout>
      </c:layout>
      <c:barChart>
        <c:barDir val="col"/>
        <c:grouping val="clustered"/>
        <c:varyColors val="0"/>
        <c:ser>
          <c:idx val="0"/>
          <c:order val="2"/>
          <c:tx>
            <c:strRef>
              <c:f>'Graf 12+13'!$D$6</c:f>
              <c:strCache>
                <c:ptCount val="1"/>
                <c:pt idx="0">
                  <c:v>Finančná kríza</c:v>
                </c:pt>
              </c:strCache>
            </c:strRef>
          </c:tx>
          <c:spPr>
            <a:solidFill>
              <a:srgbClr val="1F497D">
                <a:alpha val="40000"/>
              </a:srgbClr>
            </a:solidFill>
            <a:ln>
              <a:noFill/>
            </a:ln>
            <a:effectLst/>
          </c:spPr>
          <c:invertIfNegative val="0"/>
          <c:cat>
            <c:numRef>
              <c:f>[83]Hárok1!$E$43:$U$43</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'Graf 12+13'!$F$6:$V$6</c:f>
              <c:numCache>
                <c:formatCode>#\ ##0.0</c:formatCode>
                <c:ptCount val="17"/>
                <c:pt idx="1">
                  <c:v>-10</c:v>
                </c:pt>
                <c:pt idx="2">
                  <c:v>-10</c:v>
                </c:pt>
              </c:numCache>
            </c:numRef>
          </c:val>
          <c:extLst>
            <c:ext xmlns:c16="http://schemas.microsoft.com/office/drawing/2014/chart" uri="{C3380CC4-5D6E-409C-BE32-E72D297353CC}">
              <c16:uniqueId val="{00000000-D07E-4726-AF7A-1D1E647618E5}"/>
            </c:ext>
          </c:extLst>
        </c:ser>
        <c:ser>
          <c:idx val="3"/>
          <c:order val="3"/>
          <c:tx>
            <c:strRef>
              <c:f>'Graf 12+13'!$D$7</c:f>
              <c:strCache>
                <c:ptCount val="1"/>
                <c:pt idx="0">
                  <c:v>COVID-19</c:v>
                </c:pt>
              </c:strCache>
            </c:strRef>
          </c:tx>
          <c:spPr>
            <a:solidFill>
              <a:srgbClr val="5B9BD5">
                <a:alpha val="40000"/>
              </a:srgbClr>
            </a:solidFill>
            <a:ln>
              <a:noFill/>
            </a:ln>
            <a:effectLst/>
          </c:spPr>
          <c:invertIfNegative val="0"/>
          <c:cat>
            <c:numRef>
              <c:f>[83]Hárok1!$E$43:$U$43</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'Graf 12+13'!$F$7:$V$7</c:f>
              <c:numCache>
                <c:formatCode>General</c:formatCode>
                <c:ptCount val="17"/>
                <c:pt idx="12" formatCode="#\ ##0.0">
                  <c:v>-10</c:v>
                </c:pt>
                <c:pt idx="13" formatCode="#\ ##0.0">
                  <c:v>-10</c:v>
                </c:pt>
              </c:numCache>
            </c:numRef>
          </c:val>
          <c:extLst>
            <c:ext xmlns:c16="http://schemas.microsoft.com/office/drawing/2014/chart" uri="{C3380CC4-5D6E-409C-BE32-E72D297353CC}">
              <c16:uniqueId val="{00000001-D07E-4726-AF7A-1D1E647618E5}"/>
            </c:ext>
          </c:extLst>
        </c:ser>
        <c:ser>
          <c:idx val="4"/>
          <c:order val="4"/>
          <c:tx>
            <c:strRef>
              <c:f>'Graf 12+13'!$D$8</c:f>
              <c:strCache>
                <c:ptCount val="1"/>
                <c:pt idx="0">
                  <c:v>Energetická kríza</c:v>
                </c:pt>
              </c:strCache>
            </c:strRef>
          </c:tx>
          <c:spPr>
            <a:solidFill>
              <a:srgbClr val="D5EBF8">
                <a:alpha val="40000"/>
              </a:srgbClr>
            </a:solidFill>
            <a:ln>
              <a:noFill/>
            </a:ln>
            <a:effectLst/>
          </c:spPr>
          <c:invertIfNegative val="0"/>
          <c:cat>
            <c:numRef>
              <c:f>[83]Hárok1!$E$43:$U$43</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'Graf 12+13'!$F$8:$V$8</c:f>
              <c:numCache>
                <c:formatCode>General</c:formatCode>
                <c:ptCount val="17"/>
                <c:pt idx="14" formatCode="#\ ##0.0">
                  <c:v>-10</c:v>
                </c:pt>
                <c:pt idx="15" formatCode="#\ ##0.0">
                  <c:v>-10</c:v>
                </c:pt>
              </c:numCache>
            </c:numRef>
          </c:val>
          <c:extLst>
            <c:ext xmlns:c16="http://schemas.microsoft.com/office/drawing/2014/chart" uri="{C3380CC4-5D6E-409C-BE32-E72D297353CC}">
              <c16:uniqueId val="{00000002-D07E-4726-AF7A-1D1E647618E5}"/>
            </c:ext>
          </c:extLst>
        </c:ser>
        <c:dLbls>
          <c:showLegendKey val="0"/>
          <c:showVal val="0"/>
          <c:showCatName val="0"/>
          <c:showSerName val="0"/>
          <c:showPercent val="0"/>
          <c:showBubbleSize val="0"/>
        </c:dLbls>
        <c:gapWidth val="0"/>
        <c:overlap val="100"/>
        <c:axId val="969852016"/>
        <c:axId val="947565328"/>
      </c:barChart>
      <c:lineChart>
        <c:grouping val="standard"/>
        <c:varyColors val="0"/>
        <c:ser>
          <c:idx val="1"/>
          <c:order val="0"/>
          <c:tx>
            <c:strRef>
              <c:f>'Graf 12+13'!$D$3</c:f>
              <c:strCache>
                <c:ptCount val="1"/>
                <c:pt idx="0">
                  <c:v>Nominálne saldo</c:v>
                </c:pt>
              </c:strCache>
            </c:strRef>
          </c:tx>
          <c:spPr>
            <a:ln w="28575" cap="rnd">
              <a:solidFill>
                <a:srgbClr val="2C9ADC"/>
              </a:solidFill>
              <a:round/>
            </a:ln>
            <a:effectLst/>
          </c:spPr>
          <c:marker>
            <c:symbol val="none"/>
          </c:marker>
          <c:dLbls>
            <c:dLbl>
              <c:idx val="0"/>
              <c:layout>
                <c:manualLayout>
                  <c:x val="-2.4326476528198811E-2"/>
                  <c:y val="-5.3748299710711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7E-4726-AF7A-1D1E647618E5}"/>
                </c:ext>
              </c:extLst>
            </c:dLbl>
            <c:dLbl>
              <c:idx val="3"/>
              <c:layout>
                <c:manualLayout>
                  <c:x val="-4.604877515310591E-2"/>
                  <c:y val="-5.32753718285213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7E-4726-AF7A-1D1E647618E5}"/>
                </c:ext>
              </c:extLst>
            </c:dLbl>
            <c:dLbl>
              <c:idx val="5"/>
              <c:layout>
                <c:manualLayout>
                  <c:x val="-2.5604451564791898E-2"/>
                  <c:y val="5.841025346284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7E-4726-AF7A-1D1E647618E5}"/>
                </c:ext>
              </c:extLst>
            </c:dLbl>
            <c:dLbl>
              <c:idx val="9"/>
              <c:layout>
                <c:manualLayout>
                  <c:x val="-7.0621427292261799E-2"/>
                  <c:y val="-2.9417399467402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7E-4726-AF7A-1D1E647618E5}"/>
                </c:ext>
              </c:extLst>
            </c:dLbl>
            <c:dLbl>
              <c:idx val="10"/>
              <c:layout>
                <c:manualLayout>
                  <c:x val="-3.8356543840794705E-2"/>
                  <c:y val="-3.4047167461731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7E-4726-AF7A-1D1E647618E5}"/>
                </c:ext>
              </c:extLst>
            </c:dLbl>
            <c:dLbl>
              <c:idx val="11"/>
              <c:layout>
                <c:manualLayout>
                  <c:x val="-2.1262462898755725E-2"/>
                  <c:y val="-2.40783953100752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7E-4726-AF7A-1D1E647618E5}"/>
                </c:ext>
              </c:extLst>
            </c:dLbl>
            <c:dLbl>
              <c:idx val="14"/>
              <c:layout>
                <c:manualLayout>
                  <c:x val="-4.6048775153105966E-2"/>
                  <c:y val="-4.8645742198891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7E-4726-AF7A-1D1E647618E5}"/>
                </c:ext>
              </c:extLst>
            </c:dLbl>
            <c:dLbl>
              <c:idx val="15"/>
              <c:layout>
                <c:manualLayout>
                  <c:x val="-5.9933174110880144E-2"/>
                  <c:y val="9.646914573634543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7E-4726-AF7A-1D1E647618E5}"/>
                </c:ext>
              </c:extLst>
            </c:dLbl>
            <c:dLbl>
              <c:idx val="16"/>
              <c:layout>
                <c:manualLayout>
                  <c:x val="-9.0560923978990817E-3"/>
                  <c:y val="5.2969889180519099E-2"/>
                </c:manualLayout>
              </c:layout>
              <c:spPr>
                <a:noFill/>
                <a:ln>
                  <a:solidFill>
                    <a:schemeClr val="tx1"/>
                  </a:solidFill>
                </a:ln>
                <a:effectLst/>
              </c:spPr>
              <c:txPr>
                <a:bodyPr rot="0" spcFirstLastPara="1" vertOverflow="ellipsis" vert="horz" wrap="square" anchor="ctr" anchorCtr="1"/>
                <a:lstStyle/>
                <a:p>
                  <a:pPr>
                    <a:defRPr sz="900" b="1" i="0" u="none" strike="noStrike" kern="1200" baseline="0">
                      <a:solidFill>
                        <a:srgbClr val="2C9ADC"/>
                      </a:solidFill>
                      <a:latin typeface="Arial Narrow" panose="020B0606020202030204" pitchFamily="34" charset="0"/>
                      <a:ea typeface="+mn-ea"/>
                      <a:cs typeface="+mn-cs"/>
                    </a:defRPr>
                  </a:pPr>
                  <a:endParaRPr lang="sk-SK"/>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7E-4726-AF7A-1D1E647618E5}"/>
                </c:ext>
              </c:extLst>
            </c:dLbl>
            <c:spPr>
              <a:noFill/>
              <a:ln>
                <a:noFill/>
              </a:ln>
              <a:effectLst/>
            </c:spPr>
            <c:txPr>
              <a:bodyPr rot="0" spcFirstLastPara="1" vertOverflow="ellipsis" vert="horz" wrap="square" anchor="ctr" anchorCtr="1"/>
              <a:lstStyle/>
              <a:p>
                <a:pPr>
                  <a:defRPr sz="900" b="1" i="0" u="none" strike="noStrike" kern="1200" baseline="0">
                    <a:solidFill>
                      <a:srgbClr val="2C9ADC"/>
                    </a:solidFill>
                    <a:latin typeface="Arial Narrow" panose="020B0606020202030204" pitchFamily="34" charset="0"/>
                    <a:ea typeface="+mn-ea"/>
                    <a:cs typeface="+mn-cs"/>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12+13'!$F$2:$V$2</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'Graf 12+13'!$F$3:$V$3</c:f>
              <c:numCache>
                <c:formatCode>#\ ##0.0</c:formatCode>
                <c:ptCount val="17"/>
                <c:pt idx="0">
                  <c:v>-2.5234210889800117</c:v>
                </c:pt>
                <c:pt idx="1">
                  <c:v>-8.1493356813289868</c:v>
                </c:pt>
                <c:pt idx="2">
                  <c:v>-7.4728436858971179</c:v>
                </c:pt>
                <c:pt idx="3">
                  <c:v>-4.3034959844312528</c:v>
                </c:pt>
                <c:pt idx="4">
                  <c:v>-4.351860603291632</c:v>
                </c:pt>
                <c:pt idx="5">
                  <c:v>-2.8779025643460541</c:v>
                </c:pt>
                <c:pt idx="6">
                  <c:v>-3.1040348048008211</c:v>
                </c:pt>
                <c:pt idx="7">
                  <c:v>-2.6650259850579303</c:v>
                </c:pt>
                <c:pt idx="8">
                  <c:v>-2.5744378617577208</c:v>
                </c:pt>
                <c:pt idx="9">
                  <c:v>-0.97963293368195348</c:v>
                </c:pt>
                <c:pt idx="10">
                  <c:v>-1.0109230637371953</c:v>
                </c:pt>
                <c:pt idx="11">
                  <c:v>-1.2073368754803431</c:v>
                </c:pt>
                <c:pt idx="12">
                  <c:v>-5.3494860822808254</c:v>
                </c:pt>
                <c:pt idx="13">
                  <c:v>-5.1820005730585974</c:v>
                </c:pt>
                <c:pt idx="14">
                  <c:v>-1.6726605737150249</c:v>
                </c:pt>
                <c:pt idx="15">
                  <c:v>-4.8934746579132851</c:v>
                </c:pt>
                <c:pt idx="16">
                  <c:v>-5.93</c:v>
                </c:pt>
              </c:numCache>
            </c:numRef>
          </c:val>
          <c:smooth val="0"/>
          <c:extLst>
            <c:ext xmlns:c16="http://schemas.microsoft.com/office/drawing/2014/chart" uri="{C3380CC4-5D6E-409C-BE32-E72D297353CC}">
              <c16:uniqueId val="{0000000C-D07E-4726-AF7A-1D1E647618E5}"/>
            </c:ext>
          </c:extLst>
        </c:ser>
        <c:ser>
          <c:idx val="2"/>
          <c:order val="1"/>
          <c:tx>
            <c:strRef>
              <c:f>'Graf 12+13'!$D$4</c:f>
              <c:strCache>
                <c:ptCount val="1"/>
                <c:pt idx="0">
                  <c:v>Nominálny cieľ pri zostavovaní rozpočtu</c:v>
                </c:pt>
              </c:strCache>
            </c:strRef>
          </c:tx>
          <c:spPr>
            <a:ln w="28575" cap="rnd">
              <a:noFill/>
              <a:round/>
            </a:ln>
            <a:effectLst/>
          </c:spPr>
          <c:marker>
            <c:symbol val="circle"/>
            <c:size val="5"/>
            <c:spPr>
              <a:solidFill>
                <a:schemeClr val="tx1"/>
              </a:solidFill>
              <a:ln w="9525">
                <a:solidFill>
                  <a:schemeClr val="tx1"/>
                </a:solidFill>
              </a:ln>
              <a:effectLst/>
            </c:spPr>
          </c:marker>
          <c:dPt>
            <c:idx val="0"/>
            <c:marker>
              <c:symbol val="none"/>
            </c:marker>
            <c:bubble3D val="0"/>
            <c:extLst>
              <c:ext xmlns:c16="http://schemas.microsoft.com/office/drawing/2014/chart" uri="{C3380CC4-5D6E-409C-BE32-E72D297353CC}">
                <c16:uniqueId val="{0000000D-D07E-4726-AF7A-1D1E647618E5}"/>
              </c:ext>
            </c:extLst>
          </c:dPt>
          <c:dPt>
            <c:idx val="1"/>
            <c:marker>
              <c:symbol val="none"/>
            </c:marker>
            <c:bubble3D val="0"/>
            <c:extLst>
              <c:ext xmlns:c16="http://schemas.microsoft.com/office/drawing/2014/chart" uri="{C3380CC4-5D6E-409C-BE32-E72D297353CC}">
                <c16:uniqueId val="{0000000E-D07E-4726-AF7A-1D1E647618E5}"/>
              </c:ext>
            </c:extLst>
          </c:dPt>
          <c:dPt>
            <c:idx val="2"/>
            <c:marker>
              <c:symbol val="none"/>
            </c:marker>
            <c:bubble3D val="0"/>
            <c:extLst>
              <c:ext xmlns:c16="http://schemas.microsoft.com/office/drawing/2014/chart" uri="{C3380CC4-5D6E-409C-BE32-E72D297353CC}">
                <c16:uniqueId val="{0000000F-D07E-4726-AF7A-1D1E647618E5}"/>
              </c:ext>
            </c:extLst>
          </c:dPt>
          <c:dPt>
            <c:idx val="3"/>
            <c:marker>
              <c:symbol val="none"/>
            </c:marker>
            <c:bubble3D val="0"/>
            <c:extLst>
              <c:ext xmlns:c16="http://schemas.microsoft.com/office/drawing/2014/chart" uri="{C3380CC4-5D6E-409C-BE32-E72D297353CC}">
                <c16:uniqueId val="{00000010-D07E-4726-AF7A-1D1E647618E5}"/>
              </c:ext>
            </c:extLst>
          </c:dPt>
          <c:dPt>
            <c:idx val="4"/>
            <c:marker>
              <c:symbol val="none"/>
            </c:marker>
            <c:bubble3D val="0"/>
            <c:extLst>
              <c:ext xmlns:c16="http://schemas.microsoft.com/office/drawing/2014/chart" uri="{C3380CC4-5D6E-409C-BE32-E72D297353CC}">
                <c16:uniqueId val="{00000011-D07E-4726-AF7A-1D1E647618E5}"/>
              </c:ext>
            </c:extLst>
          </c:dPt>
          <c:dPt>
            <c:idx val="5"/>
            <c:marker>
              <c:symbol val="none"/>
            </c:marker>
            <c:bubble3D val="0"/>
            <c:extLst>
              <c:ext xmlns:c16="http://schemas.microsoft.com/office/drawing/2014/chart" uri="{C3380CC4-5D6E-409C-BE32-E72D297353CC}">
                <c16:uniqueId val="{00000012-D07E-4726-AF7A-1D1E647618E5}"/>
              </c:ext>
            </c:extLst>
          </c:dPt>
          <c:dPt>
            <c:idx val="6"/>
            <c:marker>
              <c:symbol val="none"/>
            </c:marker>
            <c:bubble3D val="0"/>
            <c:extLst>
              <c:ext xmlns:c16="http://schemas.microsoft.com/office/drawing/2014/chart" uri="{C3380CC4-5D6E-409C-BE32-E72D297353CC}">
                <c16:uniqueId val="{00000013-D07E-4726-AF7A-1D1E647618E5}"/>
              </c:ext>
            </c:extLst>
          </c:dPt>
          <c:dPt>
            <c:idx val="7"/>
            <c:marker>
              <c:symbol val="none"/>
            </c:marker>
            <c:bubble3D val="0"/>
            <c:extLst>
              <c:ext xmlns:c16="http://schemas.microsoft.com/office/drawing/2014/chart" uri="{C3380CC4-5D6E-409C-BE32-E72D297353CC}">
                <c16:uniqueId val="{00000014-D07E-4726-AF7A-1D1E647618E5}"/>
              </c:ext>
            </c:extLst>
          </c:dPt>
          <c:dPt>
            <c:idx val="8"/>
            <c:marker>
              <c:symbol val="none"/>
            </c:marker>
            <c:bubble3D val="0"/>
            <c:extLst>
              <c:ext xmlns:c16="http://schemas.microsoft.com/office/drawing/2014/chart" uri="{C3380CC4-5D6E-409C-BE32-E72D297353CC}">
                <c16:uniqueId val="{00000015-D07E-4726-AF7A-1D1E647618E5}"/>
              </c:ext>
            </c:extLst>
          </c:dPt>
          <c:dPt>
            <c:idx val="9"/>
            <c:marker>
              <c:symbol val="none"/>
            </c:marker>
            <c:bubble3D val="0"/>
            <c:extLst>
              <c:ext xmlns:c16="http://schemas.microsoft.com/office/drawing/2014/chart" uri="{C3380CC4-5D6E-409C-BE32-E72D297353CC}">
                <c16:uniqueId val="{00000016-D07E-4726-AF7A-1D1E647618E5}"/>
              </c:ext>
            </c:extLst>
          </c:dPt>
          <c:dPt>
            <c:idx val="10"/>
            <c:marker>
              <c:symbol val="none"/>
            </c:marker>
            <c:bubble3D val="0"/>
            <c:extLst>
              <c:ext xmlns:c16="http://schemas.microsoft.com/office/drawing/2014/chart" uri="{C3380CC4-5D6E-409C-BE32-E72D297353CC}">
                <c16:uniqueId val="{00000017-D07E-4726-AF7A-1D1E647618E5}"/>
              </c:ext>
            </c:extLst>
          </c:dPt>
          <c:dPt>
            <c:idx val="11"/>
            <c:marker>
              <c:symbol val="none"/>
            </c:marker>
            <c:bubble3D val="0"/>
            <c:extLst>
              <c:ext xmlns:c16="http://schemas.microsoft.com/office/drawing/2014/chart" uri="{C3380CC4-5D6E-409C-BE32-E72D297353CC}">
                <c16:uniqueId val="{00000018-D07E-4726-AF7A-1D1E647618E5}"/>
              </c:ext>
            </c:extLst>
          </c:dPt>
          <c:dPt>
            <c:idx val="12"/>
            <c:marker>
              <c:symbol val="none"/>
            </c:marker>
            <c:bubble3D val="0"/>
            <c:extLst>
              <c:ext xmlns:c16="http://schemas.microsoft.com/office/drawing/2014/chart" uri="{C3380CC4-5D6E-409C-BE32-E72D297353CC}">
                <c16:uniqueId val="{00000019-D07E-4726-AF7A-1D1E647618E5}"/>
              </c:ext>
            </c:extLst>
          </c:dPt>
          <c:dPt>
            <c:idx val="13"/>
            <c:marker>
              <c:symbol val="none"/>
            </c:marker>
            <c:bubble3D val="0"/>
            <c:extLst>
              <c:ext xmlns:c16="http://schemas.microsoft.com/office/drawing/2014/chart" uri="{C3380CC4-5D6E-409C-BE32-E72D297353CC}">
                <c16:uniqueId val="{0000001A-D07E-4726-AF7A-1D1E647618E5}"/>
              </c:ext>
            </c:extLst>
          </c:dPt>
          <c:dPt>
            <c:idx val="14"/>
            <c:marker>
              <c:symbol val="none"/>
            </c:marker>
            <c:bubble3D val="0"/>
            <c:extLst>
              <c:ext xmlns:c16="http://schemas.microsoft.com/office/drawing/2014/chart" uri="{C3380CC4-5D6E-409C-BE32-E72D297353CC}">
                <c16:uniqueId val="{0000001B-D07E-4726-AF7A-1D1E647618E5}"/>
              </c:ext>
            </c:extLst>
          </c:dPt>
          <c:dPt>
            <c:idx val="15"/>
            <c:marker>
              <c:symbol val="none"/>
            </c:marker>
            <c:bubble3D val="0"/>
            <c:extLst>
              <c:ext xmlns:c16="http://schemas.microsoft.com/office/drawing/2014/chart" uri="{C3380CC4-5D6E-409C-BE32-E72D297353CC}">
                <c16:uniqueId val="{0000001C-D07E-4726-AF7A-1D1E647618E5}"/>
              </c:ext>
            </c:extLst>
          </c:dPt>
          <c:dPt>
            <c:idx val="16"/>
            <c:marker>
              <c:symbol val="circle"/>
              <c:size val="5"/>
              <c:spPr>
                <a:solidFill>
                  <a:schemeClr val="tx1"/>
                </a:solidFill>
                <a:ln w="9525">
                  <a:solidFill>
                    <a:schemeClr val="tx1"/>
                  </a:solidFill>
                </a:ln>
                <a:effectLst/>
              </c:spPr>
            </c:marker>
            <c:bubble3D val="0"/>
            <c:extLst>
              <c:ext xmlns:c16="http://schemas.microsoft.com/office/drawing/2014/chart" uri="{C3380CC4-5D6E-409C-BE32-E72D297353CC}">
                <c16:uniqueId val="{0000001D-D07E-4726-AF7A-1D1E647618E5}"/>
              </c:ext>
            </c:extLst>
          </c:dPt>
          <c:dLbls>
            <c:dLbl>
              <c:idx val="16"/>
              <c:layout>
                <c:manualLayout>
                  <c:x val="-1.7905458668060193E-2"/>
                  <c:y val="-6.0790682414698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07E-4726-AF7A-1D1E647618E5}"/>
                </c:ext>
              </c:extLst>
            </c:dLbl>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Arial Narrow" panose="020B0606020202030204" pitchFamily="34" charset="0"/>
                    <a:ea typeface="+mn-ea"/>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noFill/>
                      <a:round/>
                    </a:ln>
                    <a:effectLst/>
                  </c:spPr>
                </c15:leaderLines>
              </c:ext>
            </c:extLst>
          </c:dLbls>
          <c:cat>
            <c:numRef>
              <c:f>'Graf 12+13'!$F$2:$V$2</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'Graf 12+13'!$F$4:$V$4</c:f>
              <c:numCache>
                <c:formatCode>General</c:formatCode>
                <c:ptCount val="17"/>
                <c:pt idx="16" formatCode="#\ ##0.0">
                  <c:v>-5.97</c:v>
                </c:pt>
              </c:numCache>
            </c:numRef>
          </c:val>
          <c:smooth val="0"/>
          <c:extLst>
            <c:ext xmlns:c16="http://schemas.microsoft.com/office/drawing/2014/chart" uri="{C3380CC4-5D6E-409C-BE32-E72D297353CC}">
              <c16:uniqueId val="{0000001E-D07E-4726-AF7A-1D1E647618E5}"/>
            </c:ext>
          </c:extLst>
        </c:ser>
        <c:ser>
          <c:idx val="5"/>
          <c:order val="5"/>
          <c:tx>
            <c:strRef>
              <c:f>'Graf 12+13'!$D$9</c:f>
              <c:strCache>
                <c:ptCount val="1"/>
                <c:pt idx="0">
                  <c:v>Hranica nadmerného deficitu</c:v>
                </c:pt>
              </c:strCache>
            </c:strRef>
          </c:tx>
          <c:spPr>
            <a:ln w="12700" cap="rnd">
              <a:solidFill>
                <a:srgbClr val="FF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F-D07E-4726-AF7A-1D1E647618E5}"/>
                </c:ext>
              </c:extLst>
            </c:dLbl>
            <c:dLbl>
              <c:idx val="1"/>
              <c:delete val="1"/>
              <c:extLst>
                <c:ext xmlns:c15="http://schemas.microsoft.com/office/drawing/2012/chart" uri="{CE6537A1-D6FC-4f65-9D91-7224C49458BB}"/>
                <c:ext xmlns:c16="http://schemas.microsoft.com/office/drawing/2014/chart" uri="{C3380CC4-5D6E-409C-BE32-E72D297353CC}">
                  <c16:uniqueId val="{00000020-D07E-4726-AF7A-1D1E647618E5}"/>
                </c:ext>
              </c:extLst>
            </c:dLbl>
            <c:dLbl>
              <c:idx val="2"/>
              <c:delete val="1"/>
              <c:extLst>
                <c:ext xmlns:c15="http://schemas.microsoft.com/office/drawing/2012/chart" uri="{CE6537A1-D6FC-4f65-9D91-7224C49458BB}"/>
                <c:ext xmlns:c16="http://schemas.microsoft.com/office/drawing/2014/chart" uri="{C3380CC4-5D6E-409C-BE32-E72D297353CC}">
                  <c16:uniqueId val="{00000021-D07E-4726-AF7A-1D1E647618E5}"/>
                </c:ext>
              </c:extLst>
            </c:dLbl>
            <c:dLbl>
              <c:idx val="3"/>
              <c:delete val="1"/>
              <c:extLst>
                <c:ext xmlns:c15="http://schemas.microsoft.com/office/drawing/2012/chart" uri="{CE6537A1-D6FC-4f65-9D91-7224C49458BB}"/>
                <c:ext xmlns:c16="http://schemas.microsoft.com/office/drawing/2014/chart" uri="{C3380CC4-5D6E-409C-BE32-E72D297353CC}">
                  <c16:uniqueId val="{00000022-D07E-4726-AF7A-1D1E647618E5}"/>
                </c:ext>
              </c:extLst>
            </c:dLbl>
            <c:dLbl>
              <c:idx val="4"/>
              <c:delete val="1"/>
              <c:extLst>
                <c:ext xmlns:c15="http://schemas.microsoft.com/office/drawing/2012/chart" uri="{CE6537A1-D6FC-4f65-9D91-7224C49458BB}"/>
                <c:ext xmlns:c16="http://schemas.microsoft.com/office/drawing/2014/chart" uri="{C3380CC4-5D6E-409C-BE32-E72D297353CC}">
                  <c16:uniqueId val="{00000023-D07E-4726-AF7A-1D1E647618E5}"/>
                </c:ext>
              </c:extLst>
            </c:dLbl>
            <c:dLbl>
              <c:idx val="5"/>
              <c:delete val="1"/>
              <c:extLst>
                <c:ext xmlns:c15="http://schemas.microsoft.com/office/drawing/2012/chart" uri="{CE6537A1-D6FC-4f65-9D91-7224C49458BB}"/>
                <c:ext xmlns:c16="http://schemas.microsoft.com/office/drawing/2014/chart" uri="{C3380CC4-5D6E-409C-BE32-E72D297353CC}">
                  <c16:uniqueId val="{00000024-D07E-4726-AF7A-1D1E647618E5}"/>
                </c:ext>
              </c:extLst>
            </c:dLbl>
            <c:dLbl>
              <c:idx val="6"/>
              <c:delete val="1"/>
              <c:extLst>
                <c:ext xmlns:c15="http://schemas.microsoft.com/office/drawing/2012/chart" uri="{CE6537A1-D6FC-4f65-9D91-7224C49458BB}"/>
                <c:ext xmlns:c16="http://schemas.microsoft.com/office/drawing/2014/chart" uri="{C3380CC4-5D6E-409C-BE32-E72D297353CC}">
                  <c16:uniqueId val="{00000025-D07E-4726-AF7A-1D1E647618E5}"/>
                </c:ext>
              </c:extLst>
            </c:dLbl>
            <c:dLbl>
              <c:idx val="7"/>
              <c:delete val="1"/>
              <c:extLst>
                <c:ext xmlns:c15="http://schemas.microsoft.com/office/drawing/2012/chart" uri="{CE6537A1-D6FC-4f65-9D91-7224C49458BB}"/>
                <c:ext xmlns:c16="http://schemas.microsoft.com/office/drawing/2014/chart" uri="{C3380CC4-5D6E-409C-BE32-E72D297353CC}">
                  <c16:uniqueId val="{00000026-D07E-4726-AF7A-1D1E647618E5}"/>
                </c:ext>
              </c:extLst>
            </c:dLbl>
            <c:dLbl>
              <c:idx val="8"/>
              <c:delete val="1"/>
              <c:extLst>
                <c:ext xmlns:c15="http://schemas.microsoft.com/office/drawing/2012/chart" uri="{CE6537A1-D6FC-4f65-9D91-7224C49458BB}"/>
                <c:ext xmlns:c16="http://schemas.microsoft.com/office/drawing/2014/chart" uri="{C3380CC4-5D6E-409C-BE32-E72D297353CC}">
                  <c16:uniqueId val="{00000027-D07E-4726-AF7A-1D1E647618E5}"/>
                </c:ext>
              </c:extLst>
            </c:dLbl>
            <c:dLbl>
              <c:idx val="9"/>
              <c:delete val="1"/>
              <c:extLst>
                <c:ext xmlns:c15="http://schemas.microsoft.com/office/drawing/2012/chart" uri="{CE6537A1-D6FC-4f65-9D91-7224C49458BB}"/>
                <c:ext xmlns:c16="http://schemas.microsoft.com/office/drawing/2014/chart" uri="{C3380CC4-5D6E-409C-BE32-E72D297353CC}">
                  <c16:uniqueId val="{00000028-D07E-4726-AF7A-1D1E647618E5}"/>
                </c:ext>
              </c:extLst>
            </c:dLbl>
            <c:dLbl>
              <c:idx val="10"/>
              <c:delete val="1"/>
              <c:extLst>
                <c:ext xmlns:c15="http://schemas.microsoft.com/office/drawing/2012/chart" uri="{CE6537A1-D6FC-4f65-9D91-7224C49458BB}"/>
                <c:ext xmlns:c16="http://schemas.microsoft.com/office/drawing/2014/chart" uri="{C3380CC4-5D6E-409C-BE32-E72D297353CC}">
                  <c16:uniqueId val="{00000029-D07E-4726-AF7A-1D1E647618E5}"/>
                </c:ext>
              </c:extLst>
            </c:dLbl>
            <c:dLbl>
              <c:idx val="11"/>
              <c:delete val="1"/>
              <c:extLst>
                <c:ext xmlns:c15="http://schemas.microsoft.com/office/drawing/2012/chart" uri="{CE6537A1-D6FC-4f65-9D91-7224C49458BB}"/>
                <c:ext xmlns:c16="http://schemas.microsoft.com/office/drawing/2014/chart" uri="{C3380CC4-5D6E-409C-BE32-E72D297353CC}">
                  <c16:uniqueId val="{0000002A-D07E-4726-AF7A-1D1E647618E5}"/>
                </c:ext>
              </c:extLst>
            </c:dLbl>
            <c:dLbl>
              <c:idx val="12"/>
              <c:delete val="1"/>
              <c:extLst>
                <c:ext xmlns:c15="http://schemas.microsoft.com/office/drawing/2012/chart" uri="{CE6537A1-D6FC-4f65-9D91-7224C49458BB}"/>
                <c:ext xmlns:c16="http://schemas.microsoft.com/office/drawing/2014/chart" uri="{C3380CC4-5D6E-409C-BE32-E72D297353CC}">
                  <c16:uniqueId val="{0000002B-D07E-4726-AF7A-1D1E647618E5}"/>
                </c:ext>
              </c:extLst>
            </c:dLbl>
            <c:dLbl>
              <c:idx val="13"/>
              <c:delete val="1"/>
              <c:extLst>
                <c:ext xmlns:c15="http://schemas.microsoft.com/office/drawing/2012/chart" uri="{CE6537A1-D6FC-4f65-9D91-7224C49458BB}"/>
                <c:ext xmlns:c16="http://schemas.microsoft.com/office/drawing/2014/chart" uri="{C3380CC4-5D6E-409C-BE32-E72D297353CC}">
                  <c16:uniqueId val="{0000002C-D07E-4726-AF7A-1D1E647618E5}"/>
                </c:ext>
              </c:extLst>
            </c:dLbl>
            <c:dLbl>
              <c:idx val="14"/>
              <c:delete val="1"/>
              <c:extLst>
                <c:ext xmlns:c15="http://schemas.microsoft.com/office/drawing/2012/chart" uri="{CE6537A1-D6FC-4f65-9D91-7224C49458BB}"/>
                <c:ext xmlns:c16="http://schemas.microsoft.com/office/drawing/2014/chart" uri="{C3380CC4-5D6E-409C-BE32-E72D297353CC}">
                  <c16:uniqueId val="{0000002D-D07E-4726-AF7A-1D1E647618E5}"/>
                </c:ext>
              </c:extLst>
            </c:dLbl>
            <c:dLbl>
              <c:idx val="15"/>
              <c:delete val="1"/>
              <c:extLst>
                <c:ext xmlns:c15="http://schemas.microsoft.com/office/drawing/2012/chart" uri="{CE6537A1-D6FC-4f65-9D91-7224C49458BB}"/>
                <c:ext xmlns:c16="http://schemas.microsoft.com/office/drawing/2014/chart" uri="{C3380CC4-5D6E-409C-BE32-E72D297353CC}">
                  <c16:uniqueId val="{0000002E-D07E-4726-AF7A-1D1E647618E5}"/>
                </c:ext>
              </c:extLst>
            </c:dLbl>
            <c:dLbl>
              <c:idx val="16"/>
              <c:layout>
                <c:manualLayout>
                  <c:x val="-0.66744214059856688"/>
                  <c:y val="-1.9824723982041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DE8-42A5-97B3-153F28E77EA5}"/>
                </c:ext>
              </c:extLst>
            </c:dLbl>
            <c:spPr>
              <a:noFill/>
              <a:ln>
                <a:noFill/>
              </a:ln>
              <a:effectLst/>
            </c:spPr>
            <c:txPr>
              <a:bodyPr rot="0" spcFirstLastPara="1" vertOverflow="ellipsis" vert="horz" wrap="square" anchor="ctr" anchorCtr="1"/>
              <a:lstStyle/>
              <a:p>
                <a:pPr>
                  <a:defRPr sz="700" b="1" i="0" u="none" strike="noStrike" kern="1200" baseline="0">
                    <a:solidFill>
                      <a:srgbClr val="FF000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 12+13'!$F$9:$V$9</c:f>
              <c:numCache>
                <c:formatCode>#\ ##0.0</c:formatCode>
                <c:ptCount val="17"/>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numCache>
            </c:numRef>
          </c:val>
          <c:smooth val="0"/>
          <c:extLst>
            <c:ext xmlns:c16="http://schemas.microsoft.com/office/drawing/2014/chart" uri="{C3380CC4-5D6E-409C-BE32-E72D297353CC}">
              <c16:uniqueId val="{0000002F-D07E-4726-AF7A-1D1E647618E5}"/>
            </c:ext>
          </c:extLst>
        </c:ser>
        <c:dLbls>
          <c:showLegendKey val="0"/>
          <c:showVal val="0"/>
          <c:showCatName val="0"/>
          <c:showSerName val="0"/>
          <c:showPercent val="0"/>
          <c:showBubbleSize val="0"/>
        </c:dLbls>
        <c:marker val="1"/>
        <c:smooth val="0"/>
        <c:axId val="969852016"/>
        <c:axId val="947565328"/>
      </c:lineChart>
      <c:catAx>
        <c:axId val="969852016"/>
        <c:scaling>
          <c:orientation val="minMax"/>
        </c:scaling>
        <c:delete val="0"/>
        <c:axPos val="b"/>
        <c:numFmt formatCode="General" sourceLinked="1"/>
        <c:majorTickMark val="none"/>
        <c:minorTickMark val="none"/>
        <c:tickLblPos val="low"/>
        <c:spPr>
          <a:noFill/>
          <a:ln w="12700" cap="flat" cmpd="sng" algn="ctr">
            <a:solidFill>
              <a:srgbClr val="676868"/>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crossAx val="947565328"/>
        <c:crosses val="autoZero"/>
        <c:auto val="1"/>
        <c:lblAlgn val="ctr"/>
        <c:lblOffset val="100"/>
        <c:noMultiLvlLbl val="0"/>
      </c:catAx>
      <c:valAx>
        <c:axId val="947565328"/>
        <c:scaling>
          <c:orientation val="minMax"/>
          <c:max val="0"/>
          <c:min val="-10"/>
        </c:scaling>
        <c:delete val="0"/>
        <c:axPos val="l"/>
        <c:majorGridlines>
          <c:spPr>
            <a:ln w="3175" cap="flat" cmpd="sng" algn="ctr">
              <a:solidFill>
                <a:srgbClr val="676868">
                  <a:alpha val="25000"/>
                </a:srgbClr>
              </a:solidFill>
              <a:prstDash val="sysDot"/>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crossAx val="969852016"/>
        <c:crosses val="autoZero"/>
        <c:crossBetween val="between"/>
        <c:majorUnit val="2"/>
      </c:valAx>
      <c:spPr>
        <a:noFill/>
        <a:ln>
          <a:noFill/>
        </a:ln>
        <a:effectLst/>
      </c:spPr>
    </c:plotArea>
    <c:legend>
      <c:legendPos val="b"/>
      <c:legendEntry>
        <c:idx val="0"/>
        <c:delete val="1"/>
      </c:legendEntry>
      <c:legendEntry>
        <c:idx val="1"/>
        <c:delete val="1"/>
      </c:legendEntry>
      <c:legendEntry>
        <c:idx val="2"/>
        <c:delete val="1"/>
      </c:legendEntry>
      <c:layout>
        <c:manualLayout>
          <c:xMode val="edge"/>
          <c:yMode val="edge"/>
          <c:x val="0.31081725020592893"/>
          <c:y val="0.49746488942768174"/>
          <c:w val="0.33816639061849552"/>
          <c:h val="0.2010681307323631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Narrow" panose="020B0606020202030204" pitchFamily="34" charset="0"/>
        </a:defRPr>
      </a:pPr>
      <a:endParaRPr lang="sk-SK"/>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24577545784296E-2"/>
          <c:y val="6.4556399476614096E-2"/>
          <c:w val="0.53830599300087489"/>
          <c:h val="0.85748137319626516"/>
        </c:manualLayout>
      </c:layout>
      <c:barChart>
        <c:barDir val="col"/>
        <c:grouping val="stacked"/>
        <c:varyColors val="0"/>
        <c:ser>
          <c:idx val="0"/>
          <c:order val="0"/>
          <c:tx>
            <c:strRef>
              <c:f>'Graf 6'!$C$6</c:f>
              <c:strCache>
                <c:ptCount val="1"/>
                <c:pt idx="0">
                  <c:v>DPFO zč</c:v>
                </c:pt>
              </c:strCache>
            </c:strRef>
          </c:tx>
          <c:spPr>
            <a:solidFill>
              <a:srgbClr val="1F497D"/>
            </a:solidFill>
          </c:spPr>
          <c:invertIfNegative val="0"/>
          <c:dLbls>
            <c:spPr>
              <a:noFill/>
              <a:ln>
                <a:noFill/>
              </a:ln>
              <a:effectLst/>
            </c:spPr>
            <c:txPr>
              <a:bodyPr/>
              <a:lstStyle/>
              <a:p>
                <a:pPr>
                  <a:defRPr>
                    <a:solidFill>
                      <a:schemeClr val="bg1"/>
                    </a:solidFil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6'!$D$5</c:f>
              <c:numCache>
                <c:formatCode>General</c:formatCode>
                <c:ptCount val="1"/>
                <c:pt idx="0">
                  <c:v>2023</c:v>
                </c:pt>
              </c:numCache>
            </c:numRef>
          </c:cat>
          <c:val>
            <c:numRef>
              <c:f>'Graf 6'!$D$6</c:f>
              <c:numCache>
                <c:formatCode>0.0</c:formatCode>
                <c:ptCount val="1"/>
                <c:pt idx="0">
                  <c:v>1.3289880153174953</c:v>
                </c:pt>
              </c:numCache>
            </c:numRef>
          </c:val>
          <c:extLst>
            <c:ext xmlns:c16="http://schemas.microsoft.com/office/drawing/2014/chart" uri="{C3380CC4-5D6E-409C-BE32-E72D297353CC}">
              <c16:uniqueId val="{00000000-0773-494A-8E95-01D44297B8DF}"/>
            </c:ext>
          </c:extLst>
        </c:ser>
        <c:ser>
          <c:idx val="1"/>
          <c:order val="1"/>
          <c:tx>
            <c:strRef>
              <c:f>'Graf 6'!$C$7</c:f>
              <c:strCache>
                <c:ptCount val="1"/>
                <c:pt idx="0">
                  <c:v>DPPO</c:v>
                </c:pt>
              </c:strCache>
            </c:strRef>
          </c:tx>
          <c:spPr>
            <a:solidFill>
              <a:srgbClr val="5B9BD5"/>
            </a:solidFill>
          </c:spPr>
          <c:invertIfNegative val="0"/>
          <c:cat>
            <c:numRef>
              <c:f>'Graf 6'!$D$5</c:f>
              <c:numCache>
                <c:formatCode>General</c:formatCode>
                <c:ptCount val="1"/>
                <c:pt idx="0">
                  <c:v>2023</c:v>
                </c:pt>
              </c:numCache>
            </c:numRef>
          </c:cat>
          <c:val>
            <c:numRef>
              <c:f>'Graf 6'!$D$7</c:f>
              <c:numCache>
                <c:formatCode>0.0</c:formatCode>
                <c:ptCount val="1"/>
                <c:pt idx="0">
                  <c:v>0.97779596215778453</c:v>
                </c:pt>
              </c:numCache>
            </c:numRef>
          </c:val>
          <c:extLst>
            <c:ext xmlns:c16="http://schemas.microsoft.com/office/drawing/2014/chart" uri="{C3380CC4-5D6E-409C-BE32-E72D297353CC}">
              <c16:uniqueId val="{00000001-0773-494A-8E95-01D44297B8DF}"/>
            </c:ext>
          </c:extLst>
        </c:ser>
        <c:ser>
          <c:idx val="8"/>
          <c:order val="2"/>
          <c:tx>
            <c:strRef>
              <c:f>'Graf 6'!$C$8</c:f>
              <c:strCache>
                <c:ptCount val="1"/>
                <c:pt idx="0">
                  <c:v>DPH</c:v>
                </c:pt>
              </c:strCache>
            </c:strRef>
          </c:tx>
          <c:spPr>
            <a:solidFill>
              <a:sysClr val="window" lastClr="FFFFFF">
                <a:lumMod val="50000"/>
              </a:sysClr>
            </a:solidFill>
          </c:spPr>
          <c:invertIfNegative val="0"/>
          <c:dLbls>
            <c:spPr>
              <a:noFill/>
              <a:ln>
                <a:noFill/>
              </a:ln>
              <a:effectLst/>
            </c:spPr>
            <c:txPr>
              <a:bodyPr/>
              <a:lstStyle/>
              <a:p>
                <a:pPr>
                  <a:defRPr>
                    <a:solidFill>
                      <a:schemeClr val="bg1"/>
                    </a:solidFil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6'!$D$5</c:f>
              <c:numCache>
                <c:formatCode>General</c:formatCode>
                <c:ptCount val="1"/>
                <c:pt idx="0">
                  <c:v>2023</c:v>
                </c:pt>
              </c:numCache>
            </c:numRef>
          </c:cat>
          <c:val>
            <c:numRef>
              <c:f>'Graf 6'!$D$8</c:f>
              <c:numCache>
                <c:formatCode>0.0</c:formatCode>
                <c:ptCount val="1"/>
                <c:pt idx="0">
                  <c:v>3.8564613425815417</c:v>
                </c:pt>
              </c:numCache>
            </c:numRef>
          </c:val>
          <c:extLst>
            <c:ext xmlns:c16="http://schemas.microsoft.com/office/drawing/2014/chart" uri="{C3380CC4-5D6E-409C-BE32-E72D297353CC}">
              <c16:uniqueId val="{00000002-0773-494A-8E95-01D44297B8DF}"/>
            </c:ext>
          </c:extLst>
        </c:ser>
        <c:ser>
          <c:idx val="3"/>
          <c:order val="3"/>
          <c:tx>
            <c:strRef>
              <c:f>'Graf 6'!$C$9</c:f>
              <c:strCache>
                <c:ptCount val="1"/>
                <c:pt idx="0">
                  <c:v>Sociálne a zdravotné odvody</c:v>
                </c:pt>
              </c:strCache>
            </c:strRef>
          </c:tx>
          <c:spPr>
            <a:solidFill>
              <a:srgbClr val="D5EBF8"/>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6'!$D$5</c:f>
              <c:numCache>
                <c:formatCode>General</c:formatCode>
                <c:ptCount val="1"/>
                <c:pt idx="0">
                  <c:v>2023</c:v>
                </c:pt>
              </c:numCache>
            </c:numRef>
          </c:cat>
          <c:val>
            <c:numRef>
              <c:f>'Graf 6'!$D$9</c:f>
              <c:numCache>
                <c:formatCode>0.0</c:formatCode>
                <c:ptCount val="1"/>
                <c:pt idx="0">
                  <c:v>3.3090076139122502</c:v>
                </c:pt>
              </c:numCache>
            </c:numRef>
          </c:val>
          <c:extLst>
            <c:ext xmlns:c16="http://schemas.microsoft.com/office/drawing/2014/chart" uri="{C3380CC4-5D6E-409C-BE32-E72D297353CC}">
              <c16:uniqueId val="{00000003-0773-494A-8E95-01D44297B8DF}"/>
            </c:ext>
          </c:extLst>
        </c:ser>
        <c:ser>
          <c:idx val="6"/>
          <c:order val="4"/>
          <c:tx>
            <c:strRef>
              <c:f>'Graf 6'!$C$10</c:f>
              <c:strCache>
                <c:ptCount val="1"/>
                <c:pt idx="0">
                  <c:v>Solidárny príspevok </c:v>
                </c:pt>
              </c:strCache>
            </c:strRef>
          </c:tx>
          <c:spPr>
            <a:solidFill>
              <a:sysClr val="windowText" lastClr="000000">
                <a:lumMod val="65000"/>
                <a:lumOff val="35000"/>
              </a:sysClr>
            </a:solidFill>
          </c:spPr>
          <c:invertIfNegative val="0"/>
          <c:val>
            <c:numRef>
              <c:f>'Graf 6'!$D$10</c:f>
              <c:numCache>
                <c:formatCode>0.0</c:formatCode>
                <c:ptCount val="1"/>
                <c:pt idx="0">
                  <c:v>-0.29416712466574302</c:v>
                </c:pt>
              </c:numCache>
            </c:numRef>
          </c:val>
          <c:extLst>
            <c:ext xmlns:c16="http://schemas.microsoft.com/office/drawing/2014/chart" uri="{C3380CC4-5D6E-409C-BE32-E72D297353CC}">
              <c16:uniqueId val="{00000004-0773-494A-8E95-01D44297B8DF}"/>
            </c:ext>
          </c:extLst>
        </c:ser>
        <c:ser>
          <c:idx val="7"/>
          <c:order val="5"/>
          <c:tx>
            <c:strRef>
              <c:f>'Graf 6'!$C$11</c:f>
              <c:strCache>
                <c:ptCount val="1"/>
                <c:pt idx="0">
                  <c:v>Ostatné</c:v>
                </c:pt>
              </c:strCache>
            </c:strRef>
          </c:tx>
          <c:invertIfNegative val="0"/>
          <c:val>
            <c:numRef>
              <c:f>'Graf 6'!$D$11</c:f>
              <c:numCache>
                <c:formatCode>0.0</c:formatCode>
                <c:ptCount val="1"/>
                <c:pt idx="0">
                  <c:v>0.87117738612485596</c:v>
                </c:pt>
              </c:numCache>
            </c:numRef>
          </c:val>
          <c:extLst>
            <c:ext xmlns:c16="http://schemas.microsoft.com/office/drawing/2014/chart" uri="{C3380CC4-5D6E-409C-BE32-E72D297353CC}">
              <c16:uniqueId val="{00000005-0773-494A-8E95-01D44297B8DF}"/>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2"/>
          <c:order val="6"/>
          <c:tx>
            <c:strRef>
              <c:f>'Graf 6'!$C$12</c:f>
              <c:strCache>
                <c:ptCount val="1"/>
                <c:pt idx="0">
                  <c:v>Spolu</c:v>
                </c:pt>
              </c:strCache>
            </c:strRef>
          </c:tx>
          <c:marker>
            <c:symbol val="circle"/>
            <c:size val="5"/>
            <c:spPr>
              <a:solidFill>
                <a:sysClr val="windowText" lastClr="000000"/>
              </a:solidFill>
              <a:ln>
                <a:solidFill>
                  <a:sysClr val="windowText" lastClr="000000"/>
                </a:solidFill>
              </a:ln>
            </c:spPr>
          </c:marker>
          <c:dLbls>
            <c:spPr>
              <a:noFill/>
              <a:ln>
                <a:noFill/>
              </a:ln>
              <a:effectLst/>
            </c:spPr>
            <c:txPr>
              <a:bodyPr/>
              <a:lstStyle/>
              <a:p>
                <a:pPr>
                  <a:defRPr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6'!$D$5</c:f>
              <c:numCache>
                <c:formatCode>General</c:formatCode>
                <c:ptCount val="1"/>
                <c:pt idx="0">
                  <c:v>2023</c:v>
                </c:pt>
              </c:numCache>
            </c:numRef>
          </c:cat>
          <c:val>
            <c:numRef>
              <c:f>'Graf 6'!$D$12</c:f>
              <c:numCache>
                <c:formatCode>0.0</c:formatCode>
                <c:ptCount val="1"/>
                <c:pt idx="0">
                  <c:v>10.049263195428182</c:v>
                </c:pt>
              </c:numCache>
            </c:numRef>
          </c:val>
          <c:smooth val="0"/>
          <c:extLst>
            <c:ext xmlns:c16="http://schemas.microsoft.com/office/drawing/2014/chart" uri="{C3380CC4-5D6E-409C-BE32-E72D297353CC}">
              <c16:uniqueId val="{00000006-0773-494A-8E95-01D44297B8DF}"/>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spPr>
          <a:ln w="12700"/>
        </c:spPr>
        <c:crossAx val="489686984"/>
        <c:crosses val="autoZero"/>
        <c:auto val="1"/>
        <c:lblAlgn val="ctr"/>
        <c:lblOffset val="100"/>
        <c:noMultiLvlLbl val="0"/>
      </c:catAx>
      <c:valAx>
        <c:axId val="489686984"/>
        <c:scaling>
          <c:orientation val="minMax"/>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62701815398075245"/>
          <c:y val="1.0537709335005684E-2"/>
          <c:w val="0.34274731364767408"/>
          <c:h val="0.96181773536104243"/>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35949565789809"/>
          <c:y val="6.4556399476614096E-2"/>
          <c:w val="0.53830598345624814"/>
          <c:h val="0.85748137319626516"/>
        </c:manualLayout>
      </c:layout>
      <c:barChart>
        <c:barDir val="col"/>
        <c:grouping val="stacked"/>
        <c:varyColors val="0"/>
        <c:ser>
          <c:idx val="0"/>
          <c:order val="0"/>
          <c:tx>
            <c:strRef>
              <c:f>'Graf 7'!$C$6</c:f>
              <c:strCache>
                <c:ptCount val="1"/>
                <c:pt idx="0">
                  <c:v>makroekonomické ukazovatele</c:v>
                </c:pt>
              </c:strCache>
            </c:strRef>
          </c:tx>
          <c:spPr>
            <a:solidFill>
              <a:srgbClr val="1F497D"/>
            </a:solidFill>
          </c:spPr>
          <c:invertIfNegative val="0"/>
          <c:dLbls>
            <c:dLbl>
              <c:idx val="0"/>
              <c:tx>
                <c:rich>
                  <a:bodyPr/>
                  <a:lstStyle/>
                  <a:p>
                    <a:fld id="{09CD7FA8-CD01-4CB9-B10C-B21441FEDD87}" type="VALUE">
                      <a:rPr lang="en-US">
                        <a:solidFill>
                          <a:schemeClr val="bg1"/>
                        </a:solidFill>
                      </a:rPr>
                      <a:pPr/>
                      <a:t>[HODNOTA]</a:t>
                    </a:fld>
                    <a:endParaRPr lang="sk-SK"/>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4F-4795-B61A-7A2ED943259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7'!$D$5</c:f>
              <c:numCache>
                <c:formatCode>General</c:formatCode>
                <c:ptCount val="1"/>
                <c:pt idx="0">
                  <c:v>2023</c:v>
                </c:pt>
              </c:numCache>
            </c:numRef>
          </c:cat>
          <c:val>
            <c:numRef>
              <c:f>'Graf 7'!$D$6</c:f>
              <c:numCache>
                <c:formatCode>0.0</c:formatCode>
                <c:ptCount val="1"/>
                <c:pt idx="0">
                  <c:v>9.5441534185492021</c:v>
                </c:pt>
              </c:numCache>
            </c:numRef>
          </c:val>
          <c:extLst>
            <c:ext xmlns:c16="http://schemas.microsoft.com/office/drawing/2014/chart" uri="{C3380CC4-5D6E-409C-BE32-E72D297353CC}">
              <c16:uniqueId val="{00000001-AD4F-4795-B61A-7A2ED9432595}"/>
            </c:ext>
          </c:extLst>
        </c:ser>
        <c:ser>
          <c:idx val="1"/>
          <c:order val="1"/>
          <c:tx>
            <c:strRef>
              <c:f>'Graf 7'!$C$7</c:f>
              <c:strCache>
                <c:ptCount val="1"/>
                <c:pt idx="0">
                  <c:v>efektívna daňová sadzba</c:v>
                </c:pt>
              </c:strCache>
            </c:strRef>
          </c:tx>
          <c:spPr>
            <a:solidFill>
              <a:srgbClr val="5B9BD5"/>
            </a:solidFill>
          </c:spPr>
          <c:invertIfNegative val="0"/>
          <c:cat>
            <c:numRef>
              <c:f>'Graf 7'!$D$5</c:f>
              <c:numCache>
                <c:formatCode>General</c:formatCode>
                <c:ptCount val="1"/>
                <c:pt idx="0">
                  <c:v>2023</c:v>
                </c:pt>
              </c:numCache>
            </c:numRef>
          </c:cat>
          <c:val>
            <c:numRef>
              <c:f>'Graf 7'!$D$7</c:f>
              <c:numCache>
                <c:formatCode>0.0</c:formatCode>
                <c:ptCount val="1"/>
                <c:pt idx="0">
                  <c:v>-0.80867608037001792</c:v>
                </c:pt>
              </c:numCache>
            </c:numRef>
          </c:val>
          <c:extLst>
            <c:ext xmlns:c16="http://schemas.microsoft.com/office/drawing/2014/chart" uri="{C3380CC4-5D6E-409C-BE32-E72D297353CC}">
              <c16:uniqueId val="{00000002-AD4F-4795-B61A-7A2ED9432595}"/>
            </c:ext>
          </c:extLst>
        </c:ser>
        <c:ser>
          <c:idx val="8"/>
          <c:order val="2"/>
          <c:tx>
            <c:strRef>
              <c:f>'Graf 7'!$C$8</c:f>
              <c:strCache>
                <c:ptCount val="1"/>
                <c:pt idx="0">
                  <c:v>legislatíva</c:v>
                </c:pt>
              </c:strCache>
            </c:strRef>
          </c:tx>
          <c:spPr>
            <a:solidFill>
              <a:sysClr val="window" lastClr="FFFFFF">
                <a:lumMod val="50000"/>
              </a:sysClr>
            </a:solidFill>
          </c:spPr>
          <c:invertIfNegative val="0"/>
          <c:cat>
            <c:numRef>
              <c:f>'Graf 7'!$D$5</c:f>
              <c:numCache>
                <c:formatCode>General</c:formatCode>
                <c:ptCount val="1"/>
                <c:pt idx="0">
                  <c:v>2023</c:v>
                </c:pt>
              </c:numCache>
            </c:numRef>
          </c:cat>
          <c:val>
            <c:numRef>
              <c:f>'Graf 7'!$D$8</c:f>
              <c:numCache>
                <c:formatCode>0.0</c:formatCode>
                <c:ptCount val="1"/>
                <c:pt idx="0">
                  <c:v>-0.35690837428921635</c:v>
                </c:pt>
              </c:numCache>
            </c:numRef>
          </c:val>
          <c:extLst>
            <c:ext xmlns:c16="http://schemas.microsoft.com/office/drawing/2014/chart" uri="{C3380CC4-5D6E-409C-BE32-E72D297353CC}">
              <c16:uniqueId val="{00000003-AD4F-4795-B61A-7A2ED9432595}"/>
            </c:ext>
          </c:extLst>
        </c:ser>
        <c:ser>
          <c:idx val="3"/>
          <c:order val="3"/>
          <c:tx>
            <c:strRef>
              <c:f>'Graf 7'!$C$9</c:f>
              <c:strCache>
                <c:ptCount val="1"/>
                <c:pt idx="0">
                  <c:v>jednorazové faktory</c:v>
                </c:pt>
              </c:strCache>
            </c:strRef>
          </c:tx>
          <c:spPr>
            <a:solidFill>
              <a:srgbClr val="2C9ADC">
                <a:lumMod val="20000"/>
                <a:lumOff val="80000"/>
              </a:srgbClr>
            </a:solidFill>
          </c:spPr>
          <c:invertIfNegative val="0"/>
          <c:cat>
            <c:numRef>
              <c:f>'Graf 7'!$D$5</c:f>
              <c:numCache>
                <c:formatCode>General</c:formatCode>
                <c:ptCount val="1"/>
                <c:pt idx="0">
                  <c:v>2023</c:v>
                </c:pt>
              </c:numCache>
            </c:numRef>
          </c:cat>
          <c:val>
            <c:numRef>
              <c:f>'Graf 7'!$D$9</c:f>
              <c:numCache>
                <c:formatCode>0.0</c:formatCode>
                <c:ptCount val="1"/>
                <c:pt idx="0">
                  <c:v>0.88199362543202875</c:v>
                </c:pt>
              </c:numCache>
            </c:numRef>
          </c:val>
          <c:extLst>
            <c:ext xmlns:c16="http://schemas.microsoft.com/office/drawing/2014/chart" uri="{C3380CC4-5D6E-409C-BE32-E72D297353CC}">
              <c16:uniqueId val="{00000004-AD4F-4795-B61A-7A2ED9432595}"/>
            </c:ext>
          </c:extLst>
        </c:ser>
        <c:ser>
          <c:idx val="6"/>
          <c:order val="4"/>
          <c:tx>
            <c:strRef>
              <c:f>'Graf 7'!$C$10</c:f>
              <c:strCache>
                <c:ptCount val="1"/>
                <c:pt idx="0">
                  <c:v>ostatné faktory</c:v>
                </c:pt>
              </c:strCache>
            </c:strRef>
          </c:tx>
          <c:spPr>
            <a:solidFill>
              <a:sysClr val="windowText" lastClr="000000">
                <a:lumMod val="65000"/>
                <a:lumOff val="35000"/>
              </a:sysClr>
            </a:solidFill>
          </c:spPr>
          <c:invertIfNegative val="0"/>
          <c:val>
            <c:numRef>
              <c:f>'Graf 7'!$D$10</c:f>
              <c:numCache>
                <c:formatCode>0.0</c:formatCode>
                <c:ptCount val="1"/>
                <c:pt idx="0">
                  <c:v>0.78870060610621473</c:v>
                </c:pt>
              </c:numCache>
            </c:numRef>
          </c:val>
          <c:extLst>
            <c:ext xmlns:c16="http://schemas.microsoft.com/office/drawing/2014/chart" uri="{C3380CC4-5D6E-409C-BE32-E72D297353CC}">
              <c16:uniqueId val="{00000005-AD4F-4795-B61A-7A2ED9432595}"/>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2"/>
          <c:order val="5"/>
          <c:tx>
            <c:strRef>
              <c:f>'Graf 7'!$C$11</c:f>
              <c:strCache>
                <c:ptCount val="1"/>
                <c:pt idx="0">
                  <c:v>Spolu</c:v>
                </c:pt>
              </c:strCache>
            </c:strRef>
          </c:tx>
          <c:spPr>
            <a:ln>
              <a:noFill/>
            </a:ln>
          </c:spPr>
          <c:marker>
            <c:symbol val="circle"/>
            <c:size val="5"/>
            <c:spPr>
              <a:solidFill>
                <a:sysClr val="windowText" lastClr="000000"/>
              </a:solidFill>
              <a:ln>
                <a:solidFill>
                  <a:sysClr val="windowText" lastClr="000000"/>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7'!$D$5</c:f>
              <c:numCache>
                <c:formatCode>General</c:formatCode>
                <c:ptCount val="1"/>
                <c:pt idx="0">
                  <c:v>2023</c:v>
                </c:pt>
              </c:numCache>
            </c:numRef>
          </c:cat>
          <c:val>
            <c:numRef>
              <c:f>'Graf 7'!$D$11</c:f>
              <c:numCache>
                <c:formatCode>0.0</c:formatCode>
                <c:ptCount val="1"/>
                <c:pt idx="0">
                  <c:v>10.04926319542821</c:v>
                </c:pt>
              </c:numCache>
            </c:numRef>
          </c:val>
          <c:smooth val="0"/>
          <c:extLst>
            <c:ext xmlns:c16="http://schemas.microsoft.com/office/drawing/2014/chart" uri="{C3380CC4-5D6E-409C-BE32-E72D297353CC}">
              <c16:uniqueId val="{00000007-AD4F-4795-B61A-7A2ED9432595}"/>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spPr>
          <a:ln w="12700">
            <a:solidFill>
              <a:srgbClr val="686767"/>
            </a:solidFill>
          </a:ln>
        </c:spPr>
        <c:crossAx val="489686984"/>
        <c:crosses val="autoZero"/>
        <c:auto val="1"/>
        <c:lblAlgn val="ctr"/>
        <c:lblOffset val="100"/>
        <c:noMultiLvlLbl val="0"/>
      </c:catAx>
      <c:valAx>
        <c:axId val="489686984"/>
        <c:scaling>
          <c:orientation val="minMax"/>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68673353129894144"/>
          <c:y val="1.053786525174431E-2"/>
          <c:w val="0.28606320775664273"/>
          <c:h val="0.98946213474825573"/>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24577545784296E-2"/>
          <c:y val="6.4556399476614096E-2"/>
          <c:w val="0.59026627339981186"/>
          <c:h val="0.85748137319626516"/>
        </c:manualLayout>
      </c:layout>
      <c:barChart>
        <c:barDir val="col"/>
        <c:grouping val="stacked"/>
        <c:varyColors val="0"/>
        <c:ser>
          <c:idx val="0"/>
          <c:order val="0"/>
          <c:tx>
            <c:strRef>
              <c:f>'Graf 8'!$C$6</c:f>
              <c:strCache>
                <c:ptCount val="1"/>
                <c:pt idx="0">
                  <c:v>markoekonomické ukazovatele</c:v>
                </c:pt>
              </c:strCache>
            </c:strRef>
          </c:tx>
          <c:spPr>
            <a:solidFill>
              <a:srgbClr val="1F497D"/>
            </a:solidFill>
          </c:spPr>
          <c:invertIfNegative val="0"/>
          <c:dLbls>
            <c:spPr>
              <a:noFill/>
              <a:ln>
                <a:noFill/>
              </a:ln>
              <a:effectLst/>
            </c:spPr>
            <c:txPr>
              <a:bodyPr/>
              <a:lstStyle/>
              <a:p>
                <a:pPr>
                  <a:defRPr>
                    <a:solidFill>
                      <a:schemeClr val="bg1"/>
                    </a:solidFil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8'!$D$5</c:f>
              <c:numCache>
                <c:formatCode>General</c:formatCode>
                <c:ptCount val="1"/>
                <c:pt idx="0">
                  <c:v>2024</c:v>
                </c:pt>
              </c:numCache>
            </c:numRef>
          </c:cat>
          <c:val>
            <c:numRef>
              <c:f>'Graf 8'!$D$6</c:f>
              <c:numCache>
                <c:formatCode>0.0</c:formatCode>
                <c:ptCount val="1"/>
                <c:pt idx="0">
                  <c:v>5.5451060975366575</c:v>
                </c:pt>
              </c:numCache>
            </c:numRef>
          </c:val>
          <c:extLst>
            <c:ext xmlns:c16="http://schemas.microsoft.com/office/drawing/2014/chart" uri="{C3380CC4-5D6E-409C-BE32-E72D297353CC}">
              <c16:uniqueId val="{00000000-6D2C-4488-A9AA-8270E80ECDF2}"/>
            </c:ext>
          </c:extLst>
        </c:ser>
        <c:ser>
          <c:idx val="1"/>
          <c:order val="1"/>
          <c:tx>
            <c:strRef>
              <c:f>'Graf 8'!$C$7</c:f>
              <c:strCache>
                <c:ptCount val="1"/>
                <c:pt idx="0">
                  <c:v>efektívna daňová sadzba</c:v>
                </c:pt>
              </c:strCache>
            </c:strRef>
          </c:tx>
          <c:spPr>
            <a:solidFill>
              <a:srgbClr val="5B9BD5"/>
            </a:solidFill>
          </c:spPr>
          <c:invertIfNegative val="0"/>
          <c:cat>
            <c:numRef>
              <c:f>'Graf 8'!$D$5</c:f>
              <c:numCache>
                <c:formatCode>General</c:formatCode>
                <c:ptCount val="1"/>
                <c:pt idx="0">
                  <c:v>2024</c:v>
                </c:pt>
              </c:numCache>
            </c:numRef>
          </c:cat>
          <c:val>
            <c:numRef>
              <c:f>'Graf 8'!$D$7</c:f>
              <c:numCache>
                <c:formatCode>0.0</c:formatCode>
                <c:ptCount val="1"/>
                <c:pt idx="0">
                  <c:v>-0.76742568782876741</c:v>
                </c:pt>
              </c:numCache>
            </c:numRef>
          </c:val>
          <c:extLst>
            <c:ext xmlns:c16="http://schemas.microsoft.com/office/drawing/2014/chart" uri="{C3380CC4-5D6E-409C-BE32-E72D297353CC}">
              <c16:uniqueId val="{00000001-6D2C-4488-A9AA-8270E80ECDF2}"/>
            </c:ext>
          </c:extLst>
        </c:ser>
        <c:ser>
          <c:idx val="8"/>
          <c:order val="2"/>
          <c:tx>
            <c:strRef>
              <c:f>'Graf 8'!$C$8</c:f>
              <c:strCache>
                <c:ptCount val="1"/>
                <c:pt idx="0">
                  <c:v>legislatíva</c:v>
                </c:pt>
              </c:strCache>
            </c:strRef>
          </c:tx>
          <c:spPr>
            <a:solidFill>
              <a:sysClr val="window" lastClr="FFFFFF">
                <a:lumMod val="50000"/>
              </a:sysClr>
            </a:solidFill>
          </c:spPr>
          <c:invertIfNegative val="0"/>
          <c:dLbls>
            <c:dLbl>
              <c:idx val="0"/>
              <c:layout>
                <c:manualLayout>
                  <c:x val="0"/>
                  <c:y val="4.9211511463763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2C-4488-A9AA-8270E80ECDF2}"/>
                </c:ext>
              </c:extLst>
            </c:dLbl>
            <c:spPr>
              <a:noFill/>
              <a:ln>
                <a:noFill/>
              </a:ln>
              <a:effectLst/>
            </c:spPr>
            <c:txPr>
              <a:bodyPr/>
              <a:lstStyle/>
              <a:p>
                <a:pPr>
                  <a:defRPr>
                    <a:solidFill>
                      <a:schemeClr val="bg1"/>
                    </a:solidFil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8'!$D$5</c:f>
              <c:numCache>
                <c:formatCode>General</c:formatCode>
                <c:ptCount val="1"/>
                <c:pt idx="0">
                  <c:v>2024</c:v>
                </c:pt>
              </c:numCache>
            </c:numRef>
          </c:cat>
          <c:val>
            <c:numRef>
              <c:f>'Graf 8'!$D$8</c:f>
              <c:numCache>
                <c:formatCode>0.0</c:formatCode>
                <c:ptCount val="1"/>
                <c:pt idx="0">
                  <c:v>3.103181780635468</c:v>
                </c:pt>
              </c:numCache>
            </c:numRef>
          </c:val>
          <c:extLst>
            <c:ext xmlns:c16="http://schemas.microsoft.com/office/drawing/2014/chart" uri="{C3380CC4-5D6E-409C-BE32-E72D297353CC}">
              <c16:uniqueId val="{00000003-6D2C-4488-A9AA-8270E80ECDF2}"/>
            </c:ext>
          </c:extLst>
        </c:ser>
        <c:ser>
          <c:idx val="3"/>
          <c:order val="3"/>
          <c:tx>
            <c:strRef>
              <c:f>'Graf 8'!$C$9</c:f>
              <c:strCache>
                <c:ptCount val="1"/>
                <c:pt idx="0">
                  <c:v>jednorazové faktory</c:v>
                </c:pt>
              </c:strCache>
            </c:strRef>
          </c:tx>
          <c:spPr>
            <a:solidFill>
              <a:srgbClr val="2C9ADC">
                <a:lumMod val="20000"/>
                <a:lumOff val="80000"/>
              </a:srgbClr>
            </a:solidFill>
          </c:spPr>
          <c:invertIfNegative val="0"/>
          <c:cat>
            <c:numRef>
              <c:f>'Graf 8'!$D$5</c:f>
              <c:numCache>
                <c:formatCode>General</c:formatCode>
                <c:ptCount val="1"/>
                <c:pt idx="0">
                  <c:v>2024</c:v>
                </c:pt>
              </c:numCache>
            </c:numRef>
          </c:cat>
          <c:val>
            <c:numRef>
              <c:f>'Graf 8'!$D$9</c:f>
              <c:numCache>
                <c:formatCode>0.0</c:formatCode>
                <c:ptCount val="1"/>
                <c:pt idx="0">
                  <c:v>-1.9029873503549132E-2</c:v>
                </c:pt>
              </c:numCache>
            </c:numRef>
          </c:val>
          <c:extLst>
            <c:ext xmlns:c16="http://schemas.microsoft.com/office/drawing/2014/chart" uri="{C3380CC4-5D6E-409C-BE32-E72D297353CC}">
              <c16:uniqueId val="{00000004-6D2C-4488-A9AA-8270E80ECDF2}"/>
            </c:ext>
          </c:extLst>
        </c:ser>
        <c:ser>
          <c:idx val="6"/>
          <c:order val="4"/>
          <c:tx>
            <c:strRef>
              <c:f>'Graf 8'!$C$10</c:f>
              <c:strCache>
                <c:ptCount val="1"/>
                <c:pt idx="0">
                  <c:v>ostatné faktory</c:v>
                </c:pt>
              </c:strCache>
            </c:strRef>
          </c:tx>
          <c:spPr>
            <a:solidFill>
              <a:sysClr val="windowText" lastClr="000000">
                <a:lumMod val="65000"/>
                <a:lumOff val="35000"/>
              </a:sysClr>
            </a:solidFill>
          </c:spPr>
          <c:invertIfNegative val="0"/>
          <c:val>
            <c:numRef>
              <c:f>'Graf 8'!$D$10</c:f>
              <c:numCache>
                <c:formatCode>0.0</c:formatCode>
                <c:ptCount val="1"/>
                <c:pt idx="0">
                  <c:v>-0.65878921363983389</c:v>
                </c:pt>
              </c:numCache>
            </c:numRef>
          </c:val>
          <c:extLst>
            <c:ext xmlns:c16="http://schemas.microsoft.com/office/drawing/2014/chart" uri="{C3380CC4-5D6E-409C-BE32-E72D297353CC}">
              <c16:uniqueId val="{00000005-6D2C-4488-A9AA-8270E80ECDF2}"/>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2"/>
          <c:order val="5"/>
          <c:tx>
            <c:strRef>
              <c:f>'Graf 8'!$C$11</c:f>
              <c:strCache>
                <c:ptCount val="1"/>
                <c:pt idx="0">
                  <c:v>Spolu</c:v>
                </c:pt>
              </c:strCache>
            </c:strRef>
          </c:tx>
          <c:spPr>
            <a:ln>
              <a:noFill/>
            </a:ln>
          </c:spPr>
          <c:marker>
            <c:symbol val="circle"/>
            <c:size val="5"/>
            <c:spPr>
              <a:solidFill>
                <a:sysClr val="windowText" lastClr="000000"/>
              </a:solidFill>
              <a:ln>
                <a:solidFill>
                  <a:sysClr val="windowText" lastClr="000000"/>
                </a:solidFill>
              </a:ln>
            </c:spPr>
          </c:marker>
          <c:dLbls>
            <c:dLbl>
              <c:idx val="0"/>
              <c:layout>
                <c:manualLayout>
                  <c:x val="-4.7970869489211858E-2"/>
                  <c:y val="-0.163210111158465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2C-4488-A9AA-8270E80ECDF2}"/>
                </c:ext>
              </c:extLst>
            </c:dLbl>
            <c:spPr>
              <a:noFill/>
              <a:ln>
                <a:noFill/>
              </a:ln>
              <a:effectLst/>
            </c:spPr>
            <c:txPr>
              <a:bodyPr/>
              <a:lstStyle/>
              <a:p>
                <a:pPr>
                  <a:defRPr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8'!$D$5</c:f>
              <c:numCache>
                <c:formatCode>General</c:formatCode>
                <c:ptCount val="1"/>
                <c:pt idx="0">
                  <c:v>2024</c:v>
                </c:pt>
              </c:numCache>
            </c:numRef>
          </c:cat>
          <c:val>
            <c:numRef>
              <c:f>'Graf 8'!$D$11</c:f>
              <c:numCache>
                <c:formatCode>0.0</c:formatCode>
                <c:ptCount val="1"/>
                <c:pt idx="0">
                  <c:v>7.203043103199974</c:v>
                </c:pt>
              </c:numCache>
            </c:numRef>
          </c:val>
          <c:smooth val="0"/>
          <c:extLst>
            <c:ext xmlns:c16="http://schemas.microsoft.com/office/drawing/2014/chart" uri="{C3380CC4-5D6E-409C-BE32-E72D297353CC}">
              <c16:uniqueId val="{00000007-6D2C-4488-A9AA-8270E80ECDF2}"/>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spPr>
          <a:ln w="12700">
            <a:solidFill>
              <a:srgbClr val="686767"/>
            </a:solidFill>
          </a:ln>
        </c:spPr>
        <c:crossAx val="489686984"/>
        <c:crosses val="autoZero"/>
        <c:auto val="1"/>
        <c:lblAlgn val="ctr"/>
        <c:lblOffset val="100"/>
        <c:noMultiLvlLbl val="0"/>
      </c:catAx>
      <c:valAx>
        <c:axId val="489686984"/>
        <c:scaling>
          <c:orientation val="minMax"/>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68842590354051747"/>
          <c:y val="3.7157389487804712E-2"/>
          <c:w val="0.28606320775664273"/>
          <c:h val="0.90360588631675864"/>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24577545784296E-2"/>
          <c:y val="6.4556399476614096E-2"/>
          <c:w val="0.5704603242922609"/>
          <c:h val="0.85748137319626516"/>
        </c:manualLayout>
      </c:layout>
      <c:barChart>
        <c:barDir val="col"/>
        <c:grouping val="stacked"/>
        <c:varyColors val="0"/>
        <c:ser>
          <c:idx val="0"/>
          <c:order val="0"/>
          <c:tx>
            <c:strRef>
              <c:f>'Graf 9'!$C$6</c:f>
              <c:strCache>
                <c:ptCount val="1"/>
                <c:pt idx="0">
                  <c:v>makroekonomické ukazovatele</c:v>
                </c:pt>
              </c:strCache>
            </c:strRef>
          </c:tx>
          <c:spPr>
            <a:solidFill>
              <a:srgbClr val="1F497D"/>
            </a:solidFill>
          </c:spPr>
          <c:invertIfNegative val="0"/>
          <c:dLbls>
            <c:dLbl>
              <c:idx val="1"/>
              <c:layout>
                <c:manualLayout>
                  <c:x val="-3.4389323243391563E-2"/>
                  <c:y val="2.410167185896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F2-45F0-9937-3AB8F7F13901}"/>
                </c:ext>
              </c:extLst>
            </c:dLbl>
            <c:spPr>
              <a:noFill/>
              <a:ln>
                <a:noFill/>
              </a:ln>
              <a:effectLst/>
            </c:spPr>
            <c:txPr>
              <a:bodyPr/>
              <a:lstStyle/>
              <a:p>
                <a:pPr>
                  <a:defRPr>
                    <a:solidFill>
                      <a:schemeClr val="bg1"/>
                    </a:solidFil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9'!$D$5:$E$5</c:f>
              <c:numCache>
                <c:formatCode>General</c:formatCode>
                <c:ptCount val="2"/>
                <c:pt idx="0">
                  <c:v>2023</c:v>
                </c:pt>
                <c:pt idx="1">
                  <c:v>2024</c:v>
                </c:pt>
              </c:numCache>
            </c:numRef>
          </c:cat>
          <c:val>
            <c:numRef>
              <c:f>'Graf 9'!$D$6:$E$6</c:f>
              <c:numCache>
                <c:formatCode>0.0</c:formatCode>
                <c:ptCount val="2"/>
                <c:pt idx="0">
                  <c:v>9.3983250729246492</c:v>
                </c:pt>
                <c:pt idx="1">
                  <c:v>3.7430260083985805</c:v>
                </c:pt>
              </c:numCache>
            </c:numRef>
          </c:val>
          <c:extLst>
            <c:ext xmlns:c16="http://schemas.microsoft.com/office/drawing/2014/chart" uri="{C3380CC4-5D6E-409C-BE32-E72D297353CC}">
              <c16:uniqueId val="{00000001-62F2-45F0-9937-3AB8F7F13901}"/>
            </c:ext>
          </c:extLst>
        </c:ser>
        <c:ser>
          <c:idx val="1"/>
          <c:order val="1"/>
          <c:tx>
            <c:strRef>
              <c:f>'Graf 9'!$C$7</c:f>
              <c:strCache>
                <c:ptCount val="1"/>
                <c:pt idx="0">
                  <c:v>efektívna daňová sadzba</c:v>
                </c:pt>
              </c:strCache>
            </c:strRef>
          </c:tx>
          <c:spPr>
            <a:solidFill>
              <a:srgbClr val="5B9BD5"/>
            </a:solidFill>
          </c:spPr>
          <c:invertIfNegative val="0"/>
          <c:cat>
            <c:numRef>
              <c:f>'Graf 9'!$D$5:$E$5</c:f>
              <c:numCache>
                <c:formatCode>General</c:formatCode>
                <c:ptCount val="2"/>
                <c:pt idx="0">
                  <c:v>2023</c:v>
                </c:pt>
                <c:pt idx="1">
                  <c:v>2024</c:v>
                </c:pt>
              </c:numCache>
            </c:numRef>
          </c:cat>
          <c:val>
            <c:numRef>
              <c:f>'Graf 9'!$D$7:$E$7</c:f>
              <c:numCache>
                <c:formatCode>0.0</c:formatCode>
                <c:ptCount val="2"/>
                <c:pt idx="0">
                  <c:v>-0.38348418123309835</c:v>
                </c:pt>
                <c:pt idx="1">
                  <c:v>-0.46953478506314478</c:v>
                </c:pt>
              </c:numCache>
            </c:numRef>
          </c:val>
          <c:extLst>
            <c:ext xmlns:c16="http://schemas.microsoft.com/office/drawing/2014/chart" uri="{C3380CC4-5D6E-409C-BE32-E72D297353CC}">
              <c16:uniqueId val="{00000002-62F2-45F0-9937-3AB8F7F13901}"/>
            </c:ext>
          </c:extLst>
        </c:ser>
        <c:ser>
          <c:idx val="8"/>
          <c:order val="2"/>
          <c:tx>
            <c:strRef>
              <c:f>'Graf 9'!$C$8</c:f>
              <c:strCache>
                <c:ptCount val="1"/>
                <c:pt idx="0">
                  <c:v>legislatíva</c:v>
                </c:pt>
              </c:strCache>
            </c:strRef>
          </c:tx>
          <c:spPr>
            <a:solidFill>
              <a:sysClr val="window" lastClr="FFFFFF">
                <a:lumMod val="50000"/>
              </a:sysClr>
            </a:solidFill>
          </c:spPr>
          <c:invertIfNegative val="0"/>
          <c:cat>
            <c:numRef>
              <c:f>'Graf 9'!$D$5:$E$5</c:f>
              <c:numCache>
                <c:formatCode>General</c:formatCode>
                <c:ptCount val="2"/>
                <c:pt idx="0">
                  <c:v>2023</c:v>
                </c:pt>
                <c:pt idx="1">
                  <c:v>2024</c:v>
                </c:pt>
              </c:numCache>
            </c:numRef>
          </c:cat>
          <c:val>
            <c:numRef>
              <c:f>'Graf 9'!$D$8:$E$8</c:f>
              <c:numCache>
                <c:formatCode>0.0</c:formatCode>
                <c:ptCount val="2"/>
                <c:pt idx="0">
                  <c:v>-1.6950131346410897</c:v>
                </c:pt>
                <c:pt idx="1">
                  <c:v>0.5513398369601038</c:v>
                </c:pt>
              </c:numCache>
            </c:numRef>
          </c:val>
          <c:extLst>
            <c:ext xmlns:c16="http://schemas.microsoft.com/office/drawing/2014/chart" uri="{C3380CC4-5D6E-409C-BE32-E72D297353CC}">
              <c16:uniqueId val="{00000003-62F2-45F0-9937-3AB8F7F13901}"/>
            </c:ext>
          </c:extLst>
        </c:ser>
        <c:ser>
          <c:idx val="3"/>
          <c:order val="3"/>
          <c:tx>
            <c:strRef>
              <c:f>'Graf 9'!$C$9</c:f>
              <c:strCache>
                <c:ptCount val="1"/>
                <c:pt idx="0">
                  <c:v>jednorazové faktory</c:v>
                </c:pt>
              </c:strCache>
            </c:strRef>
          </c:tx>
          <c:spPr>
            <a:solidFill>
              <a:srgbClr val="2C9ADC">
                <a:lumMod val="20000"/>
                <a:lumOff val="80000"/>
              </a:srgbClr>
            </a:solidFill>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62F2-45F0-9937-3AB8F7F1390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9'!$D$5:$E$5</c:f>
              <c:numCache>
                <c:formatCode>General</c:formatCode>
                <c:ptCount val="2"/>
                <c:pt idx="0">
                  <c:v>2023</c:v>
                </c:pt>
                <c:pt idx="1">
                  <c:v>2024</c:v>
                </c:pt>
              </c:numCache>
            </c:numRef>
          </c:cat>
          <c:val>
            <c:numRef>
              <c:f>'Graf 9'!$D$9:$E$9</c:f>
              <c:numCache>
                <c:formatCode>0.0</c:formatCode>
                <c:ptCount val="2"/>
                <c:pt idx="0">
                  <c:v>5.4489097567411733</c:v>
                </c:pt>
                <c:pt idx="1">
                  <c:v>-1.4995453853225541E-2</c:v>
                </c:pt>
              </c:numCache>
            </c:numRef>
          </c:val>
          <c:extLst>
            <c:ext xmlns:c16="http://schemas.microsoft.com/office/drawing/2014/chart" uri="{C3380CC4-5D6E-409C-BE32-E72D297353CC}">
              <c16:uniqueId val="{00000005-62F2-45F0-9937-3AB8F7F13901}"/>
            </c:ext>
          </c:extLst>
        </c:ser>
        <c:ser>
          <c:idx val="6"/>
          <c:order val="4"/>
          <c:tx>
            <c:strRef>
              <c:f>'Graf 9'!$C$10</c:f>
              <c:strCache>
                <c:ptCount val="1"/>
                <c:pt idx="0">
                  <c:v>ostatné faktory</c:v>
                </c:pt>
              </c:strCache>
            </c:strRef>
          </c:tx>
          <c:spPr>
            <a:solidFill>
              <a:sysClr val="windowText" lastClr="000000">
                <a:lumMod val="65000"/>
                <a:lumOff val="35000"/>
              </a:sysClr>
            </a:solidFill>
          </c:spPr>
          <c:invertIfNegative val="0"/>
          <c:dLbls>
            <c:dLbl>
              <c:idx val="0"/>
              <c:layout>
                <c:manualLayout>
                  <c:x val="-2.9804080144272709E-2"/>
                  <c:y val="1.4461003115378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F2-45F0-9937-3AB8F7F13901}"/>
                </c:ext>
              </c:extLst>
            </c:dLbl>
            <c:spPr>
              <a:noFill/>
              <a:ln>
                <a:noFill/>
              </a:ln>
              <a:effectLst/>
            </c:spPr>
            <c:txPr>
              <a:bodyPr/>
              <a:lstStyle/>
              <a:p>
                <a:pPr>
                  <a:defRPr>
                    <a:solidFill>
                      <a:schemeClr val="bg1"/>
                    </a:solidFill>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9'!$D$5:$E$5</c:f>
              <c:numCache>
                <c:formatCode>General</c:formatCode>
                <c:ptCount val="2"/>
                <c:pt idx="0">
                  <c:v>2023</c:v>
                </c:pt>
                <c:pt idx="1">
                  <c:v>2024</c:v>
                </c:pt>
              </c:numCache>
            </c:numRef>
          </c:cat>
          <c:val>
            <c:numRef>
              <c:f>'Graf 9'!$D$10:$E$10</c:f>
              <c:numCache>
                <c:formatCode>0.0</c:formatCode>
                <c:ptCount val="2"/>
                <c:pt idx="0">
                  <c:v>3.3306060196315581</c:v>
                </c:pt>
                <c:pt idx="1">
                  <c:v>-2.155892436690177</c:v>
                </c:pt>
              </c:numCache>
            </c:numRef>
          </c:val>
          <c:extLst>
            <c:ext xmlns:c16="http://schemas.microsoft.com/office/drawing/2014/chart" uri="{C3380CC4-5D6E-409C-BE32-E72D297353CC}">
              <c16:uniqueId val="{00000007-62F2-45F0-9937-3AB8F7F13901}"/>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2"/>
          <c:order val="5"/>
          <c:tx>
            <c:strRef>
              <c:f>'Graf 9'!$C$11</c:f>
              <c:strCache>
                <c:ptCount val="1"/>
                <c:pt idx="0">
                  <c:v>Spolu</c:v>
                </c:pt>
              </c:strCache>
            </c:strRef>
          </c:tx>
          <c:spPr>
            <a:ln>
              <a:noFill/>
            </a:ln>
          </c:spPr>
          <c:marker>
            <c:symbol val="circle"/>
            <c:size val="5"/>
            <c:spPr>
              <a:solidFill>
                <a:sysClr val="windowText" lastClr="000000"/>
              </a:solidFill>
              <a:ln>
                <a:solidFill>
                  <a:sysClr val="windowText" lastClr="000000"/>
                </a:solidFill>
              </a:ln>
            </c:spPr>
          </c:marker>
          <c:dLbls>
            <c:dLbl>
              <c:idx val="0"/>
              <c:layout>
                <c:manualLayout>
                  <c:x val="-5.8809168146586176E-2"/>
                  <c:y val="-0.1029417159783413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2F2-45F0-9937-3AB8F7F13901}"/>
                </c:ext>
              </c:extLst>
            </c:dLbl>
            <c:dLbl>
              <c:idx val="1"/>
              <c:layout>
                <c:manualLayout>
                  <c:x val="-5.4215690884298624E-2"/>
                  <c:y val="-0.1405848104189737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F2-45F0-9937-3AB8F7F13901}"/>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9'!$D$5:$E$5</c:f>
              <c:numCache>
                <c:formatCode>General</c:formatCode>
                <c:ptCount val="2"/>
                <c:pt idx="0">
                  <c:v>2023</c:v>
                </c:pt>
                <c:pt idx="1">
                  <c:v>2024</c:v>
                </c:pt>
              </c:numCache>
            </c:numRef>
          </c:cat>
          <c:val>
            <c:numRef>
              <c:f>'Graf 9'!$D$11:$E$11</c:f>
              <c:numCache>
                <c:formatCode>0.0</c:formatCode>
                <c:ptCount val="2"/>
                <c:pt idx="0">
                  <c:v>16.099343533423195</c:v>
                </c:pt>
                <c:pt idx="1">
                  <c:v>1.6539431697521367</c:v>
                </c:pt>
              </c:numCache>
            </c:numRef>
          </c:val>
          <c:smooth val="0"/>
          <c:extLst>
            <c:ext xmlns:c16="http://schemas.microsoft.com/office/drawing/2014/chart" uri="{C3380CC4-5D6E-409C-BE32-E72D297353CC}">
              <c16:uniqueId val="{0000000A-62F2-45F0-9937-3AB8F7F13901}"/>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spPr>
          <a:ln w="12700">
            <a:solidFill>
              <a:srgbClr val="686767"/>
            </a:solidFill>
          </a:ln>
        </c:spPr>
        <c:crossAx val="489686984"/>
        <c:crosses val="autoZero"/>
        <c:auto val="1"/>
        <c:lblAlgn val="ctr"/>
        <c:lblOffset val="100"/>
        <c:noMultiLvlLbl val="0"/>
      </c:catAx>
      <c:valAx>
        <c:axId val="489686984"/>
        <c:scaling>
          <c:orientation val="minMax"/>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66835962224979117"/>
          <c:y val="1.053786525174431E-2"/>
          <c:w val="0.28606320775664273"/>
          <c:h val="0.90360588631675864"/>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'PS 2024'!$AH$35</c:f>
              <c:strCache>
                <c:ptCount val="1"/>
                <c:pt idx="0">
                  <c:v>Rozpočtové ciele vlády</c:v>
                </c:pt>
              </c:strCache>
            </c:strRef>
          </c:tx>
          <c:spPr>
            <a:solidFill>
              <a:srgbClr val="4472C4">
                <a:lumMod val="50000"/>
              </a:srgb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sk-SK"/>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'PS 2024'!$AJ$32:$AM$32</c:f>
              <c:numCache>
                <c:formatCode>General</c:formatCode>
                <c:ptCount val="4"/>
                <c:pt idx="0">
                  <c:v>2024</c:v>
                </c:pt>
                <c:pt idx="1">
                  <c:v>2025</c:v>
                </c:pt>
                <c:pt idx="2">
                  <c:v>2026</c:v>
                </c:pt>
                <c:pt idx="3">
                  <c:v>2027</c:v>
                </c:pt>
              </c:numCache>
            </c:numRef>
          </c:cat>
          <c:val>
            <c:numRef>
              <c:f>'PS 2024'!$AJ$35:$AM$35</c:f>
              <c:numCache>
                <c:formatCode>0.0%</c:formatCode>
                <c:ptCount val="4"/>
                <c:pt idx="0">
                  <c:v>4.853283768824368E-2</c:v>
                </c:pt>
                <c:pt idx="1">
                  <c:v>2.0196137126042846E-2</c:v>
                </c:pt>
                <c:pt idx="2">
                  <c:v>-1.2020845315799944E-3</c:v>
                </c:pt>
                <c:pt idx="3">
                  <c:v>-6.624327244242334E-4</c:v>
                </c:pt>
              </c:numCache>
            </c:numRef>
          </c:val>
          <c:extLst>
            <c:ext xmlns:c16="http://schemas.microsoft.com/office/drawing/2014/chart" uri="{C3380CC4-5D6E-409C-BE32-E72D297353CC}">
              <c16:uniqueId val="{00000000-6616-4F41-9CF2-229539626CF1}"/>
            </c:ext>
          </c:extLst>
        </c:ser>
        <c:dLbls>
          <c:showLegendKey val="0"/>
          <c:showVal val="0"/>
          <c:showCatName val="0"/>
          <c:showSerName val="0"/>
          <c:showPercent val="0"/>
          <c:showBubbleSize val="0"/>
        </c:dLbls>
        <c:gapWidth val="100"/>
        <c:overlap val="-27"/>
        <c:axId val="1161115743"/>
        <c:axId val="439253791"/>
      </c:barChart>
      <c:lineChart>
        <c:grouping val="standard"/>
        <c:varyColors val="0"/>
        <c:ser>
          <c:idx val="1"/>
          <c:order val="1"/>
          <c:tx>
            <c:strRef>
              <c:f>'PS 2024'!$AH$33</c:f>
              <c:strCache>
                <c:ptCount val="1"/>
                <c:pt idx="0">
                  <c:v>Výdavkové pravidlo (7-ročná konsolidácia)</c:v>
                </c:pt>
              </c:strCache>
            </c:strRef>
          </c:tx>
          <c:spPr>
            <a:ln w="25400" cap="rnd">
              <a:noFill/>
              <a:round/>
            </a:ln>
            <a:effectLst/>
          </c:spPr>
          <c:marker>
            <c:symbol val="diamond"/>
            <c:size val="7"/>
            <c:spPr>
              <a:solidFill>
                <a:sysClr val="windowText" lastClr="000000"/>
              </a:solidFill>
              <a:ln w="9525">
                <a:no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6616-4F41-9CF2-229539626CF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'PS 2024'!$G$3:$J$3</c:f>
              <c:numCache>
                <c:formatCode>General</c:formatCode>
                <c:ptCount val="4"/>
                <c:pt idx="0">
                  <c:v>2024</c:v>
                </c:pt>
                <c:pt idx="1">
                  <c:v>2025</c:v>
                </c:pt>
                <c:pt idx="2">
                  <c:v>2026</c:v>
                </c:pt>
                <c:pt idx="3">
                  <c:v>2027</c:v>
                </c:pt>
              </c:numCache>
            </c:numRef>
          </c:cat>
          <c:val>
            <c:numRef>
              <c:f>'PS 2024'!$AJ$33:$AM$33</c:f>
              <c:numCache>
                <c:formatCode>0.0%</c:formatCode>
                <c:ptCount val="4"/>
                <c:pt idx="1">
                  <c:v>2.9583757182432086E-2</c:v>
                </c:pt>
                <c:pt idx="2">
                  <c:v>2.2969953432432084E-2</c:v>
                </c:pt>
                <c:pt idx="3">
                  <c:v>2.1630689682432088E-2</c:v>
                </c:pt>
              </c:numCache>
            </c:numRef>
          </c:val>
          <c:smooth val="0"/>
          <c:extLst>
            <c:ext xmlns:c16="http://schemas.microsoft.com/office/drawing/2014/chart" uri="{C3380CC4-5D6E-409C-BE32-E72D297353CC}">
              <c16:uniqueId val="{00000002-6616-4F41-9CF2-229539626CF1}"/>
            </c:ext>
          </c:extLst>
        </c:ser>
        <c:ser>
          <c:idx val="2"/>
          <c:order val="2"/>
          <c:tx>
            <c:strRef>
              <c:f>'PS 2024'!$AH$34</c:f>
              <c:strCache>
                <c:ptCount val="1"/>
                <c:pt idx="0">
                  <c:v>Výdavkové pravidlo (4-ročná konsolidácia)</c:v>
                </c:pt>
              </c:strCache>
            </c:strRef>
          </c:tx>
          <c:spPr>
            <a:ln w="25400" cap="rnd">
              <a:noFill/>
              <a:round/>
            </a:ln>
            <a:effectLst/>
          </c:spPr>
          <c:marker>
            <c:symbol val="circle"/>
            <c:size val="5"/>
            <c:spPr>
              <a:solidFill>
                <a:sysClr val="windowText" lastClr="000000">
                  <a:lumMod val="50000"/>
                  <a:lumOff val="50000"/>
                </a:sysClr>
              </a:solidFill>
              <a:ln w="9525">
                <a:noFill/>
              </a:ln>
              <a:effectLst/>
            </c:spPr>
          </c:marker>
          <c:dLbls>
            <c:dLbl>
              <c:idx val="1"/>
              <c:layout>
                <c:manualLayout>
                  <c:x val="-1.1111111111111162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16-4F41-9CF2-229539626CF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lumMod val="50000"/>
                      </a:schemeClr>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'PS 2024'!$AJ$34:$AM$34</c:f>
              <c:numCache>
                <c:formatCode>0.0%</c:formatCode>
                <c:ptCount val="4"/>
                <c:pt idx="1">
                  <c:v>1.8351813057213579E-2</c:v>
                </c:pt>
                <c:pt idx="2">
                  <c:v>1.1738009307213576E-2</c:v>
                </c:pt>
                <c:pt idx="3">
                  <c:v>1.039874555721358E-2</c:v>
                </c:pt>
              </c:numCache>
            </c:numRef>
          </c:val>
          <c:smooth val="0"/>
          <c:extLst>
            <c:ext xmlns:c16="http://schemas.microsoft.com/office/drawing/2014/chart" uri="{C3380CC4-5D6E-409C-BE32-E72D297353CC}">
              <c16:uniqueId val="{00000004-6616-4F41-9CF2-229539626CF1}"/>
            </c:ext>
          </c:extLst>
        </c:ser>
        <c:ser>
          <c:idx val="3"/>
          <c:order val="3"/>
          <c:tx>
            <c:strRef>
              <c:f>'PS 2024'!$AH$36</c:f>
              <c:strCache>
                <c:ptCount val="1"/>
                <c:pt idx="0">
                  <c:v>CSR 2024</c:v>
                </c:pt>
              </c:strCache>
            </c:strRef>
          </c:tx>
          <c:spPr>
            <a:ln w="25400" cap="rnd">
              <a:noFill/>
              <a:round/>
            </a:ln>
            <a:effectLst/>
          </c:spPr>
          <c:marker>
            <c:symbol val="circle"/>
            <c:size val="6"/>
            <c:spPr>
              <a:solidFill>
                <a:srgbClr val="0070C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'PS 2024'!$AJ$36:$AM$36</c:f>
              <c:numCache>
                <c:formatCode>General</c:formatCode>
                <c:ptCount val="4"/>
                <c:pt idx="0" formatCode="0.0%">
                  <c:v>5.7000000000000002E-2</c:v>
                </c:pt>
              </c:numCache>
            </c:numRef>
          </c:val>
          <c:smooth val="0"/>
          <c:extLst>
            <c:ext xmlns:c16="http://schemas.microsoft.com/office/drawing/2014/chart" uri="{C3380CC4-5D6E-409C-BE32-E72D297353CC}">
              <c16:uniqueId val="{00000005-6616-4F41-9CF2-229539626CF1}"/>
            </c:ext>
          </c:extLst>
        </c:ser>
        <c:dLbls>
          <c:showLegendKey val="0"/>
          <c:showVal val="0"/>
          <c:showCatName val="0"/>
          <c:showSerName val="0"/>
          <c:showPercent val="0"/>
          <c:showBubbleSize val="0"/>
        </c:dLbls>
        <c:marker val="1"/>
        <c:smooth val="0"/>
        <c:axId val="1161115743"/>
        <c:axId val="439253791"/>
      </c:lineChart>
      <c:catAx>
        <c:axId val="1161115743"/>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k-SK"/>
          </a:p>
        </c:txPr>
        <c:crossAx val="439253791"/>
        <c:crosses val="autoZero"/>
        <c:auto val="1"/>
        <c:lblAlgn val="ctr"/>
        <c:lblOffset val="100"/>
        <c:noMultiLvlLbl val="0"/>
      </c:catAx>
      <c:valAx>
        <c:axId val="439253791"/>
        <c:scaling>
          <c:orientation val="minMax"/>
          <c:min val="-2.0000000000000004E-2"/>
        </c:scaling>
        <c:delete val="0"/>
        <c:axPos val="l"/>
        <c:majorGridlines>
          <c:spPr>
            <a:ln w="3175" cap="flat" cmpd="sng" algn="ctr">
              <a:solidFill>
                <a:srgbClr val="686767">
                  <a:alpha val="25000"/>
                </a:srgb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k-SK"/>
          </a:p>
        </c:txPr>
        <c:crossAx val="1161115743"/>
        <c:crosses val="autoZero"/>
        <c:crossBetween val="between"/>
      </c:valAx>
      <c:spPr>
        <a:noFill/>
        <a:ln>
          <a:noFill/>
        </a:ln>
        <a:effectLst/>
      </c:spPr>
    </c:plotArea>
    <c:legend>
      <c:legendPos val="b"/>
      <c:layout>
        <c:manualLayout>
          <c:xMode val="edge"/>
          <c:yMode val="edge"/>
          <c:x val="1.9646325459317597E-2"/>
          <c:y val="0.87406751239428404"/>
          <c:w val="0.96348512685914256"/>
          <c:h val="9.815470982793819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latin typeface="Arial Narrow" panose="020B0606020202030204" pitchFamily="34" charset="0"/>
        </a:defRPr>
      </a:pPr>
      <a:endParaRPr lang="sk-SK"/>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192709210695847E-2"/>
          <c:y val="4.2553191489361701E-2"/>
          <c:w val="0.92048254046118716"/>
          <c:h val="0.86525317147856518"/>
        </c:manualLayout>
      </c:layout>
      <c:areaChart>
        <c:grouping val="stacked"/>
        <c:varyColors val="0"/>
        <c:ser>
          <c:idx val="0"/>
          <c:order val="0"/>
          <c:tx>
            <c:v>Čistý dlh VS</c:v>
          </c:tx>
          <c:spPr>
            <a:solidFill>
              <a:srgbClr val="2C9ADC"/>
            </a:solidFill>
            <a:ln w="3175" cap="rnd">
              <a:solidFill>
                <a:sysClr val="window" lastClr="FFFFFF">
                  <a:lumMod val="95000"/>
                </a:sysClr>
              </a:solidFill>
              <a:round/>
            </a:ln>
            <a:effectLst/>
          </c:spPr>
          <c:cat>
            <c:numRef>
              <c:f>'Cisty dlh'!$S$2:$AD$2</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extLst/>
            </c:numRef>
          </c:cat>
          <c:val>
            <c:numRef>
              <c:f>'Cisty dlh'!$S$21:$AD$21</c:f>
              <c:numCache>
                <c:formatCode>#\ ##0.0</c:formatCode>
                <c:ptCount val="12"/>
                <c:pt idx="0">
                  <c:v>46.928444657557399</c:v>
                </c:pt>
                <c:pt idx="1">
                  <c:v>45.741709297628958</c:v>
                </c:pt>
                <c:pt idx="2">
                  <c:v>43.330589179314366</c:v>
                </c:pt>
                <c:pt idx="3">
                  <c:v>43.083368211118753</c:v>
                </c:pt>
                <c:pt idx="4">
                  <c:v>48.876438719372061</c:v>
                </c:pt>
                <c:pt idx="5">
                  <c:v>49.642058834382276</c:v>
                </c:pt>
                <c:pt idx="6">
                  <c:v>47.59613111340574</c:v>
                </c:pt>
                <c:pt idx="7">
                  <c:v>48.509262410321341</c:v>
                </c:pt>
                <c:pt idx="8">
                  <c:v>50.788932646091943</c:v>
                </c:pt>
                <c:pt idx="9">
                  <c:v>54.262037951228507</c:v>
                </c:pt>
                <c:pt idx="10">
                  <c:v>58.20484020817149</c:v>
                </c:pt>
                <c:pt idx="11">
                  <c:v>61.583983305806925</c:v>
                </c:pt>
              </c:numCache>
              <c:extLst/>
            </c:numRef>
          </c:val>
          <c:extLst>
            <c:ext xmlns:c16="http://schemas.microsoft.com/office/drawing/2014/chart" uri="{C3380CC4-5D6E-409C-BE32-E72D297353CC}">
              <c16:uniqueId val="{00000000-A980-49D8-A838-E9D15239079F}"/>
            </c:ext>
          </c:extLst>
        </c:ser>
        <c:ser>
          <c:idx val="1"/>
          <c:order val="1"/>
          <c:tx>
            <c:v>Likvidné finančné aktíva</c:v>
          </c:tx>
          <c:spPr>
            <a:solidFill>
              <a:schemeClr val="accent1">
                <a:lumMod val="40000"/>
                <a:lumOff val="60000"/>
              </a:schemeClr>
            </a:solidFill>
            <a:ln w="25400">
              <a:noFill/>
            </a:ln>
          </c:spPr>
          <c:cat>
            <c:numRef>
              <c:f>'Cisty dlh'!$S$2:$AD$2</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extLst/>
            </c:numRef>
          </c:cat>
          <c:val>
            <c:numRef>
              <c:f>'Cisty dlh'!$S$14:$AD$14</c:f>
              <c:numCache>
                <c:formatCode>#\ ##0.0</c:formatCode>
                <c:ptCount val="12"/>
                <c:pt idx="0">
                  <c:v>5.3464461545574054</c:v>
                </c:pt>
                <c:pt idx="1">
                  <c:v>5.7198618583088301</c:v>
                </c:pt>
                <c:pt idx="2">
                  <c:v>6.0774616498550937</c:v>
                </c:pt>
                <c:pt idx="3">
                  <c:v>4.8947506301352073</c:v>
                </c:pt>
                <c:pt idx="4">
                  <c:v>9.9711409413281391</c:v>
                </c:pt>
                <c:pt idx="5">
                  <c:v>11.446308396206328</c:v>
                </c:pt>
                <c:pt idx="6">
                  <c:v>10.145130531401128</c:v>
                </c:pt>
                <c:pt idx="7">
                  <c:v>7.5354216960863081</c:v>
                </c:pt>
                <c:pt idx="8">
                  <c:v>7.8345244835389991</c:v>
                </c:pt>
                <c:pt idx="9">
                  <c:v>5.5640444831710356</c:v>
                </c:pt>
                <c:pt idx="10">
                  <c:v>5.3870673765408572</c:v>
                </c:pt>
                <c:pt idx="11">
                  <c:v>6.2426652031297793</c:v>
                </c:pt>
              </c:numCache>
              <c:extLst/>
            </c:numRef>
          </c:val>
          <c:extLst>
            <c:ext xmlns:c16="http://schemas.microsoft.com/office/drawing/2014/chart" uri="{C3380CC4-5D6E-409C-BE32-E72D297353CC}">
              <c16:uniqueId val="{00000001-A980-49D8-A838-E9D15239079F}"/>
            </c:ext>
          </c:extLst>
        </c:ser>
        <c:dLbls>
          <c:showLegendKey val="0"/>
          <c:showVal val="0"/>
          <c:showCatName val="0"/>
          <c:showSerName val="0"/>
          <c:showPercent val="0"/>
          <c:showBubbleSize val="0"/>
        </c:dLbls>
        <c:axId val="560515240"/>
        <c:axId val="560515632"/>
      </c:areaChart>
      <c:lineChart>
        <c:grouping val="standard"/>
        <c:varyColors val="0"/>
        <c:ser>
          <c:idx val="2"/>
          <c:order val="2"/>
          <c:tx>
            <c:v>Hrubý dlh VS</c:v>
          </c:tx>
          <c:spPr>
            <a:ln>
              <a:noFill/>
            </a:ln>
          </c:spPr>
          <c:marker>
            <c:symbol val="circle"/>
            <c:size val="4"/>
            <c:spPr>
              <a:solidFill>
                <a:schemeClr val="tx1"/>
              </a:solidFill>
              <a:ln>
                <a:noFill/>
              </a:ln>
            </c:spPr>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dlh'!$S$4:$AD$4</c:f>
              <c:numCache>
                <c:formatCode>#\ ##0.0</c:formatCode>
                <c:ptCount val="12"/>
                <c:pt idx="0">
                  <c:v>52.274890812114805</c:v>
                </c:pt>
                <c:pt idx="1">
                  <c:v>51.46157115593779</c:v>
                </c:pt>
                <c:pt idx="2">
                  <c:v>49.408050829169454</c:v>
                </c:pt>
                <c:pt idx="3">
                  <c:v>47.978118841253959</c:v>
                </c:pt>
                <c:pt idx="4">
                  <c:v>58.847579660700198</c:v>
                </c:pt>
                <c:pt idx="5">
                  <c:v>61.088367230588602</c:v>
                </c:pt>
                <c:pt idx="6">
                  <c:v>57.741261644806862</c:v>
                </c:pt>
                <c:pt idx="7">
                  <c:v>56.044684106407651</c:v>
                </c:pt>
                <c:pt idx="8">
                  <c:v>58.62345712963095</c:v>
                </c:pt>
                <c:pt idx="9">
                  <c:v>59.826082434399538</c:v>
                </c:pt>
                <c:pt idx="10">
                  <c:v>63.591907584712345</c:v>
                </c:pt>
                <c:pt idx="11">
                  <c:v>67.826648508936699</c:v>
                </c:pt>
              </c:numCache>
              <c:extLst/>
            </c:numRef>
          </c:val>
          <c:smooth val="0"/>
          <c:extLst>
            <c:ext xmlns:c16="http://schemas.microsoft.com/office/drawing/2014/chart" uri="{C3380CC4-5D6E-409C-BE32-E72D297353CC}">
              <c16:uniqueId val="{00000002-A980-49D8-A838-E9D15239079F}"/>
            </c:ext>
          </c:extLst>
        </c:ser>
        <c:ser>
          <c:idx val="3"/>
          <c:order val="3"/>
          <c:spPr>
            <a:ln w="28575">
              <a:noFill/>
            </a:ln>
          </c:spPr>
          <c:marker>
            <c:symbol val="diamond"/>
            <c:size val="7"/>
            <c:spPr>
              <a:noFill/>
              <a:ln>
                <a:noFill/>
              </a:ln>
            </c:spPr>
          </c:marker>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dlh'!$S$21:$AD$21</c:f>
              <c:numCache>
                <c:formatCode>#\ ##0.0</c:formatCode>
                <c:ptCount val="12"/>
                <c:pt idx="0">
                  <c:v>46.928444657557399</c:v>
                </c:pt>
                <c:pt idx="1">
                  <c:v>45.741709297628958</c:v>
                </c:pt>
                <c:pt idx="2">
                  <c:v>43.330589179314366</c:v>
                </c:pt>
                <c:pt idx="3">
                  <c:v>43.083368211118753</c:v>
                </c:pt>
                <c:pt idx="4">
                  <c:v>48.876438719372061</c:v>
                </c:pt>
                <c:pt idx="5">
                  <c:v>49.642058834382276</c:v>
                </c:pt>
                <c:pt idx="6">
                  <c:v>47.59613111340574</c:v>
                </c:pt>
                <c:pt idx="7">
                  <c:v>48.509262410321341</c:v>
                </c:pt>
                <c:pt idx="8">
                  <c:v>50.788932646091943</c:v>
                </c:pt>
                <c:pt idx="9">
                  <c:v>54.262037951228507</c:v>
                </c:pt>
                <c:pt idx="10">
                  <c:v>58.20484020817149</c:v>
                </c:pt>
                <c:pt idx="11">
                  <c:v>61.583983305806925</c:v>
                </c:pt>
              </c:numCache>
              <c:extLst/>
            </c:numRef>
          </c:val>
          <c:smooth val="0"/>
          <c:extLst>
            <c:ext xmlns:c16="http://schemas.microsoft.com/office/drawing/2014/chart" uri="{C3380CC4-5D6E-409C-BE32-E72D297353CC}">
              <c16:uniqueId val="{00000003-A980-49D8-A838-E9D15239079F}"/>
            </c:ext>
          </c:extLst>
        </c:ser>
        <c:ser>
          <c:idx val="4"/>
          <c:order val="4"/>
          <c:tx>
            <c:v>Horné sankčné pásmo hrubého dlhu</c:v>
          </c:tx>
          <c:spPr>
            <a:ln w="19050">
              <a:solidFill>
                <a:srgbClr val="FF0000"/>
              </a:solidFill>
              <a:prstDash val="sysDot"/>
            </a:ln>
          </c:spPr>
          <c:marker>
            <c:symbol val="none"/>
          </c:marker>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dlh'!$S$29:$AD$29</c:f>
              <c:numCache>
                <c:formatCode>General</c:formatCode>
                <c:ptCount val="12"/>
                <c:pt idx="0">
                  <c:v>60</c:v>
                </c:pt>
                <c:pt idx="1">
                  <c:v>60</c:v>
                </c:pt>
                <c:pt idx="2">
                  <c:v>59</c:v>
                </c:pt>
                <c:pt idx="3">
                  <c:v>58</c:v>
                </c:pt>
                <c:pt idx="4">
                  <c:v>57</c:v>
                </c:pt>
                <c:pt idx="5">
                  <c:v>56</c:v>
                </c:pt>
                <c:pt idx="6">
                  <c:v>55</c:v>
                </c:pt>
                <c:pt idx="7">
                  <c:v>54</c:v>
                </c:pt>
                <c:pt idx="8">
                  <c:v>53</c:v>
                </c:pt>
                <c:pt idx="9">
                  <c:v>52</c:v>
                </c:pt>
                <c:pt idx="10">
                  <c:v>51</c:v>
                </c:pt>
                <c:pt idx="11">
                  <c:v>50</c:v>
                </c:pt>
              </c:numCache>
              <c:extLst/>
            </c:numRef>
          </c:val>
          <c:smooth val="0"/>
          <c:extLst>
            <c:ext xmlns:c16="http://schemas.microsoft.com/office/drawing/2014/chart" uri="{C3380CC4-5D6E-409C-BE32-E72D297353CC}">
              <c16:uniqueId val="{00000004-A980-49D8-A838-E9D15239079F}"/>
            </c:ext>
          </c:extLst>
        </c:ser>
        <c:ser>
          <c:idx val="6"/>
          <c:order val="8"/>
          <c:spPr>
            <a:ln w="28575">
              <a:noFill/>
            </a:ln>
          </c:spPr>
          <c:marker>
            <c:symbol val="none"/>
          </c:marker>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dlh'!$S$21:$AD$21</c:f>
              <c:numCache>
                <c:formatCode>#\ ##0.0</c:formatCode>
                <c:ptCount val="12"/>
                <c:pt idx="0">
                  <c:v>46.928444657557399</c:v>
                </c:pt>
                <c:pt idx="1">
                  <c:v>45.741709297628958</c:v>
                </c:pt>
                <c:pt idx="2">
                  <c:v>43.330589179314366</c:v>
                </c:pt>
                <c:pt idx="3">
                  <c:v>43.083368211118753</c:v>
                </c:pt>
                <c:pt idx="4">
                  <c:v>48.876438719372061</c:v>
                </c:pt>
                <c:pt idx="5">
                  <c:v>49.642058834382276</c:v>
                </c:pt>
                <c:pt idx="6">
                  <c:v>47.59613111340574</c:v>
                </c:pt>
                <c:pt idx="7">
                  <c:v>48.509262410321341</c:v>
                </c:pt>
                <c:pt idx="8">
                  <c:v>50.788932646091943</c:v>
                </c:pt>
                <c:pt idx="9">
                  <c:v>54.262037951228507</c:v>
                </c:pt>
                <c:pt idx="10">
                  <c:v>58.20484020817149</c:v>
                </c:pt>
                <c:pt idx="11">
                  <c:v>61.583983305806925</c:v>
                </c:pt>
              </c:numCache>
              <c:extLst/>
            </c:numRef>
          </c:val>
          <c:smooth val="0"/>
          <c:extLst>
            <c:ext xmlns:c16="http://schemas.microsoft.com/office/drawing/2014/chart" uri="{C3380CC4-5D6E-409C-BE32-E72D297353CC}">
              <c16:uniqueId val="{00000005-A980-49D8-A838-E9D15239079F}"/>
            </c:ext>
          </c:extLst>
        </c:ser>
        <c:ser>
          <c:idx val="9"/>
          <c:order val="9"/>
          <c:tx>
            <c:strRef>
              <c:f>Dashboard!$P$55</c:f>
              <c:strCache>
                <c:ptCount val="1"/>
                <c:pt idx="0">
                  <c:v>Hrubý dlh v scenári rozpočtových cieľov deficitov</c:v>
                </c:pt>
              </c:strCache>
            </c:strRef>
          </c:tx>
          <c:spPr>
            <a:ln w="19050">
              <a:solidFill>
                <a:srgbClr val="FF0000"/>
              </a:solidFill>
              <a:prstDash val="sysDash"/>
            </a:ln>
          </c:spPr>
          <c:marker>
            <c:symbol val="none"/>
          </c:marker>
          <c:dPt>
            <c:idx val="9"/>
            <c:marker>
              <c:symbol val="circle"/>
              <c:size val="5"/>
              <c:spPr>
                <a:solidFill>
                  <a:srgbClr val="FF0000"/>
                </a:solidFill>
                <a:ln w="19050"/>
              </c:spPr>
            </c:marker>
            <c:bubble3D val="0"/>
            <c:extLst>
              <c:ext xmlns:c16="http://schemas.microsoft.com/office/drawing/2014/chart" uri="{C3380CC4-5D6E-409C-BE32-E72D297353CC}">
                <c16:uniqueId val="{00000006-A980-49D8-A838-E9D15239079F}"/>
              </c:ext>
            </c:extLst>
          </c:dPt>
          <c:dLbls>
            <c:dLbl>
              <c:idx val="8"/>
              <c:delete val="1"/>
              <c:extLst>
                <c:ext xmlns:c15="http://schemas.microsoft.com/office/drawing/2012/chart" uri="{CE6537A1-D6FC-4f65-9D91-7224C49458BB}"/>
                <c:ext xmlns:c16="http://schemas.microsoft.com/office/drawing/2014/chart" uri="{C3380CC4-5D6E-409C-BE32-E72D297353CC}">
                  <c16:uniqueId val="{00000007-A980-49D8-A838-E9D15239079F}"/>
                </c:ext>
              </c:extLst>
            </c:dLbl>
            <c:dLbl>
              <c:idx val="9"/>
              <c:layout>
                <c:manualLayout>
                  <c:x val="-6.4509939006135456E-2"/>
                  <c:y val="4.0610874161563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80-49D8-A838-E9D15239079F}"/>
                </c:ext>
              </c:extLst>
            </c:dLbl>
            <c:dLbl>
              <c:idx val="10"/>
              <c:layout>
                <c:manualLayout>
                  <c:x val="-6.4509939006135622E-2"/>
                  <c:y val="4.0610874161563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80-49D8-A838-E9D15239079F}"/>
                </c:ext>
              </c:extLst>
            </c:dLbl>
            <c:dLbl>
              <c:idx val="11"/>
              <c:layout>
                <c:manualLayout>
                  <c:x val="-1.4097842671177785E-2"/>
                  <c:y val="2.90368000874890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80-49D8-A838-E9D15239079F}"/>
                </c:ext>
              </c:extLst>
            </c:dLbl>
            <c:spPr>
              <a:noFill/>
              <a:ln>
                <a:noFill/>
              </a:ln>
              <a:effectLst/>
            </c:spPr>
            <c:txPr>
              <a:bodyPr/>
              <a:lstStyle/>
              <a:p>
                <a:pPr>
                  <a:defRPr sz="750" b="1">
                    <a:solidFill>
                      <a:srgbClr val="FF0000"/>
                    </a:solidFill>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Dashboard!$AI$55:$AT$55</c:f>
              <c:numCache>
                <c:formatCode>0.0</c:formatCode>
                <c:ptCount val="12"/>
                <c:pt idx="0">
                  <c:v>#N/A</c:v>
                </c:pt>
                <c:pt idx="1">
                  <c:v>#N/A</c:v>
                </c:pt>
                <c:pt idx="2">
                  <c:v>#N/A</c:v>
                </c:pt>
                <c:pt idx="3">
                  <c:v>#N/A</c:v>
                </c:pt>
                <c:pt idx="4">
                  <c:v>#N/A</c:v>
                </c:pt>
                <c:pt idx="5">
                  <c:v>#N/A</c:v>
                </c:pt>
                <c:pt idx="6">
                  <c:v>#N/A</c:v>
                </c:pt>
                <c:pt idx="7">
                  <c:v>#N/A</c:v>
                </c:pt>
                <c:pt idx="8">
                  <c:v>58.463582980082137</c:v>
                </c:pt>
                <c:pt idx="9">
                  <c:v>59.498276219852556</c:v>
                </c:pt>
                <c:pt idx="10">
                  <c:v>61.101303832536345</c:v>
                </c:pt>
                <c:pt idx="11">
                  <c:v>62.265517227563684</c:v>
                </c:pt>
              </c:numCache>
              <c:extLst/>
            </c:numRef>
          </c:val>
          <c:smooth val="0"/>
          <c:extLst>
            <c:ext xmlns:c16="http://schemas.microsoft.com/office/drawing/2014/chart" uri="{C3380CC4-5D6E-409C-BE32-E72D297353CC}">
              <c16:uniqueId val="{0000000A-A980-49D8-A838-E9D15239079F}"/>
            </c:ext>
          </c:extLst>
        </c:ser>
        <c:ser>
          <c:idx val="10"/>
          <c:order val="10"/>
          <c:tx>
            <c:strRef>
              <c:f>Dashboard!$P$56</c:f>
              <c:strCache>
                <c:ptCount val="1"/>
                <c:pt idx="0">
                  <c:v>Čistý dlh v scenári rozpočtových cieľov deficitov</c:v>
                </c:pt>
              </c:strCache>
            </c:strRef>
          </c:tx>
          <c:spPr>
            <a:ln w="19050">
              <a:solidFill>
                <a:sysClr val="window" lastClr="FFFFFF">
                  <a:lumMod val="95000"/>
                </a:sysClr>
              </a:solidFill>
              <a:prstDash val="sysDash"/>
            </a:ln>
          </c:spPr>
          <c:marker>
            <c:symbol val="none"/>
          </c:marker>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Dashboard!$AI$56:$AT$56</c:f>
              <c:numCache>
                <c:formatCode>0.0</c:formatCode>
                <c:ptCount val="12"/>
                <c:pt idx="0">
                  <c:v>#N/A</c:v>
                </c:pt>
                <c:pt idx="1">
                  <c:v>#N/A</c:v>
                </c:pt>
                <c:pt idx="2">
                  <c:v>#N/A</c:v>
                </c:pt>
                <c:pt idx="3">
                  <c:v>#N/A</c:v>
                </c:pt>
                <c:pt idx="4">
                  <c:v>#N/A</c:v>
                </c:pt>
                <c:pt idx="5">
                  <c:v>#N/A</c:v>
                </c:pt>
                <c:pt idx="6">
                  <c:v>#N/A</c:v>
                </c:pt>
                <c:pt idx="7">
                  <c:v>#N/A</c:v>
                </c:pt>
                <c:pt idx="8">
                  <c:v>50.629040308573259</c:v>
                </c:pt>
                <c:pt idx="9">
                  <c:v>53.62801764749959</c:v>
                </c:pt>
                <c:pt idx="10">
                  <c:v>55.863008410972306</c:v>
                </c:pt>
                <c:pt idx="11">
                  <c:v>56.755491379067301</c:v>
                </c:pt>
              </c:numCache>
              <c:extLst/>
            </c:numRef>
          </c:val>
          <c:smooth val="0"/>
          <c:extLst>
            <c:ext xmlns:c16="http://schemas.microsoft.com/office/drawing/2014/chart" uri="{C3380CC4-5D6E-409C-BE32-E72D297353CC}">
              <c16:uniqueId val="{0000000B-A980-49D8-A838-E9D15239079F}"/>
            </c:ext>
          </c:extLst>
        </c:ser>
        <c:dLbls>
          <c:showLegendKey val="0"/>
          <c:showVal val="0"/>
          <c:showCatName val="0"/>
          <c:showSerName val="0"/>
          <c:showPercent val="0"/>
          <c:showBubbleSize val="0"/>
        </c:dLbls>
        <c:marker val="1"/>
        <c:smooth val="0"/>
        <c:axId val="560515240"/>
        <c:axId val="560515632"/>
        <c:extLst>
          <c:ext xmlns:c15="http://schemas.microsoft.com/office/drawing/2012/chart" uri="{02D57815-91ED-43cb-92C2-25804820EDAC}">
            <c15:filteredLineSeries>
              <c15:ser>
                <c:idx val="5"/>
                <c:order val="5"/>
                <c:tx>
                  <c:v>Spodné sankčné pásmo</c:v>
                </c:tx>
                <c:spPr>
                  <a:ln w="19050">
                    <a:solidFill>
                      <a:srgbClr val="FF0000"/>
                    </a:solidFill>
                    <a:prstDash val="sysDot"/>
                  </a:ln>
                </c:spPr>
                <c:marker>
                  <c:symbol val="none"/>
                </c:marker>
                <c:val>
                  <c:numRef>
                    <c:extLst>
                      <c:ext uri="{02D57815-91ED-43cb-92C2-25804820EDAC}">
                        <c15:formulaRef>
                          <c15:sqref>'Cisty dlh'!$S$30:$AD$30</c15:sqref>
                        </c15:formulaRef>
                      </c:ext>
                    </c:extLst>
                    <c:numCache>
                      <c:formatCode>General</c:formatCode>
                      <c:ptCount val="12"/>
                      <c:pt idx="0">
                        <c:v>50</c:v>
                      </c:pt>
                      <c:pt idx="1">
                        <c:v>50</c:v>
                      </c:pt>
                      <c:pt idx="2">
                        <c:v>49</c:v>
                      </c:pt>
                      <c:pt idx="3">
                        <c:v>48</c:v>
                      </c:pt>
                      <c:pt idx="4">
                        <c:v>47</c:v>
                      </c:pt>
                      <c:pt idx="5">
                        <c:v>46</c:v>
                      </c:pt>
                      <c:pt idx="6">
                        <c:v>45</c:v>
                      </c:pt>
                      <c:pt idx="7">
                        <c:v>44</c:v>
                      </c:pt>
                      <c:pt idx="8">
                        <c:v>43</c:v>
                      </c:pt>
                      <c:pt idx="9">
                        <c:v>42</c:v>
                      </c:pt>
                      <c:pt idx="10">
                        <c:v>41</c:v>
                      </c:pt>
                      <c:pt idx="11">
                        <c:v>40</c:v>
                      </c:pt>
                    </c:numCache>
                  </c:numRef>
                </c:val>
                <c:smooth val="0"/>
                <c:extLst>
                  <c:ext xmlns:c16="http://schemas.microsoft.com/office/drawing/2014/chart" uri="{C3380CC4-5D6E-409C-BE32-E72D297353CC}">
                    <c16:uniqueId val="{0000000C-A980-49D8-A838-E9D15239079F}"/>
                  </c:ext>
                </c:extLst>
              </c15:ser>
            </c15:filteredLineSeries>
            <c15:filteredLineSeries>
              <c15:ser>
                <c:idx val="7"/>
                <c:order val="6"/>
                <c:tx>
                  <c:v>Gross debt (reaching budgetary targets)</c:v>
                </c:tx>
                <c:spPr>
                  <a:ln w="19050">
                    <a:solidFill>
                      <a:schemeClr val="tx1"/>
                    </a:solidFill>
                    <a:prstDash val="sysDash"/>
                  </a:ln>
                </c:spPr>
                <c:marker>
                  <c:symbol val="none"/>
                </c:marker>
                <c:val>
                  <c:numRef>
                    <c:extLst xmlns:c15="http://schemas.microsoft.com/office/drawing/2012/chart">
                      <c:ext xmlns:c15="http://schemas.microsoft.com/office/drawing/2012/chart" uri="{02D57815-91ED-43cb-92C2-25804820EDAC}">
                        <c15:formulaRef>
                          <c15:sqref>'Súhrnná tabuľka'!$AQ$127:$AT$127</c15:sqref>
                        </c15:formulaRef>
                      </c:ext>
                    </c:extLst>
                    <c:numCache>
                      <c:formatCode>0.0</c:formatCode>
                      <c:ptCount val="4"/>
                      <c:pt idx="0">
                        <c:v>57.741261644806862</c:v>
                      </c:pt>
                      <c:pt idx="1">
                        <c:v>56.044683925644719</c:v>
                      </c:pt>
                      <c:pt idx="2">
                        <c:v>57.755945193230673</c:v>
                      </c:pt>
                      <c:pt idx="3">
                        <c:v>57.669507859250288</c:v>
                      </c:pt>
                    </c:numCache>
                  </c:numRef>
                </c:val>
                <c:smooth val="0"/>
                <c:extLst xmlns:c15="http://schemas.microsoft.com/office/drawing/2012/chart">
                  <c:ext xmlns:c16="http://schemas.microsoft.com/office/drawing/2014/chart" uri="{C3380CC4-5D6E-409C-BE32-E72D297353CC}">
                    <c16:uniqueId val="{0000000D-A980-49D8-A838-E9D15239079F}"/>
                  </c:ext>
                </c:extLst>
              </c15:ser>
            </c15:filteredLineSeries>
            <c15:filteredLineSeries>
              <c15:ser>
                <c:idx val="8"/>
                <c:order val="7"/>
                <c:tx>
                  <c:v>Net debt (reaching budgetary targets)</c:v>
                </c:tx>
                <c:spPr>
                  <a:ln w="19050">
                    <a:solidFill>
                      <a:schemeClr val="bg1">
                        <a:lumMod val="85000"/>
                      </a:schemeClr>
                    </a:solidFill>
                    <a:prstDash val="sysDash"/>
                  </a:ln>
                </c:spPr>
                <c:marker>
                  <c:symbol val="none"/>
                </c:marker>
                <c:val>
                  <c:numRef>
                    <c:extLst xmlns:c15="http://schemas.microsoft.com/office/drawing/2012/chart">
                      <c:ext xmlns:c15="http://schemas.microsoft.com/office/drawing/2012/chart" uri="{02D57815-91ED-43cb-92C2-25804820EDAC}">
                        <c15:formulaRef>
                          <c15:sqref>'Súhrnná tabuľka'!$AQ$128:$AT$128</c15:sqref>
                        </c15:formulaRef>
                      </c:ext>
                    </c:extLst>
                    <c:numCache>
                      <c:formatCode>0.0</c:formatCode>
                      <c:ptCount val="4"/>
                      <c:pt idx="0">
                        <c:v>47.59613111340574</c:v>
                      </c:pt>
                      <c:pt idx="1">
                        <c:v>48.509262229558416</c:v>
                      </c:pt>
                      <c:pt idx="2">
                        <c:v>49.921420709691674</c:v>
                      </c:pt>
                      <c:pt idx="3">
                        <c:v>52.10546337607925</c:v>
                      </c:pt>
                    </c:numCache>
                  </c:numRef>
                </c:val>
                <c:smooth val="0"/>
                <c:extLst xmlns:c15="http://schemas.microsoft.com/office/drawing/2012/chart">
                  <c:ext xmlns:c16="http://schemas.microsoft.com/office/drawing/2014/chart" uri="{C3380CC4-5D6E-409C-BE32-E72D297353CC}">
                    <c16:uniqueId val="{0000000E-A980-49D8-A838-E9D15239079F}"/>
                  </c:ext>
                </c:extLst>
              </c15:ser>
            </c15:filteredLineSeries>
          </c:ext>
        </c:extLst>
      </c:lineChart>
      <c:catAx>
        <c:axId val="560515240"/>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vert="horz"/>
          <a:lstStyle/>
          <a:p>
            <a:pPr>
              <a:defRPr sz="800"/>
            </a:pPr>
            <a:endParaRPr lang="sk-SK"/>
          </a:p>
        </c:txPr>
        <c:crossAx val="560515632"/>
        <c:crosses val="autoZero"/>
        <c:auto val="0"/>
        <c:lblAlgn val="ctr"/>
        <c:lblOffset val="100"/>
        <c:noMultiLvlLbl val="0"/>
      </c:catAx>
      <c:valAx>
        <c:axId val="560515632"/>
        <c:scaling>
          <c:orientation val="minMax"/>
          <c:min val="30"/>
        </c:scaling>
        <c:delete val="0"/>
        <c:axPos val="l"/>
        <c:majorGridlines>
          <c:spPr>
            <a:ln w="3175" cap="flat" cmpd="sng" algn="ctr">
              <a:solidFill>
                <a:srgbClr val="686767">
                  <a:alpha val="25000"/>
                </a:srgbClr>
              </a:solidFill>
              <a:prstDash val="dash"/>
              <a:round/>
            </a:ln>
            <a:effectLst/>
          </c:spPr>
        </c:majorGridlines>
        <c:numFmt formatCode="0" sourceLinked="0"/>
        <c:majorTickMark val="none"/>
        <c:minorTickMark val="none"/>
        <c:tickLblPos val="nextTo"/>
        <c:spPr>
          <a:noFill/>
          <a:ln w="3175">
            <a:noFill/>
          </a:ln>
          <a:effectLst/>
        </c:spPr>
        <c:txPr>
          <a:bodyPr rot="-60000000" vert="horz"/>
          <a:lstStyle/>
          <a:p>
            <a:pPr>
              <a:defRPr/>
            </a:pPr>
            <a:endParaRPr lang="sk-SK"/>
          </a:p>
        </c:txPr>
        <c:crossAx val="560515240"/>
        <c:crosses val="autoZero"/>
        <c:crossBetween val="between"/>
      </c:valAx>
      <c:spPr>
        <a:noFill/>
        <a:ln w="3175">
          <a:noFill/>
          <a:prstDash val="sysDot"/>
        </a:ln>
        <a:effectLst/>
      </c:spPr>
    </c:plotArea>
    <c:legend>
      <c:legendPos val="t"/>
      <c:legendEntry>
        <c:idx val="3"/>
        <c:delete val="1"/>
      </c:legendEntry>
      <c:legendEntry>
        <c:idx val="5"/>
        <c:delete val="1"/>
      </c:legendEntry>
      <c:layout>
        <c:manualLayout>
          <c:xMode val="edge"/>
          <c:yMode val="edge"/>
          <c:x val="4.1977196734970655E-2"/>
          <c:y val="0.63680537541733961"/>
          <c:w val="0.93297383864579919"/>
          <c:h val="0.26386822529224224"/>
        </c:manualLayout>
      </c:layout>
      <c:overlay val="0"/>
      <c:txPr>
        <a:bodyPr/>
        <a:lstStyle/>
        <a:p>
          <a:pPr>
            <a:defRPr sz="800"/>
          </a:pPr>
          <a:endParaRPr lang="sk-SK"/>
        </a:p>
      </c:txPr>
    </c:legend>
    <c:plotVisOnly val="1"/>
    <c:dispBlanksAs val="gap"/>
    <c:showDLblsOverMax val="0"/>
  </c:chart>
  <c:spPr>
    <a:noFill/>
    <a:ln w="9525" cap="flat" cmpd="sng" algn="ctr">
      <a:noFill/>
      <a:round/>
    </a:ln>
    <a:effectLst/>
  </c:spPr>
  <c:txPr>
    <a:bodyPr/>
    <a:lstStyle/>
    <a:p>
      <a:pPr>
        <a:defRPr sz="700">
          <a:latin typeface="Arial Narrow" panose="020B0606020202030204" pitchFamily="34" charset="0"/>
        </a:defRPr>
      </a:pPr>
      <a:endParaRPr lang="sk-SK"/>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787773402629306E-2"/>
          <c:y val="3.7486892271914186E-2"/>
          <c:w val="0.6201969236695718"/>
          <c:h val="0.87250862448032473"/>
        </c:manualLayout>
      </c:layout>
      <c:barChart>
        <c:barDir val="col"/>
        <c:grouping val="stacked"/>
        <c:varyColors val="0"/>
        <c:ser>
          <c:idx val="3"/>
          <c:order val="1"/>
          <c:tx>
            <c:strRef>
              <c:f>'Súhrnná tabuľka'!$AN$88</c:f>
              <c:strCache>
                <c:ptCount val="1"/>
                <c:pt idx="0">
                  <c:v>Deflátor HDP</c:v>
                </c:pt>
              </c:strCache>
            </c:strRef>
          </c:tx>
          <c:spPr>
            <a:solidFill>
              <a:srgbClr val="5B9BD5">
                <a:lumMod val="50000"/>
              </a:srgbClr>
            </a:solidFill>
            <a:ln>
              <a:noFill/>
            </a:ln>
          </c:spPr>
          <c:invertIfNegative val="0"/>
          <c:cat>
            <c:numRef>
              <c:f>'Súhrnná tabuľka'!$AR$81:$AU$81</c:f>
              <c:numCache>
                <c:formatCode>General</c:formatCode>
                <c:ptCount val="4"/>
                <c:pt idx="0">
                  <c:v>2023</c:v>
                </c:pt>
                <c:pt idx="1">
                  <c:v>2024</c:v>
                </c:pt>
                <c:pt idx="2">
                  <c:v>2025</c:v>
                </c:pt>
                <c:pt idx="3">
                  <c:v>2026</c:v>
                </c:pt>
              </c:numCache>
            </c:numRef>
          </c:cat>
          <c:val>
            <c:numRef>
              <c:f>'Súhrnná tabuľka'!$AR$88:$AV$88</c:f>
              <c:numCache>
                <c:formatCode>#\ ##0.0</c:formatCode>
                <c:ptCount val="5"/>
                <c:pt idx="0">
                  <c:v>-5.5400620617881886</c:v>
                </c:pt>
                <c:pt idx="1">
                  <c:v>-2.6480749326651498</c:v>
                </c:pt>
                <c:pt idx="2">
                  <c:v>-2.0477862872314327</c:v>
                </c:pt>
                <c:pt idx="3">
                  <c:v>-1.4103198514181039</c:v>
                </c:pt>
                <c:pt idx="4">
                  <c:v>-1.3756772922903091</c:v>
                </c:pt>
              </c:numCache>
              <c:extLst/>
            </c:numRef>
          </c:val>
          <c:extLst>
            <c:ext xmlns:c16="http://schemas.microsoft.com/office/drawing/2014/chart" uri="{C3380CC4-5D6E-409C-BE32-E72D297353CC}">
              <c16:uniqueId val="{00000000-2232-4FBE-A2F5-ECBC7B492E0B}"/>
            </c:ext>
          </c:extLst>
        </c:ser>
        <c:ser>
          <c:idx val="1"/>
          <c:order val="2"/>
          <c:tx>
            <c:strRef>
              <c:f>'Súhrnná tabuľka'!$AN$87</c:f>
              <c:strCache>
                <c:ptCount val="1"/>
                <c:pt idx="0">
                  <c:v>Rast reálneho HDP</c:v>
                </c:pt>
              </c:strCache>
            </c:strRef>
          </c:tx>
          <c:spPr>
            <a:solidFill>
              <a:srgbClr val="4472C4">
                <a:lumMod val="20000"/>
                <a:lumOff val="80000"/>
              </a:srgbClr>
            </a:solidFill>
          </c:spPr>
          <c:invertIfNegative val="0"/>
          <c:cat>
            <c:numRef>
              <c:f>'Súhrnná tabuľka'!$AR$81:$AU$81</c:f>
              <c:numCache>
                <c:formatCode>General</c:formatCode>
                <c:ptCount val="4"/>
                <c:pt idx="0">
                  <c:v>2023</c:v>
                </c:pt>
                <c:pt idx="1">
                  <c:v>2024</c:v>
                </c:pt>
                <c:pt idx="2">
                  <c:v>2025</c:v>
                </c:pt>
                <c:pt idx="3">
                  <c:v>2026</c:v>
                </c:pt>
              </c:numCache>
            </c:numRef>
          </c:cat>
          <c:val>
            <c:numRef>
              <c:f>'Súhrnná tabuľka'!$AR$87:$AV$87</c:f>
              <c:numCache>
                <c:formatCode>#\ ##0.0</c:formatCode>
                <c:ptCount val="5"/>
                <c:pt idx="0">
                  <c:v>-0.59584852818761902</c:v>
                </c:pt>
                <c:pt idx="1">
                  <c:v>-1.0260624028024925</c:v>
                </c:pt>
                <c:pt idx="2">
                  <c:v>-1.6838529590899902</c:v>
                </c:pt>
                <c:pt idx="3">
                  <c:v>-1.2738830796944169</c:v>
                </c:pt>
                <c:pt idx="4">
                  <c:v>-1.0072808929182935</c:v>
                </c:pt>
              </c:numCache>
              <c:extLst/>
            </c:numRef>
          </c:val>
          <c:extLst>
            <c:ext xmlns:c16="http://schemas.microsoft.com/office/drawing/2014/chart" uri="{C3380CC4-5D6E-409C-BE32-E72D297353CC}">
              <c16:uniqueId val="{00000001-2232-4FBE-A2F5-ECBC7B492E0B}"/>
            </c:ext>
          </c:extLst>
        </c:ser>
        <c:ser>
          <c:idx val="2"/>
          <c:order val="3"/>
          <c:tx>
            <c:strRef>
              <c:f>'Súhrnná tabuľka'!$AN$82</c:f>
              <c:strCache>
                <c:ptCount val="1"/>
                <c:pt idx="0">
                  <c:v>Primárne saldo</c:v>
                </c:pt>
              </c:strCache>
            </c:strRef>
          </c:tx>
          <c:spPr>
            <a:solidFill>
              <a:srgbClr val="002060"/>
            </a:solidFill>
            <a:ln w="12700">
              <a:noFill/>
              <a:prstDash val="solid"/>
            </a:ln>
          </c:spPr>
          <c:invertIfNegative val="0"/>
          <c:cat>
            <c:numRef>
              <c:f>'Súhrnná tabuľka'!$AR$81:$AU$81</c:f>
              <c:numCache>
                <c:formatCode>General</c:formatCode>
                <c:ptCount val="4"/>
                <c:pt idx="0">
                  <c:v>2023</c:v>
                </c:pt>
                <c:pt idx="1">
                  <c:v>2024</c:v>
                </c:pt>
                <c:pt idx="2">
                  <c:v>2025</c:v>
                </c:pt>
                <c:pt idx="3">
                  <c:v>2026</c:v>
                </c:pt>
              </c:numCache>
            </c:numRef>
          </c:cat>
          <c:val>
            <c:numRef>
              <c:f>'Súhrnná tabuľka'!$AR$82:$AV$82</c:f>
              <c:numCache>
                <c:formatCode>#\ ##0.0</c:formatCode>
                <c:ptCount val="5"/>
                <c:pt idx="0">
                  <c:v>3.7366489379221401</c:v>
                </c:pt>
                <c:pt idx="1">
                  <c:v>4.500188457437349</c:v>
                </c:pt>
                <c:pt idx="2">
                  <c:v>3.8630833929869537</c:v>
                </c:pt>
                <c:pt idx="3">
                  <c:v>3.5266893707590308</c:v>
                </c:pt>
                <c:pt idx="4">
                  <c:v>3.6229528980079264</c:v>
                </c:pt>
              </c:numCache>
              <c:extLst/>
            </c:numRef>
          </c:val>
          <c:extLst>
            <c:ext xmlns:c16="http://schemas.microsoft.com/office/drawing/2014/chart" uri="{C3380CC4-5D6E-409C-BE32-E72D297353CC}">
              <c16:uniqueId val="{00000002-2232-4FBE-A2F5-ECBC7B492E0B}"/>
            </c:ext>
          </c:extLst>
        </c:ser>
        <c:ser>
          <c:idx val="4"/>
          <c:order val="4"/>
          <c:tx>
            <c:strRef>
              <c:f>'Súhrnná tabuľka'!$AN$84</c:f>
              <c:strCache>
                <c:ptCount val="1"/>
                <c:pt idx="0">
                  <c:v>Úroky</c:v>
                </c:pt>
              </c:strCache>
            </c:strRef>
          </c:tx>
          <c:spPr>
            <a:solidFill>
              <a:srgbClr val="5B9BD5">
                <a:lumMod val="75000"/>
              </a:srgbClr>
            </a:solidFill>
            <a:ln w="12700">
              <a:noFill/>
              <a:prstDash val="solid"/>
            </a:ln>
          </c:spPr>
          <c:invertIfNegative val="0"/>
          <c:cat>
            <c:numRef>
              <c:f>'Súhrnná tabuľka'!$AR$81:$AU$81</c:f>
              <c:numCache>
                <c:formatCode>General</c:formatCode>
                <c:ptCount val="4"/>
                <c:pt idx="0">
                  <c:v>2023</c:v>
                </c:pt>
                <c:pt idx="1">
                  <c:v>2024</c:v>
                </c:pt>
                <c:pt idx="2">
                  <c:v>2025</c:v>
                </c:pt>
                <c:pt idx="3">
                  <c:v>2026</c:v>
                </c:pt>
              </c:numCache>
            </c:numRef>
          </c:cat>
          <c:val>
            <c:numRef>
              <c:f>'Súhrnná tabuľka'!$AR$84:$AV$84</c:f>
              <c:numCache>
                <c:formatCode>#\ ##0.0</c:formatCode>
                <c:ptCount val="5"/>
                <c:pt idx="0">
                  <c:v>1.1568257199911458</c:v>
                </c:pt>
                <c:pt idx="1">
                  <c:v>1.4316301373090556</c:v>
                </c:pt>
                <c:pt idx="2">
                  <c:v>1.5524892228305966</c:v>
                </c:pt>
                <c:pt idx="3">
                  <c:v>1.6478977857633161</c:v>
                </c:pt>
                <c:pt idx="4">
                  <c:v>1.9055486697661692</c:v>
                </c:pt>
              </c:numCache>
              <c:extLst/>
            </c:numRef>
          </c:val>
          <c:extLst>
            <c:ext xmlns:c16="http://schemas.microsoft.com/office/drawing/2014/chart" uri="{C3380CC4-5D6E-409C-BE32-E72D297353CC}">
              <c16:uniqueId val="{00000003-2232-4FBE-A2F5-ECBC7B492E0B}"/>
            </c:ext>
          </c:extLst>
        </c:ser>
        <c:ser>
          <c:idx val="5"/>
          <c:order val="7"/>
          <c:tx>
            <c:strRef>
              <c:f>'Súhrnná tabuľka'!$AN$92</c:f>
              <c:strCache>
                <c:ptCount val="1"/>
                <c:pt idx="0">
                  <c:v>Zosúladenie deficitu a dlhu</c:v>
                </c:pt>
              </c:strCache>
            </c:strRef>
          </c:tx>
          <c:spPr>
            <a:solidFill>
              <a:sysClr val="window" lastClr="FFFFFF">
                <a:lumMod val="85000"/>
              </a:sysClr>
            </a:solidFill>
            <a:ln w="28575">
              <a:noFill/>
            </a:ln>
          </c:spPr>
          <c:invertIfNegative val="0"/>
          <c:cat>
            <c:strLit>
              <c:ptCount val="5"/>
              <c:pt idx="0">
                <c:v>2023</c:v>
              </c:pt>
              <c:pt idx="1">
                <c:v>2024</c:v>
              </c:pt>
              <c:pt idx="2">
                <c:v>2025</c:v>
              </c:pt>
              <c:pt idx="3">
                <c:v>2026</c:v>
              </c:pt>
              <c:pt idx="4">
                <c:v>2027</c:v>
              </c:pt>
              <c:extLst>
                <c:ext xmlns:c15="http://schemas.microsoft.com/office/drawing/2012/chart" uri="{02D57815-91ED-43cb-92C2-25804820EDAC}">
                  <c15:autoCat val="1"/>
                </c:ext>
              </c:extLst>
            </c:strLit>
          </c:cat>
          <c:val>
            <c:numRef>
              <c:f>'Súhrnná tabuľka'!$AR$92:$AV$92</c:f>
              <c:numCache>
                <c:formatCode>#\ ##0.0</c:formatCode>
                <c:ptCount val="5"/>
                <c:pt idx="0">
                  <c:v>-0.45414160633668921</c:v>
                </c:pt>
                <c:pt idx="1">
                  <c:v>0.32109176394453698</c:v>
                </c:pt>
                <c:pt idx="2">
                  <c:v>-0.48130806472753873</c:v>
                </c:pt>
                <c:pt idx="3">
                  <c:v>1.275440924902981</c:v>
                </c:pt>
                <c:pt idx="4">
                  <c:v>1.0891975416588613</c:v>
                </c:pt>
              </c:numCache>
              <c:extLst/>
            </c:numRef>
          </c:val>
          <c:extLst>
            <c:ext xmlns:c16="http://schemas.microsoft.com/office/drawing/2014/chart" uri="{C3380CC4-5D6E-409C-BE32-E72D297353CC}">
              <c16:uniqueId val="{00000004-2232-4FBE-A2F5-ECBC7B492E0B}"/>
            </c:ext>
          </c:extLst>
        </c:ser>
        <c:dLbls>
          <c:showLegendKey val="0"/>
          <c:showVal val="0"/>
          <c:showCatName val="0"/>
          <c:showSerName val="0"/>
          <c:showPercent val="0"/>
          <c:showBubbleSize val="0"/>
        </c:dLbls>
        <c:gapWidth val="50"/>
        <c:overlap val="100"/>
        <c:axId val="547679416"/>
        <c:axId val="547679808"/>
        <c:extLst>
          <c:ext xmlns:c15="http://schemas.microsoft.com/office/drawing/2012/chart" uri="{02D57815-91ED-43cb-92C2-25804820EDAC}">
            <c15:filteredBarSeries>
              <c15:ser>
                <c:idx val="7"/>
                <c:order val="5"/>
                <c:tx>
                  <c:strRef>
                    <c:extLst>
                      <c:ext uri="{02D57815-91ED-43cb-92C2-25804820EDAC}">
                        <c15:formulaRef>
                          <c15:sqref>'Súhrnná tabuľka'!$AN$90</c15:sqref>
                        </c15:formulaRef>
                      </c:ext>
                    </c:extLst>
                    <c:strCache>
                      <c:ptCount val="1"/>
                      <c:pt idx="0">
                        <c:v>Zmena hotovosti VS</c:v>
                      </c:pt>
                    </c:strCache>
                  </c:strRef>
                </c:tx>
                <c:spPr>
                  <a:solidFill>
                    <a:sysClr val="window" lastClr="FFFFFF">
                      <a:lumMod val="75000"/>
                    </a:sysClr>
                  </a:solidFill>
                  <a:ln w="28575">
                    <a:noFill/>
                  </a:ln>
                </c:spPr>
                <c:invertIfNegative val="0"/>
                <c:cat>
                  <c:numRef>
                    <c:extLst>
                      <c:ext uri="{02D57815-91ED-43cb-92C2-25804820EDAC}">
                        <c15:formulaRef>
                          <c15:sqref>'Súhrnná tabuľka'!$AR$81:$AU$81</c15:sqref>
                        </c15:formulaRef>
                      </c:ext>
                    </c:extLst>
                    <c:numCache>
                      <c:formatCode>General</c:formatCode>
                      <c:ptCount val="4"/>
                      <c:pt idx="0">
                        <c:v>2023</c:v>
                      </c:pt>
                      <c:pt idx="1">
                        <c:v>2024</c:v>
                      </c:pt>
                      <c:pt idx="2">
                        <c:v>2025</c:v>
                      </c:pt>
                      <c:pt idx="3">
                        <c:v>2026</c:v>
                      </c:pt>
                    </c:numCache>
                  </c:numRef>
                </c:cat>
                <c:val>
                  <c:numRef>
                    <c:extLst>
                      <c:ext uri="{02D57815-91ED-43cb-92C2-25804820EDAC}">
                        <c15:formulaRef>
                          <c15:sqref>'Súhrnná tabuľka'!$AR$90:$AV$90</c15:sqref>
                        </c15:formulaRef>
                      </c:ext>
                    </c:extLst>
                    <c:numCache>
                      <c:formatCode>#\ ##0.0</c:formatCode>
                      <c:ptCount val="5"/>
                      <c:pt idx="0">
                        <c:v>-1.321579726281777</c:v>
                      </c:pt>
                      <c:pt idx="1">
                        <c:v>0.79234370852977842</c:v>
                      </c:pt>
                      <c:pt idx="2">
                        <c:v>-1.7717782780455642</c:v>
                      </c:pt>
                      <c:pt idx="3">
                        <c:v>7.1983113207376812E-2</c:v>
                      </c:pt>
                      <c:pt idx="4">
                        <c:v>1.0568106209447934</c:v>
                      </c:pt>
                    </c:numCache>
                  </c:numRef>
                </c:val>
                <c:extLst>
                  <c:ext xmlns:c16="http://schemas.microsoft.com/office/drawing/2014/chart" uri="{C3380CC4-5D6E-409C-BE32-E72D297353CC}">
                    <c16:uniqueId val="{00000007-2232-4FBE-A2F5-ECBC7B492E0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'Súhrnná tabuľka'!$AN$89</c15:sqref>
                        </c15:formulaRef>
                      </c:ext>
                    </c:extLst>
                    <c:strCache>
                      <c:ptCount val="1"/>
                      <c:pt idx="0">
                        <c:v>Zosúladenie deficitu a dlhu (bez hotovosti VS)</c:v>
                      </c:pt>
                    </c:strCache>
                  </c:strRef>
                </c:tx>
                <c:spPr>
                  <a:solidFill>
                    <a:sysClr val="window" lastClr="FFFFFF">
                      <a:lumMod val="85000"/>
                    </a:sysClr>
                  </a:solidFill>
                  <a:ln w="12700">
                    <a:noFill/>
                    <a:prstDash val="solid"/>
                  </a:ln>
                </c:spPr>
                <c:invertIfNegative val="0"/>
                <c:cat>
                  <c:numRef>
                    <c:extLst xmlns:c15="http://schemas.microsoft.com/office/drawing/2012/chart">
                      <c:ext xmlns:c15="http://schemas.microsoft.com/office/drawing/2012/chart" uri="{02D57815-91ED-43cb-92C2-25804820EDAC}">
                        <c15:formulaRef>
                          <c15:sqref>'Súhrnná tabuľka'!$AR$81:$AU$81</c15:sqref>
                        </c15:formulaRef>
                      </c:ext>
                    </c:extLst>
                    <c:numCache>
                      <c:formatCode>General</c:formatCode>
                      <c:ptCount val="4"/>
                      <c:pt idx="0">
                        <c:v>2023</c:v>
                      </c:pt>
                      <c:pt idx="1">
                        <c:v>2024</c:v>
                      </c:pt>
                      <c:pt idx="2">
                        <c:v>2025</c:v>
                      </c:pt>
                      <c:pt idx="3">
                        <c:v>2026</c:v>
                      </c:pt>
                    </c:numCache>
                  </c:numRef>
                </c:cat>
                <c:val>
                  <c:numRef>
                    <c:extLst xmlns:c15="http://schemas.microsoft.com/office/drawing/2012/chart">
                      <c:ext xmlns:c15="http://schemas.microsoft.com/office/drawing/2012/chart" uri="{02D57815-91ED-43cb-92C2-25804820EDAC}">
                        <c15:formulaRef>
                          <c15:sqref>'Súhrnná tabuľka'!$AR$89:$AV$89</c15:sqref>
                        </c15:formulaRef>
                      </c:ext>
                    </c:extLst>
                    <c:numCache>
                      <c:formatCode>#\ ##0.0</c:formatCode>
                      <c:ptCount val="5"/>
                      <c:pt idx="0">
                        <c:v>0.86743811994508779</c:v>
                      </c:pt>
                      <c:pt idx="1">
                        <c:v>-0.47125194458524144</c:v>
                      </c:pt>
                      <c:pt idx="2">
                        <c:v>1.2904702133180255</c:v>
                      </c:pt>
                      <c:pt idx="3">
                        <c:v>1.2034578116956043</c:v>
                      </c:pt>
                      <c:pt idx="4">
                        <c:v>3.2386920714067902E-2</c:v>
                      </c:pt>
                    </c:numCache>
                  </c:numRef>
                </c:val>
                <c:extLst xmlns:c15="http://schemas.microsoft.com/office/drawing/2012/chart">
                  <c:ext xmlns:c16="http://schemas.microsoft.com/office/drawing/2014/chart" uri="{C3380CC4-5D6E-409C-BE32-E72D297353CC}">
                    <c16:uniqueId val="{00000008-2232-4FBE-A2F5-ECBC7B492E0B}"/>
                  </c:ext>
                </c:extLst>
              </c15:ser>
            </c15:filteredBarSeries>
          </c:ext>
        </c:extLst>
      </c:barChart>
      <c:lineChart>
        <c:grouping val="standard"/>
        <c:varyColors val="0"/>
        <c:ser>
          <c:idx val="0"/>
          <c:order val="0"/>
          <c:tx>
            <c:strRef>
              <c:f>'Súhrnná tabuľka'!$AN$91</c:f>
              <c:strCache>
                <c:ptCount val="1"/>
                <c:pt idx="0">
                  <c:v>Zmena hrubého dlhu VS</c:v>
                </c:pt>
              </c:strCache>
            </c:strRef>
          </c:tx>
          <c:spPr>
            <a:ln w="25400" cmpd="sng">
              <a:noFill/>
              <a:prstDash val="solid"/>
            </a:ln>
          </c:spPr>
          <c:marker>
            <c:symbol val="circle"/>
            <c:size val="4"/>
            <c:spPr>
              <a:solidFill>
                <a:sysClr val="windowText" lastClr="000000"/>
              </a:solidFill>
              <a:ln w="3175">
                <a:solidFill>
                  <a:sysClr val="window" lastClr="FFFFFF"/>
                </a:solidFill>
              </a:ln>
            </c:spPr>
          </c:marker>
          <c:dPt>
            <c:idx val="9"/>
            <c:bubble3D val="0"/>
            <c:extLst>
              <c:ext xmlns:c16="http://schemas.microsoft.com/office/drawing/2014/chart" uri="{C3380CC4-5D6E-409C-BE32-E72D297353CC}">
                <c16:uniqueId val="{00000005-2232-4FBE-A2F5-ECBC7B492E0B}"/>
              </c:ext>
            </c:extLst>
          </c:dPt>
          <c:dLbls>
            <c:numFmt formatCode="#,##0.0" sourceLinked="0"/>
            <c:spPr>
              <a:solidFill>
                <a:sysClr val="window" lastClr="FFFFFF"/>
              </a:solidFill>
              <a:ln>
                <a:solidFill>
                  <a:sysClr val="windowText" lastClr="000000"/>
                </a:solidFill>
              </a:ln>
              <a:effectLst/>
            </c:sp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'Súhrnná tabuľka'!$AR$81:$AV$81</c:f>
              <c:numCache>
                <c:formatCode>General</c:formatCode>
                <c:ptCount val="5"/>
                <c:pt idx="0">
                  <c:v>2023</c:v>
                </c:pt>
                <c:pt idx="1">
                  <c:v>2024</c:v>
                </c:pt>
                <c:pt idx="2">
                  <c:v>2025</c:v>
                </c:pt>
                <c:pt idx="3">
                  <c:v>2026</c:v>
                </c:pt>
                <c:pt idx="4">
                  <c:v>2027</c:v>
                </c:pt>
              </c:numCache>
            </c:numRef>
          </c:cat>
          <c:val>
            <c:numRef>
              <c:f>'Súhrnná tabuľka'!$AR$91:$AV$91</c:f>
              <c:numCache>
                <c:formatCode>#\ ##0.0</c:formatCode>
                <c:ptCount val="5"/>
                <c:pt idx="0">
                  <c:v>-1.696577538399211</c:v>
                </c:pt>
                <c:pt idx="1">
                  <c:v>2.5787730232232988</c:v>
                </c:pt>
                <c:pt idx="2">
                  <c:v>1.2026253047685884</c:v>
                </c:pt>
                <c:pt idx="3">
                  <c:v>3.7658251503128071</c:v>
                </c:pt>
                <c:pt idx="4">
                  <c:v>4.2347409242243543</c:v>
                </c:pt>
              </c:numCache>
              <c:extLst/>
            </c:numRef>
          </c:val>
          <c:smooth val="0"/>
          <c:extLst>
            <c:ext xmlns:c16="http://schemas.microsoft.com/office/drawing/2014/chart" uri="{C3380CC4-5D6E-409C-BE32-E72D297353CC}">
              <c16:uniqueId val="{00000006-2232-4FBE-A2F5-ECBC7B492E0B}"/>
            </c:ext>
          </c:extLst>
        </c:ser>
        <c:dLbls>
          <c:showLegendKey val="0"/>
          <c:showVal val="0"/>
          <c:showCatName val="0"/>
          <c:showSerName val="0"/>
          <c:showPercent val="0"/>
          <c:showBubbleSize val="0"/>
        </c:dLbls>
        <c:marker val="1"/>
        <c:smooth val="0"/>
        <c:axId val="547679416"/>
        <c:axId val="547679808"/>
      </c:lineChart>
      <c:catAx>
        <c:axId val="547679416"/>
        <c:scaling>
          <c:orientation val="minMax"/>
        </c:scaling>
        <c:delete val="0"/>
        <c:axPos val="b"/>
        <c:numFmt formatCode="General" sourceLinked="1"/>
        <c:majorTickMark val="none"/>
        <c:minorTickMark val="none"/>
        <c:tickLblPos val="low"/>
        <c:spPr>
          <a:ln w="12700">
            <a:solidFill>
              <a:srgbClr val="676868"/>
            </a:solidFill>
            <a:prstDash val="solid"/>
          </a:ln>
        </c:spPr>
        <c:txPr>
          <a:bodyPr rot="0" vert="horz"/>
          <a:lstStyle/>
          <a:p>
            <a:pPr>
              <a:defRPr sz="800"/>
            </a:pPr>
            <a:endParaRPr lang="sk-SK"/>
          </a:p>
        </c:txPr>
        <c:crossAx val="547679808"/>
        <c:crosses val="autoZero"/>
        <c:auto val="1"/>
        <c:lblAlgn val="ctr"/>
        <c:lblOffset val="100"/>
        <c:tickLblSkip val="1"/>
        <c:tickMarkSkip val="1"/>
        <c:noMultiLvlLbl val="0"/>
      </c:catAx>
      <c:valAx>
        <c:axId val="547679808"/>
        <c:scaling>
          <c:orientation val="minMax"/>
          <c:min val="-8"/>
        </c:scaling>
        <c:delete val="0"/>
        <c:axPos val="l"/>
        <c:majorGridlines>
          <c:spPr>
            <a:ln w="3175">
              <a:solidFill>
                <a:srgbClr val="676868">
                  <a:alpha val="25000"/>
                </a:srgbClr>
              </a:solidFill>
              <a:prstDash val="sysDot"/>
            </a:ln>
          </c:spPr>
        </c:majorGridlines>
        <c:numFmt formatCode="#,##0" sourceLinked="0"/>
        <c:majorTickMark val="none"/>
        <c:minorTickMark val="none"/>
        <c:tickLblPos val="nextTo"/>
        <c:spPr>
          <a:ln w="3175">
            <a:noFill/>
            <a:prstDash val="sysDot"/>
          </a:ln>
        </c:spPr>
        <c:txPr>
          <a:bodyPr rot="0" vert="horz"/>
          <a:lstStyle/>
          <a:p>
            <a:pPr>
              <a:defRPr/>
            </a:pPr>
            <a:endParaRPr lang="sk-SK"/>
          </a:p>
        </c:txPr>
        <c:crossAx val="547679416"/>
        <c:crosses val="autoZero"/>
        <c:crossBetween val="between"/>
      </c:valAx>
      <c:spPr>
        <a:noFill/>
        <a:ln w="25400">
          <a:noFill/>
        </a:ln>
      </c:spPr>
    </c:plotArea>
    <c:legend>
      <c:legendPos val="r"/>
      <c:layout>
        <c:manualLayout>
          <c:xMode val="edge"/>
          <c:yMode val="edge"/>
          <c:x val="0.74090827558689043"/>
          <c:y val="3.5479710212438217E-2"/>
          <c:w val="0.25909172441310946"/>
          <c:h val="0.92184362473281822"/>
        </c:manualLayout>
      </c:layout>
      <c:overlay val="0"/>
      <c:spPr>
        <a:noFill/>
        <a:ln w="25400">
          <a:noFill/>
        </a:ln>
      </c:spPr>
      <c:txPr>
        <a:bodyPr/>
        <a:lstStyle/>
        <a:p>
          <a:pPr>
            <a:defRPr sz="800"/>
          </a:pPr>
          <a:endParaRPr lang="sk-SK"/>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panose="020B0606020202030204" pitchFamily="34" charset="0"/>
          <a:ea typeface="Arial"/>
          <a:cs typeface="Arial"/>
        </a:defRPr>
      </a:pPr>
      <a:endParaRPr lang="sk-SK"/>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654107296186517E-2"/>
          <c:y val="3.6694172849779258E-2"/>
          <c:w val="0.92431866155619435"/>
          <c:h val="0.73227683846672031"/>
        </c:manualLayout>
      </c:layout>
      <c:areaChart>
        <c:grouping val="stacked"/>
        <c:varyColors val="0"/>
        <c:ser>
          <c:idx val="0"/>
          <c:order val="0"/>
          <c:tx>
            <c:strRef>
              <c:f>Graf!$A$25</c:f>
              <c:strCache>
                <c:ptCount val="1"/>
                <c:pt idx="0">
                  <c:v>Čistý dlh (scenár bez zmeny politík)</c:v>
                </c:pt>
              </c:strCache>
            </c:strRef>
          </c:tx>
          <c:spPr>
            <a:solidFill>
              <a:srgbClr val="4472C4">
                <a:lumMod val="75000"/>
              </a:srgbClr>
            </a:solidFill>
            <a:ln w="25400">
              <a:noFill/>
            </a:ln>
            <a:effectLst/>
          </c:spPr>
          <c:cat>
            <c:numRef>
              <c:f>Graf!$B$1:$Z$1</c:f>
              <c:numCache>
                <c:formatCode>General</c:formatCode>
                <c:ptCount val="2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pt idx="16">
                  <c:v>2032</c:v>
                </c:pt>
                <c:pt idx="17">
                  <c:v>2033</c:v>
                </c:pt>
                <c:pt idx="18">
                  <c:v>2034</c:v>
                </c:pt>
                <c:pt idx="19">
                  <c:v>2035</c:v>
                </c:pt>
                <c:pt idx="20">
                  <c:v>2036</c:v>
                </c:pt>
                <c:pt idx="21">
                  <c:v>2037</c:v>
                </c:pt>
                <c:pt idx="22">
                  <c:v>2038</c:v>
                </c:pt>
                <c:pt idx="23">
                  <c:v>2039</c:v>
                </c:pt>
                <c:pt idx="24">
                  <c:v>2040</c:v>
                </c:pt>
              </c:numCache>
            </c:numRef>
          </c:cat>
          <c:val>
            <c:numRef>
              <c:f>Graf!$B$25:$Z$25</c:f>
              <c:numCache>
                <c:formatCode>#\ ##0.0</c:formatCode>
                <c:ptCount val="25"/>
                <c:pt idx="0">
                  <c:v>47.052183451906302</c:v>
                </c:pt>
                <c:pt idx="1">
                  <c:v>45.864679034753259</c:v>
                </c:pt>
                <c:pt idx="2">
                  <c:v>43.330589179314366</c:v>
                </c:pt>
                <c:pt idx="3">
                  <c:v>43.081329264143989</c:v>
                </c:pt>
                <c:pt idx="4">
                  <c:v>48.882573597801191</c:v>
                </c:pt>
                <c:pt idx="5">
                  <c:v>49.641014501307112</c:v>
                </c:pt>
                <c:pt idx="6" formatCode="0.0">
                  <c:v>47.682873148354609</c:v>
                </c:pt>
                <c:pt idx="7" formatCode="0.0">
                  <c:v>49.257510105625251</c:v>
                </c:pt>
                <c:pt idx="8" formatCode="0.0">
                  <c:v>52.591079294737689</c:v>
                </c:pt>
                <c:pt idx="9" formatCode="0.0">
                  <c:v>55.161944071506298</c:v>
                </c:pt>
                <c:pt idx="10" formatCode="0.0">
                  <c:v>59.221262072840929</c:v>
                </c:pt>
                <c:pt idx="11" formatCode="0.0">
                  <c:v>62.530585186078667</c:v>
                </c:pt>
                <c:pt idx="12" formatCode="0.0">
                  <c:v>65.518508763797385</c:v>
                </c:pt>
                <c:pt idx="13" formatCode="0.0">
                  <c:v>69.392980491859163</c:v>
                </c:pt>
                <c:pt idx="14" formatCode="0.0">
                  <c:v>73.280632156397729</c:v>
                </c:pt>
                <c:pt idx="15" formatCode="0.0">
                  <c:v>77.130839081956523</c:v>
                </c:pt>
                <c:pt idx="16" formatCode="0.0">
                  <c:v>80.975276122492104</c:v>
                </c:pt>
                <c:pt idx="17" formatCode="0.0">
                  <c:v>84.886911183908779</c:v>
                </c:pt>
                <c:pt idx="18" formatCode="0.0">
                  <c:v>88.779790972770073</c:v>
                </c:pt>
                <c:pt idx="19" formatCode="0.0">
                  <c:v>92.645648041111045</c:v>
                </c:pt>
                <c:pt idx="20" formatCode="0.0">
                  <c:v>96.471961391776532</c:v>
                </c:pt>
                <c:pt idx="21" formatCode="0.0">
                  <c:v>100.2655442128751</c:v>
                </c:pt>
                <c:pt idx="22" formatCode="0.0">
                  <c:v>104.09281039880838</c:v>
                </c:pt>
                <c:pt idx="23" formatCode="0.0">
                  <c:v>107.93402177751237</c:v>
                </c:pt>
                <c:pt idx="24" formatCode="0.0">
                  <c:v>111.85030327064725</c:v>
                </c:pt>
              </c:numCache>
            </c:numRef>
          </c:val>
          <c:extLst>
            <c:ext xmlns:c16="http://schemas.microsoft.com/office/drawing/2014/chart" uri="{C3380CC4-5D6E-409C-BE32-E72D297353CC}">
              <c16:uniqueId val="{00000000-690A-46D3-8050-2451187311FE}"/>
            </c:ext>
          </c:extLst>
        </c:ser>
        <c:ser>
          <c:idx val="1"/>
          <c:order val="1"/>
          <c:tx>
            <c:strRef>
              <c:f>Graf!$A$26</c:f>
              <c:strCache>
                <c:ptCount val="1"/>
                <c:pt idx="0">
                  <c:v>Likvidné finančné aktíva (% HDP)</c:v>
                </c:pt>
              </c:strCache>
            </c:strRef>
          </c:tx>
          <c:spPr>
            <a:solidFill>
              <a:schemeClr val="accent2"/>
            </a:solidFill>
            <a:ln w="25400">
              <a:noFill/>
            </a:ln>
            <a:effectLst/>
          </c:spPr>
          <c:cat>
            <c:numRef>
              <c:f>Graf!$B$1:$Z$1</c:f>
              <c:numCache>
                <c:formatCode>General</c:formatCode>
                <c:ptCount val="2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pt idx="15">
                  <c:v>2031</c:v>
                </c:pt>
                <c:pt idx="16">
                  <c:v>2032</c:v>
                </c:pt>
                <c:pt idx="17">
                  <c:v>2033</c:v>
                </c:pt>
                <c:pt idx="18">
                  <c:v>2034</c:v>
                </c:pt>
                <c:pt idx="19">
                  <c:v>2035</c:v>
                </c:pt>
                <c:pt idx="20">
                  <c:v>2036</c:v>
                </c:pt>
                <c:pt idx="21">
                  <c:v>2037</c:v>
                </c:pt>
                <c:pt idx="22">
                  <c:v>2038</c:v>
                </c:pt>
                <c:pt idx="23">
                  <c:v>2039</c:v>
                </c:pt>
                <c:pt idx="24">
                  <c:v>2040</c:v>
                </c:pt>
              </c:numCache>
            </c:numRef>
          </c:cat>
          <c:val>
            <c:numRef>
              <c:f>Graf!$B$26:$Z$26</c:f>
              <c:numCache>
                <c:formatCode>#\ ##0.0</c:formatCode>
                <c:ptCount val="25"/>
                <c:pt idx="0">
                  <c:v>5.3605424373459201</c:v>
                </c:pt>
                <c:pt idx="1">
                  <c:v>5.7352388505529746</c:v>
                </c:pt>
                <c:pt idx="2">
                  <c:v>6.0774616498550884</c:v>
                </c:pt>
                <c:pt idx="3">
                  <c:v>4.893290093299079</c:v>
                </c:pt>
                <c:pt idx="4">
                  <c:v>9.9685270645670343</c:v>
                </c:pt>
                <c:pt idx="5">
                  <c:v>11.44054412615516</c:v>
                </c:pt>
                <c:pt idx="6">
                  <c:v>10.119915526795964</c:v>
                </c:pt>
                <c:pt idx="7">
                  <c:v>7.0893287701677963</c:v>
                </c:pt>
                <c:pt idx="8">
                  <c:v>5.68074801255311</c:v>
                </c:pt>
                <c:pt idx="9">
                  <c:v>5.235690672890712</c:v>
                </c:pt>
                <c:pt idx="10">
                  <c:v>4.90930945370323</c:v>
                </c:pt>
                <c:pt idx="11">
                  <c:v>5</c:v>
                </c:pt>
                <c:pt idx="12">
                  <c:v>4.9999999999999858</c:v>
                </c:pt>
                <c:pt idx="13">
                  <c:v>5</c:v>
                </c:pt>
                <c:pt idx="14">
                  <c:v>4</c:v>
                </c:pt>
                <c:pt idx="15">
                  <c:v>4</c:v>
                </c:pt>
                <c:pt idx="16">
                  <c:v>3.9999999999999858</c:v>
                </c:pt>
                <c:pt idx="17">
                  <c:v>4.0000000000000142</c:v>
                </c:pt>
                <c:pt idx="18">
                  <c:v>4</c:v>
                </c:pt>
                <c:pt idx="19">
                  <c:v>4</c:v>
                </c:pt>
                <c:pt idx="20">
                  <c:v>3.9999999999999858</c:v>
                </c:pt>
                <c:pt idx="21">
                  <c:v>4</c:v>
                </c:pt>
                <c:pt idx="22">
                  <c:v>4</c:v>
                </c:pt>
                <c:pt idx="23">
                  <c:v>4</c:v>
                </c:pt>
                <c:pt idx="24">
                  <c:v>3.9999999999999858</c:v>
                </c:pt>
              </c:numCache>
            </c:numRef>
          </c:val>
          <c:extLst>
            <c:ext xmlns:c16="http://schemas.microsoft.com/office/drawing/2014/chart" uri="{C3380CC4-5D6E-409C-BE32-E72D297353CC}">
              <c16:uniqueId val="{00000001-690A-46D3-8050-2451187311FE}"/>
            </c:ext>
          </c:extLst>
        </c:ser>
        <c:dLbls>
          <c:showLegendKey val="0"/>
          <c:showVal val="0"/>
          <c:showCatName val="0"/>
          <c:showSerName val="0"/>
          <c:showPercent val="0"/>
          <c:showBubbleSize val="0"/>
        </c:dLbls>
        <c:axId val="319272512"/>
        <c:axId val="319271336"/>
      </c:areaChart>
      <c:lineChart>
        <c:grouping val="standard"/>
        <c:varyColors val="0"/>
        <c:ser>
          <c:idx val="2"/>
          <c:order val="2"/>
          <c:tx>
            <c:strRef>
              <c:f>Graf!$A$24</c:f>
              <c:strCache>
                <c:ptCount val="1"/>
                <c:pt idx="0">
                  <c:v>Hrubý dlh (scenár bez zmeny politík)</c:v>
                </c:pt>
              </c:strCache>
            </c:strRef>
          </c:tx>
          <c:spPr>
            <a:ln w="25400" cap="rnd">
              <a:noFill/>
              <a:round/>
            </a:ln>
            <a:effectLst/>
          </c:spPr>
          <c:marker>
            <c:symbol val="circle"/>
            <c:size val="4"/>
            <c:spPr>
              <a:solidFill>
                <a:srgbClr val="002060"/>
              </a:solidFill>
              <a:ln w="3175">
                <a:noFill/>
              </a:ln>
              <a:effectLst/>
            </c:spPr>
          </c:marker>
          <c:dLbls>
            <c:dLbl>
              <c:idx val="0"/>
              <c:layout>
                <c:manualLayout>
                  <c:x val="-3.1701940035273365E-2"/>
                  <c:y val="-3.5144835507062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0A-46D3-8050-2451187311FE}"/>
                </c:ext>
              </c:extLst>
            </c:dLbl>
            <c:dLbl>
              <c:idx val="1"/>
              <c:layout>
                <c:manualLayout>
                  <c:x val="-3.1701940035273359E-2"/>
                  <c:y val="-3.0469753693130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0A-46D3-8050-2451187311FE}"/>
                </c:ext>
              </c:extLst>
            </c:dLbl>
            <c:dLbl>
              <c:idx val="2"/>
              <c:layout>
                <c:manualLayout>
                  <c:x val="-3.1701940035273386E-2"/>
                  <c:y val="-3.5144835507062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0A-46D3-8050-2451187311FE}"/>
                </c:ext>
              </c:extLst>
            </c:dLbl>
            <c:dLbl>
              <c:idx val="3"/>
              <c:layout>
                <c:manualLayout>
                  <c:x val="-3.1701940035273365E-2"/>
                  <c:y val="-3.5144835507062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0A-46D3-8050-2451187311F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Graf!$B$24:$Z$24</c:f>
              <c:numCache>
                <c:formatCode>#\ ##0.0</c:formatCode>
                <c:ptCount val="25"/>
                <c:pt idx="0">
                  <c:v>52.412725889252222</c:v>
                </c:pt>
                <c:pt idx="1">
                  <c:v>51.599917885306233</c:v>
                </c:pt>
                <c:pt idx="2">
                  <c:v>49.408050829169454</c:v>
                </c:pt>
                <c:pt idx="3">
                  <c:v>47.974619357443068</c:v>
                </c:pt>
                <c:pt idx="4">
                  <c:v>58.851100662368225</c:v>
                </c:pt>
                <c:pt idx="5">
                  <c:v>61.081558627462272</c:v>
                </c:pt>
                <c:pt idx="6" formatCode="0.0">
                  <c:v>57.802788675150573</c:v>
                </c:pt>
                <c:pt idx="7" formatCode="0.0">
                  <c:v>56.346838875793047</c:v>
                </c:pt>
                <c:pt idx="8" formatCode="0.0">
                  <c:v>58.271827307290799</c:v>
                </c:pt>
                <c:pt idx="9" formatCode="0.0">
                  <c:v>60.39763474439701</c:v>
                </c:pt>
                <c:pt idx="10" formatCode="0.0">
                  <c:v>64.130571526544159</c:v>
                </c:pt>
                <c:pt idx="11" formatCode="0.0">
                  <c:v>67.530585186078667</c:v>
                </c:pt>
                <c:pt idx="12" formatCode="0.0">
                  <c:v>70.518508763797371</c:v>
                </c:pt>
                <c:pt idx="13" formatCode="0.0">
                  <c:v>74.392980491859163</c:v>
                </c:pt>
                <c:pt idx="14" formatCode="0.0">
                  <c:v>77.280632156397729</c:v>
                </c:pt>
                <c:pt idx="15" formatCode="0.0">
                  <c:v>81.130839081956523</c:v>
                </c:pt>
                <c:pt idx="16" formatCode="0.0">
                  <c:v>84.97527612249209</c:v>
                </c:pt>
                <c:pt idx="17" formatCode="0.0">
                  <c:v>88.886911183908794</c:v>
                </c:pt>
                <c:pt idx="18" formatCode="0.0">
                  <c:v>92.779790972770073</c:v>
                </c:pt>
                <c:pt idx="19" formatCode="0.0">
                  <c:v>96.645648041111045</c:v>
                </c:pt>
                <c:pt idx="20" formatCode="0.0">
                  <c:v>100.47196139177652</c:v>
                </c:pt>
                <c:pt idx="21" formatCode="0.0">
                  <c:v>104.2655442128751</c:v>
                </c:pt>
                <c:pt idx="22" formatCode="0.0">
                  <c:v>108.09281039880838</c:v>
                </c:pt>
                <c:pt idx="23" formatCode="0.0">
                  <c:v>111.93402177751237</c:v>
                </c:pt>
                <c:pt idx="24" formatCode="0.0">
                  <c:v>115.85030327064723</c:v>
                </c:pt>
              </c:numCache>
            </c:numRef>
          </c:val>
          <c:smooth val="0"/>
          <c:extLst>
            <c:ext xmlns:c16="http://schemas.microsoft.com/office/drawing/2014/chart" uri="{C3380CC4-5D6E-409C-BE32-E72D297353CC}">
              <c16:uniqueId val="{00000006-690A-46D3-8050-2451187311FE}"/>
            </c:ext>
          </c:extLst>
        </c:ser>
        <c:ser>
          <c:idx val="3"/>
          <c:order val="3"/>
          <c:tx>
            <c:v>Horné a dolné pásmo dlhovej brzdy</c:v>
          </c:tx>
          <c:spPr>
            <a:ln w="12700" cap="rnd">
              <a:solidFill>
                <a:srgbClr val="F9C9BA">
                  <a:lumMod val="90000"/>
                </a:srgbClr>
              </a:solidFill>
              <a:prstDash val="sysDot"/>
              <a:round/>
            </a:ln>
            <a:effectLst/>
          </c:spPr>
          <c:marker>
            <c:symbol val="none"/>
          </c:marker>
          <c:dLbls>
            <c:dLbl>
              <c:idx val="24"/>
              <c:layout>
                <c:manualLayout>
                  <c:x val="-1.322751322751339E-2"/>
                  <c:y val="0"/>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FF0000"/>
                      </a:solidFill>
                      <a:latin typeface="Arial Narrow" panose="020B0606020202030204" pitchFamily="34" charset="0"/>
                      <a:ea typeface="+mn-ea"/>
                      <a:cs typeface="+mn-cs"/>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0A-46D3-8050-2451187311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Narrow" panose="020B0606020202030204" pitchFamily="34" charset="0"/>
                    <a:ea typeface="+mn-ea"/>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Graf!$B$30:$Z$30</c:f>
              <c:numCache>
                <c:formatCode>General</c:formatCode>
                <c:ptCount val="25"/>
                <c:pt idx="0">
                  <c:v>60</c:v>
                </c:pt>
                <c:pt idx="1">
                  <c:v>60</c:v>
                </c:pt>
                <c:pt idx="2">
                  <c:v>59</c:v>
                </c:pt>
                <c:pt idx="3">
                  <c:v>58</c:v>
                </c:pt>
                <c:pt idx="4">
                  <c:v>57</c:v>
                </c:pt>
                <c:pt idx="5">
                  <c:v>56</c:v>
                </c:pt>
                <c:pt idx="6">
                  <c:v>55</c:v>
                </c:pt>
                <c:pt idx="7">
                  <c:v>54</c:v>
                </c:pt>
                <c:pt idx="8">
                  <c:v>53</c:v>
                </c:pt>
                <c:pt idx="9">
                  <c:v>52</c:v>
                </c:pt>
                <c:pt idx="10">
                  <c:v>51</c:v>
                </c:pt>
                <c:pt idx="11">
                  <c:v>50</c:v>
                </c:pt>
                <c:pt idx="12">
                  <c:v>50</c:v>
                </c:pt>
                <c:pt idx="13">
                  <c:v>50</c:v>
                </c:pt>
                <c:pt idx="14">
                  <c:v>50</c:v>
                </c:pt>
                <c:pt idx="15">
                  <c:v>50</c:v>
                </c:pt>
                <c:pt idx="16">
                  <c:v>50</c:v>
                </c:pt>
                <c:pt idx="17">
                  <c:v>50</c:v>
                </c:pt>
                <c:pt idx="18">
                  <c:v>50</c:v>
                </c:pt>
                <c:pt idx="19">
                  <c:v>50</c:v>
                </c:pt>
                <c:pt idx="20">
                  <c:v>50</c:v>
                </c:pt>
                <c:pt idx="21">
                  <c:v>50</c:v>
                </c:pt>
                <c:pt idx="22">
                  <c:v>50</c:v>
                </c:pt>
                <c:pt idx="23">
                  <c:v>50</c:v>
                </c:pt>
                <c:pt idx="24">
                  <c:v>50</c:v>
                </c:pt>
              </c:numCache>
            </c:numRef>
          </c:val>
          <c:smooth val="0"/>
          <c:extLst>
            <c:ext xmlns:c16="http://schemas.microsoft.com/office/drawing/2014/chart" uri="{C3380CC4-5D6E-409C-BE32-E72D297353CC}">
              <c16:uniqueId val="{00000008-690A-46D3-8050-2451187311FE}"/>
            </c:ext>
          </c:extLst>
        </c:ser>
        <c:ser>
          <c:idx val="7"/>
          <c:order val="7"/>
          <c:tx>
            <c:strRef>
              <c:f>Graf!$A$34</c:f>
              <c:strCache>
                <c:ptCount val="1"/>
                <c:pt idx="0">
                  <c:v>1. pásmo</c:v>
                </c:pt>
              </c:strCache>
            </c:strRef>
          </c:tx>
          <c:spPr>
            <a:ln w="12700" cap="rnd">
              <a:solidFill>
                <a:srgbClr val="F9C9BA">
                  <a:lumMod val="90000"/>
                </a:srgbClr>
              </a:solidFill>
              <a:prstDash val="sysDot"/>
              <a:round/>
            </a:ln>
            <a:effectLst/>
          </c:spPr>
          <c:marker>
            <c:symbol val="none"/>
          </c:marker>
          <c:dLbls>
            <c:dLbl>
              <c:idx val="23"/>
              <c:layout>
                <c:manualLayout>
                  <c:x val="2.42504409171074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0A-46D3-8050-2451187311FE}"/>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FF0000"/>
                    </a:solidFill>
                    <a:latin typeface="Arial Narrow" panose="020B0606020202030204" pitchFamily="34" charset="0"/>
                    <a:ea typeface="+mn-ea"/>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Graf!$B$34:$Z$34</c:f>
              <c:numCache>
                <c:formatCode>General</c:formatCode>
                <c:ptCount val="25"/>
                <c:pt idx="0">
                  <c:v>50</c:v>
                </c:pt>
                <c:pt idx="1">
                  <c:v>50</c:v>
                </c:pt>
                <c:pt idx="2">
                  <c:v>49</c:v>
                </c:pt>
                <c:pt idx="3">
                  <c:v>48</c:v>
                </c:pt>
                <c:pt idx="4">
                  <c:v>47</c:v>
                </c:pt>
                <c:pt idx="5">
                  <c:v>46</c:v>
                </c:pt>
                <c:pt idx="6">
                  <c:v>45</c:v>
                </c:pt>
                <c:pt idx="7">
                  <c:v>44</c:v>
                </c:pt>
                <c:pt idx="8">
                  <c:v>43</c:v>
                </c:pt>
                <c:pt idx="9">
                  <c:v>42</c:v>
                </c:pt>
                <c:pt idx="10">
                  <c:v>41</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numCache>
            </c:numRef>
          </c:val>
          <c:smooth val="0"/>
          <c:extLst>
            <c:ext xmlns:c16="http://schemas.microsoft.com/office/drawing/2014/chart" uri="{C3380CC4-5D6E-409C-BE32-E72D297353CC}">
              <c16:uniqueId val="{0000000A-690A-46D3-8050-2451187311FE}"/>
            </c:ext>
          </c:extLst>
        </c:ser>
        <c:ser>
          <c:idx val="8"/>
          <c:order val="8"/>
          <c:tx>
            <c:v>Hrubý dlh (konsolidačný scenár od 2025)</c:v>
          </c:tx>
          <c:spPr>
            <a:ln w="19050" cap="rnd">
              <a:solidFill>
                <a:sysClr val="windowText" lastClr="000000"/>
              </a:solidFill>
              <a:prstDash val="sysDash"/>
              <a:round/>
            </a:ln>
            <a:effectLst/>
          </c:spPr>
          <c:marker>
            <c:symbol val="none"/>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90A-46D3-8050-2451187311FE}"/>
                </c:ext>
              </c:extLst>
            </c:dLbl>
            <c:dLbl>
              <c:idx val="11"/>
              <c:layout>
                <c:manualLayout>
                  <c:x val="-3.1046119235095614E-2"/>
                  <c:y val="3.280766271677471E-2"/>
                </c:manualLayout>
              </c:layout>
              <c:spPr>
                <a:solidFill>
                  <a:sysClr val="window" lastClr="FFFFFF"/>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Narrow" panose="020B0606020202030204" pitchFamily="34" charset="0"/>
                      <a:ea typeface="+mn-ea"/>
                      <a:cs typeface="+mn-cs"/>
                    </a:defRPr>
                  </a:pPr>
                  <a:endParaRPr lang="sk-SK"/>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90A-46D3-8050-2451187311FE}"/>
                </c:ext>
              </c:extLst>
            </c:dLbl>
            <c:dLbl>
              <c:idx val="18"/>
              <c:delete val="1"/>
              <c:extLst>
                <c:ext xmlns:c15="http://schemas.microsoft.com/office/drawing/2012/chart" uri="{CE6537A1-D6FC-4f65-9D91-7224C49458BB}"/>
                <c:ext xmlns:c16="http://schemas.microsoft.com/office/drawing/2014/chart" uri="{C3380CC4-5D6E-409C-BE32-E72D297353CC}">
                  <c16:uniqueId val="{0000000D-690A-46D3-8050-2451187311FE}"/>
                </c:ext>
              </c:extLst>
            </c:dLbl>
            <c:dLbl>
              <c:idx val="19"/>
              <c:layout>
                <c:manualLayout>
                  <c:x val="-3.1046119235095614E-2"/>
                  <c:y val="3.2807662716774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44-4113-A482-66C023F27806}"/>
                </c:ext>
              </c:extLst>
            </c:dLbl>
            <c:dLbl>
              <c:idx val="24"/>
              <c:layout>
                <c:manualLayout>
                  <c:x val="-2.4592932827840964E-2"/>
                  <c:y val="5.15079899725015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90A-46D3-8050-2451187311FE}"/>
                </c:ext>
              </c:extLst>
            </c:dLbl>
            <c:spPr>
              <a:solidFill>
                <a:sysClr val="window" lastClr="FFFFFF"/>
              </a:solidFill>
              <a:ln>
                <a:solidFill>
                  <a:sysClr val="windowText" lastClr="000000"/>
                </a:solid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Narrow" panose="020B0606020202030204" pitchFamily="34" charset="0"/>
                    <a:ea typeface="+mn-ea"/>
                    <a:cs typeface="+mn-cs"/>
                  </a:defRPr>
                </a:pPr>
                <a:endParaRPr lang="sk-SK"/>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Graf!$B$17:$Z$17</c:f>
              <c:numCache>
                <c:formatCode>#\ ##0.0</c:formatCode>
                <c:ptCount val="25"/>
                <c:pt idx="0">
                  <c:v>#N/A</c:v>
                </c:pt>
                <c:pt idx="1">
                  <c:v>#N/A</c:v>
                </c:pt>
                <c:pt idx="2">
                  <c:v>#N/A</c:v>
                </c:pt>
                <c:pt idx="3">
                  <c:v>#N/A</c:v>
                </c:pt>
                <c:pt idx="4">
                  <c:v>#N/A</c:v>
                </c:pt>
                <c:pt idx="5">
                  <c:v>#N/A</c:v>
                </c:pt>
                <c:pt idx="6">
                  <c:v>#N/A</c:v>
                </c:pt>
                <c:pt idx="7">
                  <c:v>#N/A</c:v>
                </c:pt>
                <c:pt idx="8" formatCode="0.0">
                  <c:v>58.463582980082137</c:v>
                </c:pt>
                <c:pt idx="9" formatCode="0.0">
                  <c:v>59.498276219852556</c:v>
                </c:pt>
                <c:pt idx="10" formatCode="0.0">
                  <c:v>61.101303832536345</c:v>
                </c:pt>
                <c:pt idx="11" formatCode="0.0">
                  <c:v>62.265517227563684</c:v>
                </c:pt>
                <c:pt idx="12" formatCode="0.0">
                  <c:v>62.166757353444481</c:v>
                </c:pt>
                <c:pt idx="13" formatCode="0.0">
                  <c:v>61.407913695762474</c:v>
                </c:pt>
                <c:pt idx="14" formatCode="0.0">
                  <c:v>59.42194073842807</c:v>
                </c:pt>
                <c:pt idx="15" formatCode="0.0">
                  <c:v>56.968436693079525</c:v>
                </c:pt>
                <c:pt idx="16" formatCode="0.0">
                  <c:v>54.576269621845441</c:v>
                </c:pt>
                <c:pt idx="17" formatCode="0.0">
                  <c:v>52.287174186182064</c:v>
                </c:pt>
                <c:pt idx="18" formatCode="0.0">
                  <c:v>50.558273956502653</c:v>
                </c:pt>
                <c:pt idx="19" formatCode="0.0">
                  <c:v>48.887957244587227</c:v>
                </c:pt>
                <c:pt idx="20" formatCode="0.0">
                  <c:v>47.274554701304012</c:v>
                </c:pt>
                <c:pt idx="21" formatCode="0.0">
                  <c:v>45.716367512905244</c:v>
                </c:pt>
                <c:pt idx="22" formatCode="0.0">
                  <c:v>44.236629958519522</c:v>
                </c:pt>
                <c:pt idx="23" formatCode="0.0">
                  <c:v>42.828368156907558</c:v>
                </c:pt>
                <c:pt idx="24" formatCode="0.0">
                  <c:v>41.489655172922937</c:v>
                </c:pt>
              </c:numCache>
            </c:numRef>
          </c:val>
          <c:smooth val="0"/>
          <c:extLst>
            <c:ext xmlns:c16="http://schemas.microsoft.com/office/drawing/2014/chart" uri="{C3380CC4-5D6E-409C-BE32-E72D297353CC}">
              <c16:uniqueId val="{0000000F-690A-46D3-8050-2451187311FE}"/>
            </c:ext>
          </c:extLst>
        </c:ser>
        <c:dLbls>
          <c:showLegendKey val="0"/>
          <c:showVal val="0"/>
          <c:showCatName val="0"/>
          <c:showSerName val="0"/>
          <c:showPercent val="0"/>
          <c:showBubbleSize val="0"/>
        </c:dLbls>
        <c:marker val="1"/>
        <c:smooth val="0"/>
        <c:axId val="319272512"/>
        <c:axId val="319271336"/>
        <c:extLst>
          <c:ext xmlns:c15="http://schemas.microsoft.com/office/drawing/2012/chart" uri="{02D57815-91ED-43cb-92C2-25804820EDAC}">
            <c15:filteredLineSeries>
              <c15:ser>
                <c:idx val="4"/>
                <c:order val="4"/>
                <c:tx>
                  <c:strRef>
                    <c:extLst>
                      <c:ext uri="{02D57815-91ED-43cb-92C2-25804820EDAC}">
                        <c15:formulaRef>
                          <c15:sqref>Graf!$A$31</c15:sqref>
                        </c15:formulaRef>
                      </c:ext>
                    </c:extLst>
                    <c:strCache>
                      <c:ptCount val="1"/>
                      <c:pt idx="0">
                        <c:v>4. pásmo</c:v>
                      </c:pt>
                    </c:strCache>
                  </c:strRef>
                </c:tx>
                <c:spPr>
                  <a:ln w="19050" cap="rnd">
                    <a:solidFill>
                      <a:srgbClr val="FF7C80"/>
                    </a:solidFill>
                    <a:prstDash val="sysDash"/>
                    <a:round/>
                  </a:ln>
                  <a:effectLst/>
                </c:spPr>
                <c:marker>
                  <c:symbol val="none"/>
                </c:marker>
                <c:val>
                  <c:numRef>
                    <c:extLst>
                      <c:ext uri="{02D57815-91ED-43cb-92C2-25804820EDAC}">
                        <c15:formulaRef>
                          <c15:sqref>Graf!$B$31:$Z$31</c15:sqref>
                        </c15:formulaRef>
                      </c:ext>
                    </c:extLst>
                    <c:numCache>
                      <c:formatCode>General</c:formatCode>
                      <c:ptCount val="25"/>
                      <c:pt idx="0">
                        <c:v>57</c:v>
                      </c:pt>
                      <c:pt idx="1">
                        <c:v>57</c:v>
                      </c:pt>
                      <c:pt idx="2">
                        <c:v>56</c:v>
                      </c:pt>
                      <c:pt idx="3">
                        <c:v>55</c:v>
                      </c:pt>
                      <c:pt idx="4">
                        <c:v>54</c:v>
                      </c:pt>
                      <c:pt idx="5">
                        <c:v>53</c:v>
                      </c:pt>
                      <c:pt idx="6">
                        <c:v>52</c:v>
                      </c:pt>
                      <c:pt idx="7">
                        <c:v>51</c:v>
                      </c:pt>
                      <c:pt idx="8">
                        <c:v>50</c:v>
                      </c:pt>
                      <c:pt idx="9">
                        <c:v>49</c:v>
                      </c:pt>
                      <c:pt idx="10">
                        <c:v>48</c:v>
                      </c:pt>
                      <c:pt idx="11">
                        <c:v>47</c:v>
                      </c:pt>
                      <c:pt idx="12">
                        <c:v>47</c:v>
                      </c:pt>
                      <c:pt idx="13">
                        <c:v>47</c:v>
                      </c:pt>
                      <c:pt idx="14">
                        <c:v>47</c:v>
                      </c:pt>
                      <c:pt idx="15">
                        <c:v>47</c:v>
                      </c:pt>
                      <c:pt idx="16">
                        <c:v>47</c:v>
                      </c:pt>
                      <c:pt idx="17">
                        <c:v>47</c:v>
                      </c:pt>
                      <c:pt idx="18">
                        <c:v>47</c:v>
                      </c:pt>
                      <c:pt idx="19">
                        <c:v>47</c:v>
                      </c:pt>
                      <c:pt idx="20">
                        <c:v>47</c:v>
                      </c:pt>
                      <c:pt idx="21">
                        <c:v>47</c:v>
                      </c:pt>
                      <c:pt idx="22">
                        <c:v>47</c:v>
                      </c:pt>
                      <c:pt idx="23">
                        <c:v>47</c:v>
                      </c:pt>
                      <c:pt idx="24">
                        <c:v>47</c:v>
                      </c:pt>
                    </c:numCache>
                  </c:numRef>
                </c:val>
                <c:smooth val="0"/>
                <c:extLst>
                  <c:ext xmlns:c16="http://schemas.microsoft.com/office/drawing/2014/chart" uri="{C3380CC4-5D6E-409C-BE32-E72D297353CC}">
                    <c16:uniqueId val="{00000010-690A-46D3-8050-2451187311FE}"/>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Graf!$A$32</c15:sqref>
                        </c15:formulaRef>
                      </c:ext>
                    </c:extLst>
                    <c:strCache>
                      <c:ptCount val="1"/>
                      <c:pt idx="0">
                        <c:v>3. pásmo</c:v>
                      </c:pt>
                    </c:strCache>
                  </c:strRef>
                </c:tx>
                <c:spPr>
                  <a:ln w="19050" cap="rnd">
                    <a:solidFill>
                      <a:srgbClr val="FF7C80"/>
                    </a:solidFill>
                    <a:prstDash val="sysDash"/>
                    <a:round/>
                  </a:ln>
                  <a:effectLst/>
                </c:spPr>
                <c:marker>
                  <c:symbol val="none"/>
                </c:marker>
                <c:val>
                  <c:numRef>
                    <c:extLst xmlns:c15="http://schemas.microsoft.com/office/drawing/2012/chart">
                      <c:ext xmlns:c15="http://schemas.microsoft.com/office/drawing/2012/chart" uri="{02D57815-91ED-43cb-92C2-25804820EDAC}">
                        <c15:formulaRef>
                          <c15:sqref>Graf!$B$32:$Z$32</c15:sqref>
                        </c15:formulaRef>
                      </c:ext>
                    </c:extLst>
                    <c:numCache>
                      <c:formatCode>General</c:formatCode>
                      <c:ptCount val="25"/>
                      <c:pt idx="0">
                        <c:v>55</c:v>
                      </c:pt>
                      <c:pt idx="1">
                        <c:v>55</c:v>
                      </c:pt>
                      <c:pt idx="2">
                        <c:v>54</c:v>
                      </c:pt>
                      <c:pt idx="3">
                        <c:v>53</c:v>
                      </c:pt>
                      <c:pt idx="4">
                        <c:v>52</c:v>
                      </c:pt>
                      <c:pt idx="5">
                        <c:v>51</c:v>
                      </c:pt>
                      <c:pt idx="6">
                        <c:v>50</c:v>
                      </c:pt>
                      <c:pt idx="7">
                        <c:v>49</c:v>
                      </c:pt>
                      <c:pt idx="8">
                        <c:v>48</c:v>
                      </c:pt>
                      <c:pt idx="9">
                        <c:v>47</c:v>
                      </c:pt>
                      <c:pt idx="10">
                        <c:v>46</c:v>
                      </c:pt>
                      <c:pt idx="11">
                        <c:v>45</c:v>
                      </c:pt>
                      <c:pt idx="12">
                        <c:v>45</c:v>
                      </c:pt>
                      <c:pt idx="13">
                        <c:v>45</c:v>
                      </c:pt>
                      <c:pt idx="14">
                        <c:v>45</c:v>
                      </c:pt>
                      <c:pt idx="15">
                        <c:v>45</c:v>
                      </c:pt>
                      <c:pt idx="16">
                        <c:v>45</c:v>
                      </c:pt>
                      <c:pt idx="17">
                        <c:v>45</c:v>
                      </c:pt>
                      <c:pt idx="18">
                        <c:v>45</c:v>
                      </c:pt>
                      <c:pt idx="19">
                        <c:v>45</c:v>
                      </c:pt>
                      <c:pt idx="20">
                        <c:v>45</c:v>
                      </c:pt>
                      <c:pt idx="21">
                        <c:v>45</c:v>
                      </c:pt>
                      <c:pt idx="22">
                        <c:v>45</c:v>
                      </c:pt>
                      <c:pt idx="23">
                        <c:v>45</c:v>
                      </c:pt>
                      <c:pt idx="24">
                        <c:v>45</c:v>
                      </c:pt>
                    </c:numCache>
                  </c:numRef>
                </c:val>
                <c:smooth val="0"/>
                <c:extLst xmlns:c15="http://schemas.microsoft.com/office/drawing/2012/chart">
                  <c:ext xmlns:c16="http://schemas.microsoft.com/office/drawing/2014/chart" uri="{C3380CC4-5D6E-409C-BE32-E72D297353CC}">
                    <c16:uniqueId val="{00000011-690A-46D3-8050-2451187311FE}"/>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Graf!$A$33</c15:sqref>
                        </c15:formulaRef>
                      </c:ext>
                    </c:extLst>
                    <c:strCache>
                      <c:ptCount val="1"/>
                      <c:pt idx="0">
                        <c:v>2. pásmo</c:v>
                      </c:pt>
                    </c:strCache>
                  </c:strRef>
                </c:tx>
                <c:spPr>
                  <a:ln w="19050" cap="rnd">
                    <a:solidFill>
                      <a:srgbClr val="FF7C80"/>
                    </a:solidFill>
                    <a:prstDash val="sysDash"/>
                    <a:round/>
                  </a:ln>
                  <a:effectLst/>
                </c:spPr>
                <c:marker>
                  <c:symbol val="none"/>
                </c:marker>
                <c:val>
                  <c:numRef>
                    <c:extLst xmlns:c15="http://schemas.microsoft.com/office/drawing/2012/chart">
                      <c:ext xmlns:c15="http://schemas.microsoft.com/office/drawing/2012/chart" uri="{02D57815-91ED-43cb-92C2-25804820EDAC}">
                        <c15:formulaRef>
                          <c15:sqref>Graf!$B$33:$Z$33</c15:sqref>
                        </c15:formulaRef>
                      </c:ext>
                    </c:extLst>
                    <c:numCache>
                      <c:formatCode>General</c:formatCode>
                      <c:ptCount val="25"/>
                      <c:pt idx="0">
                        <c:v>53</c:v>
                      </c:pt>
                      <c:pt idx="1">
                        <c:v>53</c:v>
                      </c:pt>
                      <c:pt idx="2">
                        <c:v>52</c:v>
                      </c:pt>
                      <c:pt idx="3">
                        <c:v>51</c:v>
                      </c:pt>
                      <c:pt idx="4">
                        <c:v>50</c:v>
                      </c:pt>
                      <c:pt idx="5">
                        <c:v>49</c:v>
                      </c:pt>
                      <c:pt idx="6">
                        <c:v>48</c:v>
                      </c:pt>
                      <c:pt idx="7">
                        <c:v>47</c:v>
                      </c:pt>
                      <c:pt idx="8">
                        <c:v>46</c:v>
                      </c:pt>
                      <c:pt idx="9">
                        <c:v>45</c:v>
                      </c:pt>
                      <c:pt idx="10">
                        <c:v>44</c:v>
                      </c:pt>
                      <c:pt idx="11">
                        <c:v>43</c:v>
                      </c:pt>
                      <c:pt idx="12">
                        <c:v>43</c:v>
                      </c:pt>
                      <c:pt idx="13">
                        <c:v>43</c:v>
                      </c:pt>
                      <c:pt idx="14">
                        <c:v>43</c:v>
                      </c:pt>
                      <c:pt idx="15">
                        <c:v>43</c:v>
                      </c:pt>
                      <c:pt idx="16">
                        <c:v>43</c:v>
                      </c:pt>
                      <c:pt idx="17">
                        <c:v>43</c:v>
                      </c:pt>
                      <c:pt idx="18">
                        <c:v>43</c:v>
                      </c:pt>
                      <c:pt idx="19">
                        <c:v>43</c:v>
                      </c:pt>
                      <c:pt idx="20">
                        <c:v>43</c:v>
                      </c:pt>
                      <c:pt idx="21">
                        <c:v>43</c:v>
                      </c:pt>
                      <c:pt idx="22">
                        <c:v>43</c:v>
                      </c:pt>
                      <c:pt idx="23">
                        <c:v>43</c:v>
                      </c:pt>
                      <c:pt idx="24">
                        <c:v>43</c:v>
                      </c:pt>
                    </c:numCache>
                  </c:numRef>
                </c:val>
                <c:smooth val="0"/>
                <c:extLst xmlns:c15="http://schemas.microsoft.com/office/drawing/2012/chart">
                  <c:ext xmlns:c16="http://schemas.microsoft.com/office/drawing/2014/chart" uri="{C3380CC4-5D6E-409C-BE32-E72D297353CC}">
                    <c16:uniqueId val="{00000012-690A-46D3-8050-2451187311FE}"/>
                  </c:ext>
                </c:extLst>
              </c15:ser>
            </c15:filteredLineSeries>
          </c:ext>
        </c:extLst>
      </c:lineChart>
      <c:dateAx>
        <c:axId val="319272512"/>
        <c:scaling>
          <c:orientation val="minMax"/>
        </c:scaling>
        <c:delete val="0"/>
        <c:axPos val="b"/>
        <c:numFmt formatCode="General" sourceLinked="1"/>
        <c:majorTickMark val="none"/>
        <c:minorTickMark val="none"/>
        <c:tickLblPos val="nextTo"/>
        <c:spPr>
          <a:noFill/>
          <a:ln w="12700" cap="flat" cmpd="sng" algn="ctr">
            <a:solidFill>
              <a:srgbClr val="686767"/>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k-SK"/>
          </a:p>
        </c:txPr>
        <c:crossAx val="319271336"/>
        <c:crosses val="autoZero"/>
        <c:auto val="0"/>
        <c:lblOffset val="100"/>
        <c:baseTimeUnit val="days"/>
        <c:majorUnit val="2"/>
        <c:majorTimeUnit val="days"/>
      </c:dateAx>
      <c:valAx>
        <c:axId val="319271336"/>
        <c:scaling>
          <c:orientation val="minMax"/>
          <c:max val="120"/>
          <c:min val="20"/>
        </c:scaling>
        <c:delete val="0"/>
        <c:axPos val="l"/>
        <c:majorGridlines>
          <c:spPr>
            <a:ln w="3175" cap="flat" cmpd="sng" algn="ctr">
              <a:solidFill>
                <a:srgbClr val="686767">
                  <a:alpha val="25000"/>
                </a:srgbClr>
              </a:solidFill>
              <a:prstDash val="sysDot"/>
              <a:round/>
            </a:ln>
            <a:effectLst/>
          </c:spPr>
        </c:majorGridlines>
        <c:numFmt formatCode="#,##0" sourceLinked="0"/>
        <c:majorTickMark val="none"/>
        <c:minorTickMark val="none"/>
        <c:tickLblPos val="nextTo"/>
        <c:spPr>
          <a:noFill/>
          <a:ln w="3175">
            <a:no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k-SK"/>
          </a:p>
        </c:txPr>
        <c:crossAx val="319272512"/>
        <c:crosses val="autoZero"/>
        <c:crossBetween val="between"/>
      </c:valAx>
      <c:spPr>
        <a:noFill/>
        <a:ln>
          <a:noFill/>
        </a:ln>
        <a:effectLst/>
      </c:spPr>
    </c:plotArea>
    <c:legend>
      <c:legendPos val="b"/>
      <c:legendEntry>
        <c:idx val="4"/>
        <c:delete val="1"/>
      </c:legendEntry>
      <c:layout>
        <c:manualLayout>
          <c:xMode val="edge"/>
          <c:yMode val="edge"/>
          <c:x val="9.1689927647932937E-3"/>
          <c:y val="0.86552440061401859"/>
          <c:w val="0.98166201447041346"/>
          <c:h val="0.1298005175720496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zero"/>
    <c:showDLblsOverMax val="0"/>
  </c:chart>
  <c:spPr>
    <a:noFill/>
    <a:ln w="9525" cap="flat" cmpd="sng" algn="ctr">
      <a:noFill/>
      <a:round/>
    </a:ln>
    <a:effectLst/>
  </c:spPr>
  <c:txPr>
    <a:bodyPr/>
    <a:lstStyle/>
    <a:p>
      <a:pPr>
        <a:defRPr>
          <a:solidFill>
            <a:schemeClr val="tx1"/>
          </a:solidFill>
          <a:latin typeface="Arial Narrow" panose="020B0606020202030204" pitchFamily="34" charset="0"/>
        </a:defRPr>
      </a:pPr>
      <a:endParaRPr lang="sk-SK"/>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55426223895927"/>
          <c:y val="3.7537537537537538E-2"/>
          <c:w val="0.85912206626345622"/>
          <c:h val="0.85935896526447708"/>
        </c:manualLayout>
      </c:layout>
      <c:lineChart>
        <c:grouping val="standard"/>
        <c:varyColors val="0"/>
        <c:ser>
          <c:idx val="1"/>
          <c:order val="0"/>
          <c:tx>
            <c:v>Žiadosti o PSD</c:v>
          </c:tx>
          <c:spPr>
            <a:ln w="19050" cap="rnd">
              <a:solidFill>
                <a:sysClr val="windowText" lastClr="000000"/>
              </a:solidFill>
              <a:round/>
            </a:ln>
            <a:effectLst/>
          </c:spPr>
          <c:marker>
            <c:symbol val="none"/>
          </c:marker>
          <c:dPt>
            <c:idx val="36"/>
            <c:marker>
              <c:symbol val="none"/>
            </c:marker>
            <c:bubble3D val="0"/>
            <c:spPr>
              <a:ln w="19050" cap="rnd">
                <a:solidFill>
                  <a:sysClr val="windowText" lastClr="000000"/>
                </a:solidFill>
                <a:prstDash val="solid"/>
                <a:round/>
              </a:ln>
              <a:effectLst/>
            </c:spPr>
            <c:extLst>
              <c:ext xmlns:c16="http://schemas.microsoft.com/office/drawing/2014/chart" uri="{C3380CC4-5D6E-409C-BE32-E72D297353CC}">
                <c16:uniqueId val="{00000001-128F-4F00-949F-7E64EAAD3358}"/>
              </c:ext>
            </c:extLst>
          </c:dPt>
          <c:dPt>
            <c:idx val="37"/>
            <c:marker>
              <c:symbol val="none"/>
            </c:marker>
            <c:bubble3D val="0"/>
            <c:spPr>
              <a:ln w="19050" cap="rnd">
                <a:solidFill>
                  <a:sysClr val="windowText" lastClr="000000"/>
                </a:solidFill>
                <a:prstDash val="sysDash"/>
                <a:round/>
              </a:ln>
              <a:effectLst/>
            </c:spPr>
            <c:extLst>
              <c:ext xmlns:c16="http://schemas.microsoft.com/office/drawing/2014/chart" uri="{C3380CC4-5D6E-409C-BE32-E72D297353CC}">
                <c16:uniqueId val="{00000003-128F-4F00-949F-7E64EAAD3358}"/>
              </c:ext>
            </c:extLst>
          </c:dPt>
          <c:cat>
            <c:numRef>
              <c:f>'prognoza (2)'!$A$14:$A$51</c:f>
              <c:numCache>
                <c:formatCode>mmm\-yy</c:formatCode>
                <c:ptCount val="38"/>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numCache>
              <c:extLst/>
            </c:numRef>
          </c:cat>
          <c:val>
            <c:numRef>
              <c:f>'prognoza (2)'!$B$14:$B$51</c:f>
              <c:numCache>
                <c:formatCode>#,##0</c:formatCode>
                <c:ptCount val="38"/>
                <c:pt idx="0">
                  <c:v>1393</c:v>
                </c:pt>
                <c:pt idx="1">
                  <c:v>1113</c:v>
                </c:pt>
                <c:pt idx="2">
                  <c:v>1224</c:v>
                </c:pt>
                <c:pt idx="3">
                  <c:v>928</c:v>
                </c:pt>
                <c:pt idx="4">
                  <c:v>1163</c:v>
                </c:pt>
                <c:pt idx="5">
                  <c:v>1572</c:v>
                </c:pt>
                <c:pt idx="6">
                  <c:v>1406</c:v>
                </c:pt>
                <c:pt idx="7">
                  <c:v>1167</c:v>
                </c:pt>
                <c:pt idx="8">
                  <c:v>1223</c:v>
                </c:pt>
                <c:pt idx="9">
                  <c:v>1209</c:v>
                </c:pt>
                <c:pt idx="10">
                  <c:v>949</c:v>
                </c:pt>
                <c:pt idx="11">
                  <c:v>1158</c:v>
                </c:pt>
                <c:pt idx="12">
                  <c:v>1328</c:v>
                </c:pt>
                <c:pt idx="13">
                  <c:v>910</c:v>
                </c:pt>
                <c:pt idx="14" formatCode="General">
                  <c:v>994</c:v>
                </c:pt>
                <c:pt idx="15" formatCode="General">
                  <c:v>972</c:v>
                </c:pt>
                <c:pt idx="16" formatCode="General">
                  <c:v>1029</c:v>
                </c:pt>
                <c:pt idx="17" formatCode="General">
                  <c:v>1112</c:v>
                </c:pt>
                <c:pt idx="18" formatCode="General">
                  <c:v>1255</c:v>
                </c:pt>
                <c:pt idx="19" formatCode="General">
                  <c:v>1138</c:v>
                </c:pt>
                <c:pt idx="20" formatCode="General">
                  <c:v>1123</c:v>
                </c:pt>
                <c:pt idx="21" formatCode="General">
                  <c:v>1374</c:v>
                </c:pt>
                <c:pt idx="22" formatCode="General">
                  <c:v>1308</c:v>
                </c:pt>
                <c:pt idx="23" formatCode="General">
                  <c:v>1817</c:v>
                </c:pt>
                <c:pt idx="24" formatCode="General">
                  <c:v>2057</c:v>
                </c:pt>
                <c:pt idx="25" formatCode="General">
                  <c:v>1291</c:v>
                </c:pt>
                <c:pt idx="26" formatCode="General">
                  <c:v>1291</c:v>
                </c:pt>
                <c:pt idx="27" formatCode="General">
                  <c:v>1183</c:v>
                </c:pt>
                <c:pt idx="28" formatCode="General">
                  <c:v>1242</c:v>
                </c:pt>
                <c:pt idx="29" formatCode="General">
                  <c:v>1926</c:v>
                </c:pt>
                <c:pt idx="30" formatCode="General">
                  <c:v>2068</c:v>
                </c:pt>
                <c:pt idx="31" formatCode="General">
                  <c:v>1853</c:v>
                </c:pt>
                <c:pt idx="32" formatCode="General">
                  <c:v>2448</c:v>
                </c:pt>
                <c:pt idx="33" formatCode="General">
                  <c:v>4458</c:v>
                </c:pt>
                <c:pt idx="34" formatCode="General">
                  <c:v>10686</c:v>
                </c:pt>
                <c:pt idx="35" formatCode="General">
                  <c:v>16451</c:v>
                </c:pt>
                <c:pt idx="36" formatCode="General">
                  <c:v>3306</c:v>
                </c:pt>
                <c:pt idx="37" formatCode="General">
                  <c:v>2844</c:v>
                </c:pt>
              </c:numCache>
              <c:extLst/>
            </c:numRef>
          </c:val>
          <c:smooth val="0"/>
          <c:extLst>
            <c:ext xmlns:c16="http://schemas.microsoft.com/office/drawing/2014/chart" uri="{C3380CC4-5D6E-409C-BE32-E72D297353CC}">
              <c16:uniqueId val="{00000004-128F-4F00-949F-7E64EAAD3358}"/>
            </c:ext>
          </c:extLst>
        </c:ser>
        <c:ser>
          <c:idx val="0"/>
          <c:order val="1"/>
          <c:tx>
            <c:v>Novopriznané PSD</c:v>
          </c:tx>
          <c:spPr>
            <a:ln w="19050" cap="rnd">
              <a:solidFill>
                <a:srgbClr val="FF0000"/>
              </a:solidFill>
              <a:round/>
            </a:ln>
            <a:effectLst/>
          </c:spPr>
          <c:marker>
            <c:symbol val="none"/>
          </c:marker>
          <c:dPt>
            <c:idx val="37"/>
            <c:marker>
              <c:symbol val="none"/>
            </c:marker>
            <c:bubble3D val="0"/>
            <c:spPr>
              <a:ln w="19050" cap="rnd">
                <a:solidFill>
                  <a:srgbClr val="FF0000"/>
                </a:solidFill>
                <a:prstDash val="solid"/>
                <a:round/>
              </a:ln>
              <a:effectLst/>
            </c:spPr>
            <c:extLst>
              <c:ext xmlns:c16="http://schemas.microsoft.com/office/drawing/2014/chart" uri="{C3380CC4-5D6E-409C-BE32-E72D297353CC}">
                <c16:uniqueId val="{00000006-128F-4F00-949F-7E64EAAD3358}"/>
              </c:ext>
            </c:extLst>
          </c:dPt>
          <c:cat>
            <c:numRef>
              <c:f>'prognoza (2)'!$A$14:$A$51</c:f>
              <c:numCache>
                <c:formatCode>mmm\-yy</c:formatCode>
                <c:ptCount val="38"/>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numCache>
              <c:extLst/>
            </c:numRef>
          </c:cat>
          <c:val>
            <c:numRef>
              <c:f>'prognoza (2)'!$C$14:$C$51</c:f>
              <c:numCache>
                <c:formatCode>#,##0</c:formatCode>
                <c:ptCount val="38"/>
                <c:pt idx="0">
                  <c:v>467</c:v>
                </c:pt>
                <c:pt idx="1">
                  <c:v>355</c:v>
                </c:pt>
                <c:pt idx="2">
                  <c:v>1281</c:v>
                </c:pt>
                <c:pt idx="3">
                  <c:v>807</c:v>
                </c:pt>
                <c:pt idx="4">
                  <c:v>1094</c:v>
                </c:pt>
                <c:pt idx="5">
                  <c:v>1106</c:v>
                </c:pt>
                <c:pt idx="6">
                  <c:v>783</c:v>
                </c:pt>
                <c:pt idx="7">
                  <c:v>1172</c:v>
                </c:pt>
                <c:pt idx="8">
                  <c:v>1448</c:v>
                </c:pt>
                <c:pt idx="9">
                  <c:v>1371</c:v>
                </c:pt>
                <c:pt idx="10">
                  <c:v>1257</c:v>
                </c:pt>
                <c:pt idx="11">
                  <c:v>937</c:v>
                </c:pt>
                <c:pt idx="12">
                  <c:v>1098</c:v>
                </c:pt>
                <c:pt idx="13">
                  <c:v>1418</c:v>
                </c:pt>
                <c:pt idx="14" formatCode="General">
                  <c:v>973</c:v>
                </c:pt>
                <c:pt idx="15" formatCode="General">
                  <c:v>683</c:v>
                </c:pt>
                <c:pt idx="16" formatCode="General">
                  <c:v>1362</c:v>
                </c:pt>
                <c:pt idx="17" formatCode="General">
                  <c:v>1159</c:v>
                </c:pt>
                <c:pt idx="18" formatCode="General">
                  <c:v>724</c:v>
                </c:pt>
                <c:pt idx="19" formatCode="General">
                  <c:v>1106</c:v>
                </c:pt>
                <c:pt idx="20" formatCode="General">
                  <c:v>1115</c:v>
                </c:pt>
                <c:pt idx="21" formatCode="General">
                  <c:v>1108</c:v>
                </c:pt>
                <c:pt idx="22" formatCode="General">
                  <c:v>981</c:v>
                </c:pt>
                <c:pt idx="23" formatCode="General">
                  <c:v>858</c:v>
                </c:pt>
                <c:pt idx="24" formatCode="General">
                  <c:v>962</c:v>
                </c:pt>
                <c:pt idx="25" formatCode="General">
                  <c:v>2052</c:v>
                </c:pt>
                <c:pt idx="26" formatCode="General">
                  <c:v>1497</c:v>
                </c:pt>
                <c:pt idx="27" formatCode="General">
                  <c:v>930</c:v>
                </c:pt>
                <c:pt idx="28" formatCode="General">
                  <c:v>1392</c:v>
                </c:pt>
                <c:pt idx="29" formatCode="General">
                  <c:v>1119</c:v>
                </c:pt>
                <c:pt idx="30" formatCode="General">
                  <c:v>386</c:v>
                </c:pt>
                <c:pt idx="31" formatCode="General">
                  <c:v>1803</c:v>
                </c:pt>
                <c:pt idx="32" formatCode="General">
                  <c:v>2029</c:v>
                </c:pt>
                <c:pt idx="33" formatCode="General">
                  <c:v>1872</c:v>
                </c:pt>
                <c:pt idx="34" formatCode="General">
                  <c:v>1692</c:v>
                </c:pt>
                <c:pt idx="35" formatCode="General">
                  <c:v>2030</c:v>
                </c:pt>
                <c:pt idx="36" formatCode="General">
                  <c:v>4972</c:v>
                </c:pt>
                <c:pt idx="37" formatCode="General">
                  <c:v>7276</c:v>
                </c:pt>
              </c:numCache>
              <c:extLst/>
            </c:numRef>
          </c:val>
          <c:smooth val="0"/>
          <c:extLst>
            <c:ext xmlns:c16="http://schemas.microsoft.com/office/drawing/2014/chart" uri="{C3380CC4-5D6E-409C-BE32-E72D297353CC}">
              <c16:uniqueId val="{00000007-128F-4F00-949F-7E64EAAD3358}"/>
            </c:ext>
          </c:extLst>
        </c:ser>
        <c:dLbls>
          <c:showLegendKey val="0"/>
          <c:showVal val="0"/>
          <c:showCatName val="0"/>
          <c:showSerName val="0"/>
          <c:showPercent val="0"/>
          <c:showBubbleSize val="0"/>
        </c:dLbls>
        <c:smooth val="0"/>
        <c:axId val="690462904"/>
        <c:axId val="690455360"/>
      </c:lineChart>
      <c:dateAx>
        <c:axId val="690462904"/>
        <c:scaling>
          <c:orientation val="minMax"/>
        </c:scaling>
        <c:delete val="0"/>
        <c:axPos val="b"/>
        <c:numFmt formatCode="mmm\-yy" sourceLinked="1"/>
        <c:majorTickMark val="none"/>
        <c:minorTickMark val="none"/>
        <c:tickLblPos val="nextTo"/>
        <c:spPr>
          <a:noFill/>
          <a:ln w="12700" cap="flat" cmpd="sng" algn="ctr">
            <a:solidFill>
              <a:srgbClr val="686767"/>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crossAx val="690455360"/>
        <c:crosses val="autoZero"/>
        <c:auto val="1"/>
        <c:lblOffset val="100"/>
        <c:baseTimeUnit val="months"/>
      </c:dateAx>
      <c:valAx>
        <c:axId val="690455360"/>
        <c:scaling>
          <c:orientation val="minMax"/>
        </c:scaling>
        <c:delete val="0"/>
        <c:axPos val="l"/>
        <c:majorGridlines>
          <c:spPr>
            <a:ln w="3175" cap="flat" cmpd="sng" algn="ctr">
              <a:solidFill>
                <a:srgbClr val="686767">
                  <a:alpha val="24706"/>
                </a:srgb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crossAx val="690462904"/>
        <c:crosses val="autoZero"/>
        <c:crossBetween val="between"/>
      </c:valAx>
      <c:spPr>
        <a:noFill/>
        <a:ln>
          <a:noFill/>
        </a:ln>
        <a:effectLst/>
      </c:spPr>
    </c:plotArea>
    <c:legend>
      <c:legendPos val="b"/>
      <c:layout>
        <c:manualLayout>
          <c:xMode val="edge"/>
          <c:yMode val="edge"/>
          <c:x val="0.13178059264331088"/>
          <c:y val="5.3226454801257898E-3"/>
          <c:w val="0.36737641006988958"/>
          <c:h val="0.19155700876373505"/>
        </c:manualLayout>
      </c:layout>
      <c:overlay val="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Arial Narrow" panose="020B0606020202030204" pitchFamily="34" charset="0"/>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192709210695847E-2"/>
          <c:y val="4.2553191489361701E-2"/>
          <c:w val="0.90847981747355289"/>
          <c:h val="0.78530748765356806"/>
        </c:manualLayout>
      </c:layout>
      <c:areaChart>
        <c:grouping val="standard"/>
        <c:varyColors val="0"/>
        <c:ser>
          <c:idx val="2"/>
          <c:order val="0"/>
          <c:tx>
            <c:v>Skutočnosť / Rozpočet</c:v>
          </c:tx>
          <c:spPr>
            <a:solidFill>
              <a:srgbClr val="2C9ADC"/>
            </a:solidFill>
            <a:ln>
              <a:noFill/>
            </a:ln>
          </c:spPr>
          <c:cat>
            <c:numRef>
              <c:f>'Cisty dlh'!$S$2:$AD$2</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extLst/>
            </c:numRef>
          </c:cat>
          <c:val>
            <c:numRef>
              <c:f>'Cisty dlh'!$S$4:$AD$4</c:f>
              <c:numCache>
                <c:formatCode>#\ ##0.0</c:formatCode>
                <c:ptCount val="12"/>
                <c:pt idx="0">
                  <c:v>52.274890812114805</c:v>
                </c:pt>
                <c:pt idx="1">
                  <c:v>51.46157115593779</c:v>
                </c:pt>
                <c:pt idx="2">
                  <c:v>49.408050829169454</c:v>
                </c:pt>
                <c:pt idx="3">
                  <c:v>47.978118841253959</c:v>
                </c:pt>
                <c:pt idx="4">
                  <c:v>58.847579660700198</c:v>
                </c:pt>
                <c:pt idx="5">
                  <c:v>61.088367230588602</c:v>
                </c:pt>
                <c:pt idx="6">
                  <c:v>57.741261644806862</c:v>
                </c:pt>
                <c:pt idx="7">
                  <c:v>56.044684106407651</c:v>
                </c:pt>
                <c:pt idx="8">
                  <c:v>58.62345712963095</c:v>
                </c:pt>
                <c:pt idx="9">
                  <c:v>59.826082434399538</c:v>
                </c:pt>
                <c:pt idx="10">
                  <c:v>63.591907584712345</c:v>
                </c:pt>
                <c:pt idx="11">
                  <c:v>67.826648508936699</c:v>
                </c:pt>
              </c:numCache>
              <c:extLst/>
            </c:numRef>
          </c:val>
          <c:extLst>
            <c:ext xmlns:c16="http://schemas.microsoft.com/office/drawing/2014/chart" uri="{C3380CC4-5D6E-409C-BE32-E72D297353CC}">
              <c16:uniqueId val="{00000000-A5FD-43E9-9DF2-3B35C981A7BE}"/>
            </c:ext>
          </c:extLst>
        </c:ser>
        <c:dLbls>
          <c:showLegendKey val="0"/>
          <c:showVal val="0"/>
          <c:showCatName val="0"/>
          <c:showSerName val="0"/>
          <c:showPercent val="0"/>
          <c:showBubbleSize val="0"/>
        </c:dLbls>
        <c:axId val="560515240"/>
        <c:axId val="560515632"/>
      </c:areaChart>
      <c:lineChart>
        <c:grouping val="standard"/>
        <c:varyColors val="0"/>
        <c:ser>
          <c:idx val="3"/>
          <c:order val="1"/>
          <c:spPr>
            <a:ln w="28575">
              <a:noFill/>
            </a:ln>
          </c:spPr>
          <c:marker>
            <c:symbol val="diamond"/>
            <c:size val="7"/>
            <c:spPr>
              <a:noFill/>
              <a:ln>
                <a:noFill/>
              </a:ln>
            </c:spPr>
          </c:marker>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dlh'!$S$21:$AD$21</c:f>
              <c:numCache>
                <c:formatCode>#\ ##0.0</c:formatCode>
                <c:ptCount val="12"/>
                <c:pt idx="0">
                  <c:v>46.928444657557399</c:v>
                </c:pt>
                <c:pt idx="1">
                  <c:v>45.741709297628958</c:v>
                </c:pt>
                <c:pt idx="2">
                  <c:v>43.330589179314366</c:v>
                </c:pt>
                <c:pt idx="3">
                  <c:v>43.083368211118753</c:v>
                </c:pt>
                <c:pt idx="4">
                  <c:v>48.876438719372061</c:v>
                </c:pt>
                <c:pt idx="5">
                  <c:v>49.642058834382276</c:v>
                </c:pt>
                <c:pt idx="6">
                  <c:v>47.59613111340574</c:v>
                </c:pt>
                <c:pt idx="7">
                  <c:v>48.509262410321341</c:v>
                </c:pt>
                <c:pt idx="8">
                  <c:v>50.788932646091943</c:v>
                </c:pt>
                <c:pt idx="9">
                  <c:v>54.262037951228507</c:v>
                </c:pt>
                <c:pt idx="10">
                  <c:v>58.20484020817149</c:v>
                </c:pt>
                <c:pt idx="11">
                  <c:v>61.583983305806925</c:v>
                </c:pt>
              </c:numCache>
              <c:extLst/>
            </c:numRef>
          </c:val>
          <c:smooth val="0"/>
          <c:extLst>
            <c:ext xmlns:c16="http://schemas.microsoft.com/office/drawing/2014/chart" uri="{C3380CC4-5D6E-409C-BE32-E72D297353CC}">
              <c16:uniqueId val="{00000001-A5FD-43E9-9DF2-3B35C981A7BE}"/>
            </c:ext>
          </c:extLst>
        </c:ser>
        <c:ser>
          <c:idx val="4"/>
          <c:order val="2"/>
          <c:tx>
            <c:v>Horné sankčné pásmo národnej dlhovej brzdy</c:v>
          </c:tx>
          <c:spPr>
            <a:ln w="19050">
              <a:solidFill>
                <a:srgbClr val="FF0000"/>
              </a:solidFill>
              <a:prstDash val="sysDot"/>
            </a:ln>
          </c:spPr>
          <c:marker>
            <c:symbol val="none"/>
          </c:marker>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dlh'!$S$29:$AD$29</c:f>
              <c:numCache>
                <c:formatCode>General</c:formatCode>
                <c:ptCount val="12"/>
                <c:pt idx="0">
                  <c:v>60</c:v>
                </c:pt>
                <c:pt idx="1">
                  <c:v>60</c:v>
                </c:pt>
                <c:pt idx="2">
                  <c:v>59</c:v>
                </c:pt>
                <c:pt idx="3">
                  <c:v>58</c:v>
                </c:pt>
                <c:pt idx="4">
                  <c:v>57</c:v>
                </c:pt>
                <c:pt idx="5">
                  <c:v>56</c:v>
                </c:pt>
                <c:pt idx="6">
                  <c:v>55</c:v>
                </c:pt>
                <c:pt idx="7">
                  <c:v>54</c:v>
                </c:pt>
                <c:pt idx="8">
                  <c:v>53</c:v>
                </c:pt>
                <c:pt idx="9">
                  <c:v>52</c:v>
                </c:pt>
                <c:pt idx="10">
                  <c:v>51</c:v>
                </c:pt>
                <c:pt idx="11">
                  <c:v>50</c:v>
                </c:pt>
              </c:numCache>
              <c:extLst/>
            </c:numRef>
          </c:val>
          <c:smooth val="0"/>
          <c:extLst>
            <c:ext xmlns:c16="http://schemas.microsoft.com/office/drawing/2014/chart" uri="{C3380CC4-5D6E-409C-BE32-E72D297353CC}">
              <c16:uniqueId val="{00000002-A5FD-43E9-9DF2-3B35C981A7BE}"/>
            </c:ext>
          </c:extLst>
        </c:ser>
        <c:ser>
          <c:idx val="9"/>
          <c:order val="5"/>
          <c:tx>
            <c:v>Rozpočtový cieľ</c:v>
          </c:tx>
          <c:spPr>
            <a:ln w="19050">
              <a:noFill/>
              <a:prstDash val="sysDash"/>
            </a:ln>
          </c:spPr>
          <c:marker>
            <c:symbol val="circle"/>
            <c:size val="4"/>
            <c:spPr>
              <a:solidFill>
                <a:sysClr val="windowText" lastClr="000000"/>
              </a:solidFill>
              <a:ln w="3175">
                <a:solidFill>
                  <a:sysClr val="window" lastClr="FFFFFF"/>
                </a:solidFill>
              </a:ln>
            </c:spPr>
          </c:marker>
          <c:dLbls>
            <c:numFmt formatCode="#,##0.0" sourceLinked="0"/>
            <c:spPr>
              <a:noFill/>
              <a:ln>
                <a:noFill/>
              </a:ln>
              <a:effectLst/>
            </c:spPr>
            <c:txPr>
              <a:bodyPr/>
              <a:lstStyle/>
              <a:p>
                <a:pPr>
                  <a:defRPr sz="800" b="1"/>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Dashboard!$AI$55:$AT$55</c:f>
              <c:numCache>
                <c:formatCode>0.0</c:formatCode>
                <c:ptCount val="12"/>
                <c:pt idx="0">
                  <c:v>#N/A</c:v>
                </c:pt>
                <c:pt idx="1">
                  <c:v>#N/A</c:v>
                </c:pt>
                <c:pt idx="2">
                  <c:v>#N/A</c:v>
                </c:pt>
                <c:pt idx="3">
                  <c:v>#N/A</c:v>
                </c:pt>
                <c:pt idx="4">
                  <c:v>#N/A</c:v>
                </c:pt>
                <c:pt idx="5">
                  <c:v>#N/A</c:v>
                </c:pt>
                <c:pt idx="6">
                  <c:v>#N/A</c:v>
                </c:pt>
                <c:pt idx="7">
                  <c:v>#N/A</c:v>
                </c:pt>
                <c:pt idx="8">
                  <c:v>58.463582980082137</c:v>
                </c:pt>
                <c:pt idx="9">
                  <c:v>59.498276219852556</c:v>
                </c:pt>
                <c:pt idx="10">
                  <c:v>61.101303832536345</c:v>
                </c:pt>
                <c:pt idx="11">
                  <c:v>62.265517227563684</c:v>
                </c:pt>
              </c:numCache>
              <c:extLst/>
            </c:numRef>
          </c:val>
          <c:smooth val="0"/>
          <c:extLst>
            <c:ext xmlns:c16="http://schemas.microsoft.com/office/drawing/2014/chart" uri="{C3380CC4-5D6E-409C-BE32-E72D297353CC}">
              <c16:uniqueId val="{00000003-A5FD-43E9-9DF2-3B35C981A7BE}"/>
            </c:ext>
          </c:extLst>
        </c:ser>
        <c:ser>
          <c:idx val="0"/>
          <c:order val="6"/>
          <c:spPr>
            <a:ln w="28575">
              <a:noFill/>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A5FD-43E9-9DF2-3B35C981A7BE}"/>
                </c:ext>
              </c:extLst>
            </c:dLbl>
            <c:dLbl>
              <c:idx val="1"/>
              <c:delete val="1"/>
              <c:extLst>
                <c:ext xmlns:c15="http://schemas.microsoft.com/office/drawing/2012/chart" uri="{CE6537A1-D6FC-4f65-9D91-7224C49458BB}"/>
                <c:ext xmlns:c16="http://schemas.microsoft.com/office/drawing/2014/chart" uri="{C3380CC4-5D6E-409C-BE32-E72D297353CC}">
                  <c16:uniqueId val="{00000005-A5FD-43E9-9DF2-3B35C981A7BE}"/>
                </c:ext>
              </c:extLst>
            </c:dLbl>
            <c:dLbl>
              <c:idx val="2"/>
              <c:delete val="1"/>
              <c:extLst>
                <c:ext xmlns:c15="http://schemas.microsoft.com/office/drawing/2012/chart" uri="{CE6537A1-D6FC-4f65-9D91-7224C49458BB}"/>
                <c:ext xmlns:c16="http://schemas.microsoft.com/office/drawing/2014/chart" uri="{C3380CC4-5D6E-409C-BE32-E72D297353CC}">
                  <c16:uniqueId val="{00000006-A5FD-43E9-9DF2-3B35C981A7BE}"/>
                </c:ext>
              </c:extLst>
            </c:dLbl>
            <c:dLbl>
              <c:idx val="4"/>
              <c:delete val="1"/>
              <c:extLst>
                <c:ext xmlns:c15="http://schemas.microsoft.com/office/drawing/2012/chart" uri="{CE6537A1-D6FC-4f65-9D91-7224C49458BB}"/>
                <c:ext xmlns:c16="http://schemas.microsoft.com/office/drawing/2014/chart" uri="{C3380CC4-5D6E-409C-BE32-E72D297353CC}">
                  <c16:uniqueId val="{00000007-A5FD-43E9-9DF2-3B35C981A7BE}"/>
                </c:ext>
              </c:extLst>
            </c:dLbl>
            <c:dLbl>
              <c:idx val="6"/>
              <c:delete val="1"/>
              <c:extLst>
                <c:ext xmlns:c15="http://schemas.microsoft.com/office/drawing/2012/chart" uri="{CE6537A1-D6FC-4f65-9D91-7224C49458BB}"/>
                <c:ext xmlns:c16="http://schemas.microsoft.com/office/drawing/2014/chart" uri="{C3380CC4-5D6E-409C-BE32-E72D297353CC}">
                  <c16:uniqueId val="{00000008-A5FD-43E9-9DF2-3B35C981A7BE}"/>
                </c:ext>
              </c:extLst>
            </c:dLbl>
            <c:dLbl>
              <c:idx val="10"/>
              <c:layout>
                <c:manualLayout>
                  <c:x val="-6.6625555224706326E-2"/>
                  <c:y val="-4.51037017589918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15-4BDD-8F2E-E0FA05A752DC}"/>
                </c:ext>
              </c:extLst>
            </c:dLbl>
            <c:dLbl>
              <c:idx val="11"/>
              <c:layout>
                <c:manualLayout>
                  <c:x val="-2.135621948576634E-2"/>
                  <c:y val="-3.98529797847203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15-4BDD-8F2E-E0FA05A752DC}"/>
                </c:ext>
              </c:extLst>
            </c:dLbl>
            <c:numFmt formatCode="#,##0.0" sourceLinked="0"/>
            <c:spPr>
              <a:noFill/>
              <a:ln>
                <a:noFill/>
              </a:ln>
              <a:effectLst/>
            </c:spPr>
            <c:txPr>
              <a:bodyPr wrap="square" lIns="38100" tIns="19050" rIns="38100" bIns="19050" anchor="ctr">
                <a:spAutoFit/>
              </a:bodyPr>
              <a:lstStyle/>
              <a:p>
                <a:pPr>
                  <a:defRPr sz="800"/>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chemeClr val="bg1">
                          <a:lumMod val="75000"/>
                        </a:schemeClr>
                      </a:solidFill>
                    </a:ln>
                  </c:spPr>
                </c15:leaderLines>
              </c:ext>
            </c:extLst>
          </c:dLbls>
          <c:cat>
            <c:strLit>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extLst>
                <c:ext xmlns:c15="http://schemas.microsoft.com/office/drawing/2012/chart" uri="{02D57815-91ED-43cb-92C2-25804820EDAC}">
                  <c15:autoCat val="1"/>
                </c:ext>
              </c:extLst>
            </c:strLit>
          </c:cat>
          <c:val>
            <c:numRef>
              <c:f>'Cisty dlh'!$S$4:$AD$4</c:f>
              <c:numCache>
                <c:formatCode>#\ ##0.0</c:formatCode>
                <c:ptCount val="12"/>
                <c:pt idx="0">
                  <c:v>52.274890812114805</c:v>
                </c:pt>
                <c:pt idx="1">
                  <c:v>51.46157115593779</c:v>
                </c:pt>
                <c:pt idx="2">
                  <c:v>49.408050829169454</c:v>
                </c:pt>
                <c:pt idx="3">
                  <c:v>47.978118841253959</c:v>
                </c:pt>
                <c:pt idx="4">
                  <c:v>58.847579660700198</c:v>
                </c:pt>
                <c:pt idx="5">
                  <c:v>61.088367230588602</c:v>
                </c:pt>
                <c:pt idx="6">
                  <c:v>57.741261644806862</c:v>
                </c:pt>
                <c:pt idx="7">
                  <c:v>56.044684106407651</c:v>
                </c:pt>
                <c:pt idx="8">
                  <c:v>58.62345712963095</c:v>
                </c:pt>
                <c:pt idx="9">
                  <c:v>59.826082434399538</c:v>
                </c:pt>
                <c:pt idx="10">
                  <c:v>63.591907584712345</c:v>
                </c:pt>
                <c:pt idx="11">
                  <c:v>67.826648508936699</c:v>
                </c:pt>
              </c:numCache>
              <c:extLst/>
            </c:numRef>
          </c:val>
          <c:smooth val="0"/>
          <c:extLst>
            <c:ext xmlns:c16="http://schemas.microsoft.com/office/drawing/2014/chart" uri="{C3380CC4-5D6E-409C-BE32-E72D297353CC}">
              <c16:uniqueId val="{0000000A-A5FD-43E9-9DF2-3B35C981A7BE}"/>
            </c:ext>
          </c:extLst>
        </c:ser>
        <c:dLbls>
          <c:showLegendKey val="0"/>
          <c:showVal val="0"/>
          <c:showCatName val="0"/>
          <c:showSerName val="0"/>
          <c:showPercent val="0"/>
          <c:showBubbleSize val="0"/>
        </c:dLbls>
        <c:marker val="1"/>
        <c:smooth val="0"/>
        <c:axId val="560515240"/>
        <c:axId val="560515632"/>
        <c:extLst>
          <c:ext xmlns:c15="http://schemas.microsoft.com/office/drawing/2012/chart" uri="{02D57815-91ED-43cb-92C2-25804820EDAC}">
            <c15:filteredLineSeries>
              <c15:ser>
                <c:idx val="7"/>
                <c:order val="3"/>
                <c:tx>
                  <c:v>Gross debt (reaching budgetary targets)</c:v>
                </c:tx>
                <c:spPr>
                  <a:ln w="19050">
                    <a:solidFill>
                      <a:schemeClr val="tx1"/>
                    </a:solidFill>
                    <a:prstDash val="sysDash"/>
                  </a:ln>
                </c:spPr>
                <c:marker>
                  <c:symbol val="none"/>
                </c:marker>
                <c:val>
                  <c:numRef>
                    <c:extLst>
                      <c:ext uri="{02D57815-91ED-43cb-92C2-25804820EDAC}">
                        <c15:formulaRef>
                          <c15:sqref>'Súhrnná tabuľka'!$AQ$127:$AT$127</c15:sqref>
                        </c15:formulaRef>
                      </c:ext>
                    </c:extLst>
                    <c:numCache>
                      <c:formatCode>0.0</c:formatCode>
                      <c:ptCount val="4"/>
                      <c:pt idx="0">
                        <c:v>57.741261644806862</c:v>
                      </c:pt>
                      <c:pt idx="1">
                        <c:v>56.044683925644719</c:v>
                      </c:pt>
                      <c:pt idx="2">
                        <c:v>57.755945193230673</c:v>
                      </c:pt>
                      <c:pt idx="3">
                        <c:v>57.669507859250288</c:v>
                      </c:pt>
                    </c:numCache>
                  </c:numRef>
                </c:val>
                <c:smooth val="0"/>
                <c:extLst>
                  <c:ext xmlns:c16="http://schemas.microsoft.com/office/drawing/2014/chart" uri="{C3380CC4-5D6E-409C-BE32-E72D297353CC}">
                    <c16:uniqueId val="{0000000B-A5FD-43E9-9DF2-3B35C981A7BE}"/>
                  </c:ext>
                </c:extLst>
              </c15:ser>
            </c15:filteredLineSeries>
            <c15:filteredLineSeries>
              <c15:ser>
                <c:idx val="8"/>
                <c:order val="4"/>
                <c:tx>
                  <c:v>Net debt (reaching budgetary targets)</c:v>
                </c:tx>
                <c:spPr>
                  <a:ln w="19050">
                    <a:solidFill>
                      <a:schemeClr val="bg1">
                        <a:lumMod val="85000"/>
                      </a:schemeClr>
                    </a:solidFill>
                    <a:prstDash val="sysDash"/>
                  </a:ln>
                </c:spPr>
                <c:marker>
                  <c:symbol val="none"/>
                </c:marker>
                <c:val>
                  <c:numRef>
                    <c:extLst xmlns:c15="http://schemas.microsoft.com/office/drawing/2012/chart">
                      <c:ext xmlns:c15="http://schemas.microsoft.com/office/drawing/2012/chart" uri="{02D57815-91ED-43cb-92C2-25804820EDAC}">
                        <c15:formulaRef>
                          <c15:sqref>'Súhrnná tabuľka'!$AQ$128:$AT$128</c15:sqref>
                        </c15:formulaRef>
                      </c:ext>
                    </c:extLst>
                    <c:numCache>
                      <c:formatCode>0.0</c:formatCode>
                      <c:ptCount val="4"/>
                      <c:pt idx="0">
                        <c:v>47.59613111340574</c:v>
                      </c:pt>
                      <c:pt idx="1">
                        <c:v>48.509262229558416</c:v>
                      </c:pt>
                      <c:pt idx="2">
                        <c:v>49.921420709691674</c:v>
                      </c:pt>
                      <c:pt idx="3">
                        <c:v>52.10546337607925</c:v>
                      </c:pt>
                    </c:numCache>
                  </c:numRef>
                </c:val>
                <c:smooth val="0"/>
                <c:extLst xmlns:c15="http://schemas.microsoft.com/office/drawing/2012/chart">
                  <c:ext xmlns:c16="http://schemas.microsoft.com/office/drawing/2014/chart" uri="{C3380CC4-5D6E-409C-BE32-E72D297353CC}">
                    <c16:uniqueId val="{0000000C-A5FD-43E9-9DF2-3B35C981A7BE}"/>
                  </c:ext>
                </c:extLst>
              </c15:ser>
            </c15:filteredLineSeries>
          </c:ext>
        </c:extLst>
      </c:lineChart>
      <c:catAx>
        <c:axId val="560515240"/>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vert="horz"/>
          <a:lstStyle/>
          <a:p>
            <a:pPr>
              <a:defRPr sz="800"/>
            </a:pPr>
            <a:endParaRPr lang="sk-SK"/>
          </a:p>
        </c:txPr>
        <c:crossAx val="560515632"/>
        <c:crosses val="autoZero"/>
        <c:auto val="0"/>
        <c:lblAlgn val="ctr"/>
        <c:lblOffset val="100"/>
        <c:noMultiLvlLbl val="0"/>
      </c:catAx>
      <c:valAx>
        <c:axId val="560515632"/>
        <c:scaling>
          <c:orientation val="minMax"/>
          <c:min val="40"/>
        </c:scaling>
        <c:delete val="0"/>
        <c:axPos val="l"/>
        <c:majorGridlines>
          <c:spPr>
            <a:ln w="3175" cap="flat" cmpd="sng" algn="ctr">
              <a:solidFill>
                <a:schemeClr val="bg1">
                  <a:lumMod val="50000"/>
                  <a:alpha val="25000"/>
                </a:schemeClr>
              </a:solidFill>
              <a:prstDash val="sysDot"/>
              <a:round/>
            </a:ln>
            <a:effectLst/>
          </c:spPr>
        </c:majorGridlines>
        <c:numFmt formatCode="0" sourceLinked="0"/>
        <c:majorTickMark val="none"/>
        <c:minorTickMark val="none"/>
        <c:tickLblPos val="nextTo"/>
        <c:spPr>
          <a:noFill/>
          <a:ln w="3175">
            <a:noFill/>
          </a:ln>
          <a:effectLst/>
        </c:spPr>
        <c:txPr>
          <a:bodyPr rot="-60000000" vert="horz"/>
          <a:lstStyle/>
          <a:p>
            <a:pPr>
              <a:defRPr/>
            </a:pPr>
            <a:endParaRPr lang="sk-SK"/>
          </a:p>
        </c:txPr>
        <c:crossAx val="560515240"/>
        <c:crosses val="autoZero"/>
        <c:crossBetween val="between"/>
      </c:valAx>
      <c:spPr>
        <a:noFill/>
        <a:ln w="3175">
          <a:noFill/>
          <a:prstDash val="sysDot"/>
        </a:ln>
        <a:effectLst/>
      </c:spPr>
    </c:plotArea>
    <c:legend>
      <c:legendPos val="t"/>
      <c:legendEntry>
        <c:idx val="1"/>
        <c:delete val="1"/>
      </c:legendEntry>
      <c:legendEntry>
        <c:idx val="4"/>
        <c:delete val="1"/>
      </c:legendEntry>
      <c:layout>
        <c:manualLayout>
          <c:xMode val="edge"/>
          <c:yMode val="edge"/>
          <c:x val="7.15469472111466E-2"/>
          <c:y val="2.1427906967129238E-2"/>
          <c:w val="0.86942947302766393"/>
          <c:h val="0.14172566838176473"/>
        </c:manualLayout>
      </c:layout>
      <c:overlay val="0"/>
      <c:txPr>
        <a:bodyPr/>
        <a:lstStyle/>
        <a:p>
          <a:pPr>
            <a:defRPr sz="800"/>
          </a:pPr>
          <a:endParaRPr lang="sk-SK"/>
        </a:p>
      </c:txPr>
    </c:legend>
    <c:plotVisOnly val="1"/>
    <c:dispBlanksAs val="gap"/>
    <c:showDLblsOverMax val="0"/>
  </c:chart>
  <c:spPr>
    <a:noFill/>
    <a:ln w="9525" cap="flat" cmpd="sng" algn="ctr">
      <a:noFill/>
      <a:round/>
    </a:ln>
    <a:effectLst/>
  </c:spPr>
  <c:txPr>
    <a:bodyPr/>
    <a:lstStyle/>
    <a:p>
      <a:pPr>
        <a:defRPr sz="700">
          <a:latin typeface="Arial Narrow" panose="020B0606020202030204" pitchFamily="34" charset="0"/>
        </a:defRPr>
      </a:pPr>
      <a:endParaRPr lang="sk-SK"/>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47696755296892E-2"/>
          <c:y val="2.976756283842898E-2"/>
          <c:w val="0.88119936094944651"/>
          <c:h val="0.86712893996358564"/>
        </c:manualLayout>
      </c:layout>
      <c:barChart>
        <c:barDir val="col"/>
        <c:grouping val="clustered"/>
        <c:varyColors val="0"/>
        <c:ser>
          <c:idx val="0"/>
          <c:order val="0"/>
          <c:spPr>
            <a:solidFill>
              <a:srgbClr val="2C9ADC"/>
            </a:solidFill>
            <a:ln>
              <a:noFill/>
            </a:ln>
            <a:effectLst/>
          </c:spPr>
          <c:invertIfNegative val="0"/>
          <c:dPt>
            <c:idx val="1"/>
            <c:invertIfNegative val="0"/>
            <c:bubble3D val="0"/>
            <c:spPr>
              <a:solidFill>
                <a:schemeClr val="tx1"/>
              </a:solidFill>
              <a:ln>
                <a:noFill/>
              </a:ln>
              <a:effectLst/>
            </c:spPr>
            <c:extLst>
              <c:ext xmlns:c16="http://schemas.microsoft.com/office/drawing/2014/chart" uri="{C3380CC4-5D6E-409C-BE32-E72D297353CC}">
                <c16:uniqueId val="{00000001-8DF1-44E7-848E-455689EB5727}"/>
              </c:ext>
            </c:extLst>
          </c:dPt>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Narrow" panose="020B0606020202030204" pitchFamily="34"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PSD40_komentar!$B$7:$C$7</c:f>
              <c:strCache>
                <c:ptCount val="2"/>
                <c:pt idx="0">
                  <c:v>S1</c:v>
                </c:pt>
                <c:pt idx="1">
                  <c:v>S2</c:v>
                </c:pt>
              </c:strCache>
            </c:strRef>
          </c:cat>
          <c:val>
            <c:numRef>
              <c:f>PSD40_komentar!$B$8:$C$8</c:f>
              <c:numCache>
                <c:formatCode>0.00</c:formatCode>
                <c:ptCount val="2"/>
                <c:pt idx="0">
                  <c:v>-0.22789676281255211</c:v>
                </c:pt>
                <c:pt idx="1">
                  <c:v>-0.29428169926002923</c:v>
                </c:pt>
              </c:numCache>
            </c:numRef>
          </c:val>
          <c:extLst>
            <c:ext xmlns:c16="http://schemas.microsoft.com/office/drawing/2014/chart" uri="{C3380CC4-5D6E-409C-BE32-E72D297353CC}">
              <c16:uniqueId val="{00000002-8DF1-44E7-848E-455689EB5727}"/>
            </c:ext>
          </c:extLst>
        </c:ser>
        <c:dLbls>
          <c:dLblPos val="outEnd"/>
          <c:showLegendKey val="0"/>
          <c:showVal val="1"/>
          <c:showCatName val="0"/>
          <c:showSerName val="0"/>
          <c:showPercent val="0"/>
          <c:showBubbleSize val="0"/>
        </c:dLbls>
        <c:gapWidth val="219"/>
        <c:overlap val="-27"/>
        <c:axId val="192237615"/>
        <c:axId val="346861263"/>
      </c:barChart>
      <c:catAx>
        <c:axId val="192237615"/>
        <c:scaling>
          <c:orientation val="minMax"/>
        </c:scaling>
        <c:delete val="0"/>
        <c:axPos val="b"/>
        <c:numFmt formatCode="General" sourceLinked="1"/>
        <c:majorTickMark val="none"/>
        <c:minorTickMark val="none"/>
        <c:tickLblPos val="nextTo"/>
        <c:spPr>
          <a:noFill/>
          <a:ln w="12700" cap="flat" cmpd="sng" algn="ctr">
            <a:solidFill>
              <a:srgbClr val="686767"/>
            </a:solidFill>
            <a:round/>
          </a:ln>
          <a:effectLst/>
        </c:spPr>
        <c:txPr>
          <a:bodyPr rot="-60000000" spcFirstLastPara="1" vertOverflow="ellipsis" vert="horz" wrap="square" anchor="ctr" anchorCtr="1"/>
          <a:lstStyle/>
          <a:p>
            <a:pPr>
              <a:defRPr sz="700" b="1" i="0" u="none" strike="noStrike" kern="1200" baseline="0">
                <a:solidFill>
                  <a:schemeClr val="bg1"/>
                </a:solidFill>
                <a:latin typeface="Arial Narrow" panose="020B0606020202030204" pitchFamily="34" charset="0"/>
                <a:ea typeface="+mn-ea"/>
                <a:cs typeface="+mn-cs"/>
              </a:defRPr>
            </a:pPr>
            <a:endParaRPr lang="sk-SK"/>
          </a:p>
        </c:txPr>
        <c:crossAx val="346861263"/>
        <c:crosses val="autoZero"/>
        <c:auto val="1"/>
        <c:lblAlgn val="ctr"/>
        <c:lblOffset val="100"/>
        <c:noMultiLvlLbl val="0"/>
      </c:catAx>
      <c:valAx>
        <c:axId val="346861263"/>
        <c:scaling>
          <c:orientation val="minMax"/>
        </c:scaling>
        <c:delete val="0"/>
        <c:axPos val="l"/>
        <c:majorGridlines>
          <c:spPr>
            <a:ln w="3175" cap="flat" cmpd="sng" algn="ctr">
              <a:solidFill>
                <a:srgbClr val="686767">
                  <a:alpha val="25000"/>
                </a:srgbClr>
              </a:solidFill>
              <a:prstDash val="sysDot"/>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crossAx val="19223761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latin typeface="Arial Narrow" panose="020B0606020202030204" pitchFamily="34" charset="0"/>
        </a:defRPr>
      </a:pPr>
      <a:endParaRPr lang="sk-SK"/>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63768358742392E-2"/>
          <c:y val="8.4437714516454654E-2"/>
          <c:w val="0.91819511922711794"/>
          <c:h val="0.74766611620356294"/>
        </c:manualLayout>
      </c:layout>
      <c:areaChart>
        <c:grouping val="stacked"/>
        <c:varyColors val="0"/>
        <c:ser>
          <c:idx val="3"/>
          <c:order val="0"/>
          <c:tx>
            <c:strRef>
              <c:f>'Graf 35'!$M$8</c:f>
              <c:strCache>
                <c:ptCount val="1"/>
                <c:pt idx="0">
                  <c:v>spodná hranica</c:v>
                </c:pt>
              </c:strCache>
            </c:strRef>
          </c:tx>
          <c:spPr>
            <a:noFill/>
            <a:ln w="28575">
              <a:noFill/>
              <a:prstDash val="solid"/>
            </a:ln>
          </c:spPr>
          <c:cat>
            <c:numRef>
              <c:f>'Graf 35'!$O$7:$T$7</c:f>
              <c:numCache>
                <c:formatCode>General</c:formatCode>
                <c:ptCount val="6"/>
                <c:pt idx="0">
                  <c:v>2022</c:v>
                </c:pt>
                <c:pt idx="1">
                  <c:v>2023</c:v>
                </c:pt>
                <c:pt idx="2">
                  <c:v>2024</c:v>
                </c:pt>
                <c:pt idx="3">
                  <c:v>2025</c:v>
                </c:pt>
                <c:pt idx="4">
                  <c:v>2026</c:v>
                </c:pt>
                <c:pt idx="5">
                  <c:v>2027</c:v>
                </c:pt>
              </c:numCache>
            </c:numRef>
          </c:cat>
          <c:val>
            <c:numRef>
              <c:f>'Graf 35'!$O$8:$T$8</c:f>
              <c:numCache>
                <c:formatCode>0.0</c:formatCode>
                <c:ptCount val="6"/>
                <c:pt idx="0">
                  <c:v>11.01488327795404</c:v>
                </c:pt>
                <c:pt idx="1">
                  <c:v>8.5030807154717785</c:v>
                </c:pt>
                <c:pt idx="2">
                  <c:v>5.2071315690929607</c:v>
                </c:pt>
                <c:pt idx="3">
                  <c:v>5.1542014328984314</c:v>
                </c:pt>
                <c:pt idx="4">
                  <c:v>4.4039550932931482</c:v>
                </c:pt>
                <c:pt idx="5">
                  <c:v>4.1733766228369422</c:v>
                </c:pt>
              </c:numCache>
            </c:numRef>
          </c:val>
          <c:extLst>
            <c:ext xmlns:c16="http://schemas.microsoft.com/office/drawing/2014/chart" uri="{C3380CC4-5D6E-409C-BE32-E72D297353CC}">
              <c16:uniqueId val="{00000000-C0EF-4EA0-B682-A0320E707920}"/>
            </c:ext>
          </c:extLst>
        </c:ser>
        <c:ser>
          <c:idx val="5"/>
          <c:order val="1"/>
          <c:tx>
            <c:strRef>
              <c:f>'Graf 35'!$M$9</c:f>
              <c:strCache>
                <c:ptCount val="1"/>
                <c:pt idx="0">
                  <c:v>25. percentil</c:v>
                </c:pt>
              </c:strCache>
            </c:strRef>
          </c:tx>
          <c:spPr>
            <a:solidFill>
              <a:srgbClr val="A2D2F0"/>
            </a:solidFill>
            <a:ln w="28575">
              <a:noFill/>
            </a:ln>
          </c:spPr>
          <c:cat>
            <c:numRef>
              <c:f>'Graf 35'!$O$7:$T$7</c:f>
              <c:numCache>
                <c:formatCode>General</c:formatCode>
                <c:ptCount val="6"/>
                <c:pt idx="0">
                  <c:v>2022</c:v>
                </c:pt>
                <c:pt idx="1">
                  <c:v>2023</c:v>
                </c:pt>
                <c:pt idx="2">
                  <c:v>2024</c:v>
                </c:pt>
                <c:pt idx="3">
                  <c:v>2025</c:v>
                </c:pt>
                <c:pt idx="4">
                  <c:v>2026</c:v>
                </c:pt>
                <c:pt idx="5">
                  <c:v>2027</c:v>
                </c:pt>
              </c:numCache>
            </c:numRef>
          </c:cat>
          <c:val>
            <c:numRef>
              <c:f>'Graf 35'!$O$9:$T$9</c:f>
              <c:numCache>
                <c:formatCode>0.0</c:formatCode>
                <c:ptCount val="6"/>
                <c:pt idx="0">
                  <c:v>0</c:v>
                </c:pt>
                <c:pt idx="1">
                  <c:v>0</c:v>
                </c:pt>
                <c:pt idx="2">
                  <c:v>0.48978843257524929</c:v>
                </c:pt>
                <c:pt idx="3">
                  <c:v>0.1228865663929799</c:v>
                </c:pt>
                <c:pt idx="4">
                  <c:v>0.37538173219567383</c:v>
                </c:pt>
                <c:pt idx="5">
                  <c:v>0.22235031465479516</c:v>
                </c:pt>
              </c:numCache>
            </c:numRef>
          </c:val>
          <c:extLst>
            <c:ext xmlns:c16="http://schemas.microsoft.com/office/drawing/2014/chart" uri="{C3380CC4-5D6E-409C-BE32-E72D297353CC}">
              <c16:uniqueId val="{00000001-C0EF-4EA0-B682-A0320E707920}"/>
            </c:ext>
          </c:extLst>
        </c:ser>
        <c:ser>
          <c:idx val="4"/>
          <c:order val="3"/>
          <c:tx>
            <c:strRef>
              <c:f>'Graf 35'!$M$10</c:f>
              <c:strCache>
                <c:ptCount val="1"/>
                <c:pt idx="0">
                  <c:v>75. percentil</c:v>
                </c:pt>
              </c:strCache>
            </c:strRef>
          </c:tx>
          <c:spPr>
            <a:solidFill>
              <a:srgbClr val="2C9ADC"/>
            </a:solidFill>
          </c:spPr>
          <c:cat>
            <c:numRef>
              <c:f>'Graf 35'!$O$7:$T$7</c:f>
              <c:numCache>
                <c:formatCode>General</c:formatCode>
                <c:ptCount val="6"/>
                <c:pt idx="0">
                  <c:v>2022</c:v>
                </c:pt>
                <c:pt idx="1">
                  <c:v>2023</c:v>
                </c:pt>
                <c:pt idx="2">
                  <c:v>2024</c:v>
                </c:pt>
                <c:pt idx="3">
                  <c:v>2025</c:v>
                </c:pt>
                <c:pt idx="4">
                  <c:v>2026</c:v>
                </c:pt>
                <c:pt idx="5">
                  <c:v>2027</c:v>
                </c:pt>
              </c:numCache>
            </c:numRef>
          </c:cat>
          <c:val>
            <c:numRef>
              <c:f>'Graf 35'!$O$10:$T$10</c:f>
              <c:numCache>
                <c:formatCode>0.0</c:formatCode>
                <c:ptCount val="6"/>
                <c:pt idx="0">
                  <c:v>0</c:v>
                </c:pt>
                <c:pt idx="1">
                  <c:v>0</c:v>
                </c:pt>
                <c:pt idx="2">
                  <c:v>0.21101190043389639</c:v>
                </c:pt>
                <c:pt idx="3">
                  <c:v>0.14006598674426929</c:v>
                </c:pt>
                <c:pt idx="4">
                  <c:v>0.2014565323557731</c:v>
                </c:pt>
                <c:pt idx="5">
                  <c:v>0.28802895076509216</c:v>
                </c:pt>
              </c:numCache>
            </c:numRef>
          </c:val>
          <c:extLst>
            <c:ext xmlns:c16="http://schemas.microsoft.com/office/drawing/2014/chart" uri="{C3380CC4-5D6E-409C-BE32-E72D297353CC}">
              <c16:uniqueId val="{00000002-C0EF-4EA0-B682-A0320E707920}"/>
            </c:ext>
          </c:extLst>
        </c:ser>
        <c:ser>
          <c:idx val="2"/>
          <c:order val="4"/>
          <c:tx>
            <c:strRef>
              <c:f>'Graf 35'!$M$11</c:f>
              <c:strCache>
                <c:ptCount val="1"/>
                <c:pt idx="0">
                  <c:v>horná hranica</c:v>
                </c:pt>
              </c:strCache>
            </c:strRef>
          </c:tx>
          <c:spPr>
            <a:solidFill>
              <a:srgbClr val="A2D2F0"/>
            </a:solidFill>
          </c:spPr>
          <c:cat>
            <c:numRef>
              <c:f>'Graf 35'!$O$7:$T$7</c:f>
              <c:numCache>
                <c:formatCode>General</c:formatCode>
                <c:ptCount val="6"/>
                <c:pt idx="0">
                  <c:v>2022</c:v>
                </c:pt>
                <c:pt idx="1">
                  <c:v>2023</c:v>
                </c:pt>
                <c:pt idx="2">
                  <c:v>2024</c:v>
                </c:pt>
                <c:pt idx="3">
                  <c:v>2025</c:v>
                </c:pt>
                <c:pt idx="4">
                  <c:v>2026</c:v>
                </c:pt>
                <c:pt idx="5">
                  <c:v>2027</c:v>
                </c:pt>
              </c:numCache>
            </c:numRef>
          </c:cat>
          <c:val>
            <c:numRef>
              <c:f>'Graf 35'!$O$11:$T$11</c:f>
              <c:numCache>
                <c:formatCode>0.0</c:formatCode>
                <c:ptCount val="6"/>
                <c:pt idx="0">
                  <c:v>2.7839444450439288E-3</c:v>
                </c:pt>
                <c:pt idx="1">
                  <c:v>0</c:v>
                </c:pt>
                <c:pt idx="2">
                  <c:v>0.44710456412852384</c:v>
                </c:pt>
                <c:pt idx="3">
                  <c:v>0.38947280115246308</c:v>
                </c:pt>
                <c:pt idx="4">
                  <c:v>0.37529057243586816</c:v>
                </c:pt>
                <c:pt idx="5">
                  <c:v>0.40802224924503339</c:v>
                </c:pt>
              </c:numCache>
            </c:numRef>
          </c:val>
          <c:extLst>
            <c:ext xmlns:c16="http://schemas.microsoft.com/office/drawing/2014/chart" uri="{C3380CC4-5D6E-409C-BE32-E72D297353CC}">
              <c16:uniqueId val="{00000003-C0EF-4EA0-B682-A0320E707920}"/>
            </c:ext>
          </c:extLst>
        </c:ser>
        <c:dLbls>
          <c:showLegendKey val="0"/>
          <c:showVal val="0"/>
          <c:showCatName val="0"/>
          <c:showSerName val="0"/>
          <c:showPercent val="0"/>
          <c:showBubbleSize val="0"/>
        </c:dLbls>
        <c:axId val="682647528"/>
        <c:axId val="682647920"/>
      </c:areaChart>
      <c:lineChart>
        <c:grouping val="standard"/>
        <c:varyColors val="0"/>
        <c:ser>
          <c:idx val="1"/>
          <c:order val="2"/>
          <c:tx>
            <c:strRef>
              <c:f>'Graf 35'!$M$13</c:f>
              <c:strCache>
                <c:ptCount val="1"/>
                <c:pt idx="0">
                  <c:v>medián Výboru</c:v>
                </c:pt>
              </c:strCache>
            </c:strRef>
          </c:tx>
          <c:spPr>
            <a:ln w="28575">
              <a:solidFill>
                <a:srgbClr val="1F497D">
                  <a:lumMod val="75000"/>
                </a:srgbClr>
              </a:solidFill>
              <a:prstDash val="dash"/>
            </a:ln>
          </c:spPr>
          <c:marker>
            <c:symbol val="none"/>
          </c:marker>
          <c:cat>
            <c:numRef>
              <c:f>'Graf 35'!$O$7:$T$7</c:f>
              <c:numCache>
                <c:formatCode>General</c:formatCode>
                <c:ptCount val="6"/>
                <c:pt idx="0">
                  <c:v>2022</c:v>
                </c:pt>
                <c:pt idx="1">
                  <c:v>2023</c:v>
                </c:pt>
                <c:pt idx="2">
                  <c:v>2024</c:v>
                </c:pt>
                <c:pt idx="3">
                  <c:v>2025</c:v>
                </c:pt>
                <c:pt idx="4">
                  <c:v>2026</c:v>
                </c:pt>
                <c:pt idx="5">
                  <c:v>2027</c:v>
                </c:pt>
              </c:numCache>
            </c:numRef>
          </c:cat>
          <c:val>
            <c:numRef>
              <c:f>'Graf 35'!$O$13:$T$13</c:f>
              <c:numCache>
                <c:formatCode>0.0</c:formatCode>
                <c:ptCount val="6"/>
                <c:pt idx="0">
                  <c:v>11.01488327795404</c:v>
                </c:pt>
                <c:pt idx="1">
                  <c:v>8.5030807154717785</c:v>
                </c:pt>
                <c:pt idx="2">
                  <c:v>5.9079319021021064</c:v>
                </c:pt>
                <c:pt idx="3">
                  <c:v>5.4171539860356805</c:v>
                </c:pt>
                <c:pt idx="4">
                  <c:v>4.9807933578445951</c:v>
                </c:pt>
                <c:pt idx="5">
                  <c:v>4.6837558882568295</c:v>
                </c:pt>
              </c:numCache>
            </c:numRef>
          </c:val>
          <c:smooth val="0"/>
          <c:extLst>
            <c:ext xmlns:c16="http://schemas.microsoft.com/office/drawing/2014/chart" uri="{C3380CC4-5D6E-409C-BE32-E72D297353CC}">
              <c16:uniqueId val="{00000004-C0EF-4EA0-B682-A0320E707920}"/>
            </c:ext>
          </c:extLst>
        </c:ser>
        <c:ser>
          <c:idx val="0"/>
          <c:order val="5"/>
          <c:tx>
            <c:strRef>
              <c:f>'Graf 35'!$M$12</c:f>
              <c:strCache>
                <c:ptCount val="1"/>
                <c:pt idx="0">
                  <c:v>prognóza MF SR</c:v>
                </c:pt>
              </c:strCache>
            </c:strRef>
          </c:tx>
          <c:spPr>
            <a:ln w="19050">
              <a:solidFill>
                <a:sysClr val="windowText" lastClr="000000"/>
              </a:solidFill>
            </a:ln>
          </c:spPr>
          <c:marker>
            <c:symbol val="none"/>
          </c:marker>
          <c:cat>
            <c:numRef>
              <c:f>'Graf 35'!$O$7:$T$7</c:f>
              <c:numCache>
                <c:formatCode>General</c:formatCode>
                <c:ptCount val="6"/>
                <c:pt idx="0">
                  <c:v>2022</c:v>
                </c:pt>
                <c:pt idx="1">
                  <c:v>2023</c:v>
                </c:pt>
                <c:pt idx="2">
                  <c:v>2024</c:v>
                </c:pt>
                <c:pt idx="3">
                  <c:v>2025</c:v>
                </c:pt>
                <c:pt idx="4">
                  <c:v>2026</c:v>
                </c:pt>
                <c:pt idx="5">
                  <c:v>2027</c:v>
                </c:pt>
              </c:numCache>
            </c:numRef>
          </c:cat>
          <c:val>
            <c:numRef>
              <c:f>'Graf 35'!$O$12:$T$12</c:f>
              <c:numCache>
                <c:formatCode>0.0</c:formatCode>
                <c:ptCount val="6"/>
                <c:pt idx="0">
                  <c:v>11.026019055734212</c:v>
                </c:pt>
                <c:pt idx="1">
                  <c:v>8.5030807154717785</c:v>
                </c:pt>
                <c:pt idx="2">
                  <c:v>5.9758093165762292</c:v>
                </c:pt>
                <c:pt idx="3">
                  <c:v>5.975441029086495</c:v>
                </c:pt>
                <c:pt idx="4">
                  <c:v>4.4210260761731686</c:v>
                </c:pt>
                <c:pt idx="5">
                  <c:v>3.8039909614101233</c:v>
                </c:pt>
              </c:numCache>
            </c:numRef>
          </c:val>
          <c:smooth val="0"/>
          <c:extLst>
            <c:ext xmlns:c16="http://schemas.microsoft.com/office/drawing/2014/chart" uri="{C3380CC4-5D6E-409C-BE32-E72D297353CC}">
              <c16:uniqueId val="{00000005-C0EF-4EA0-B682-A0320E707920}"/>
            </c:ext>
          </c:extLst>
        </c:ser>
        <c:dLbls>
          <c:showLegendKey val="0"/>
          <c:showVal val="0"/>
          <c:showCatName val="0"/>
          <c:showSerName val="0"/>
          <c:showPercent val="0"/>
          <c:showBubbleSize val="0"/>
        </c:dLbls>
        <c:marker val="1"/>
        <c:smooth val="0"/>
        <c:axId val="682647528"/>
        <c:axId val="682647920"/>
      </c:lineChart>
      <c:catAx>
        <c:axId val="682647528"/>
        <c:scaling>
          <c:orientation val="minMax"/>
        </c:scaling>
        <c:delete val="0"/>
        <c:axPos val="b"/>
        <c:numFmt formatCode="General" sourceLinked="0"/>
        <c:majorTickMark val="out"/>
        <c:minorTickMark val="none"/>
        <c:tickLblPos val="low"/>
        <c:txPr>
          <a:bodyPr rot="0" vert="horz"/>
          <a:lstStyle/>
          <a:p>
            <a:pPr>
              <a:defRPr/>
            </a:pPr>
            <a:endParaRPr lang="sk-SK"/>
          </a:p>
        </c:txPr>
        <c:crossAx val="682647920"/>
        <c:crosses val="autoZero"/>
        <c:auto val="1"/>
        <c:lblAlgn val="ctr"/>
        <c:lblOffset val="100"/>
        <c:noMultiLvlLbl val="0"/>
      </c:catAx>
      <c:valAx>
        <c:axId val="682647920"/>
        <c:scaling>
          <c:orientation val="minMax"/>
        </c:scaling>
        <c:delete val="0"/>
        <c:axPos val="l"/>
        <c:majorGridlines>
          <c:spPr>
            <a:ln>
              <a:solidFill>
                <a:schemeClr val="bg1">
                  <a:lumMod val="75000"/>
                </a:schemeClr>
              </a:solidFill>
              <a:prstDash val="sysDash"/>
            </a:ln>
          </c:spPr>
        </c:majorGridlines>
        <c:numFmt formatCode="#,##0.0" sourceLinked="0"/>
        <c:majorTickMark val="out"/>
        <c:minorTickMark val="none"/>
        <c:tickLblPos val="nextTo"/>
        <c:txPr>
          <a:bodyPr rot="0" vert="horz"/>
          <a:lstStyle/>
          <a:p>
            <a:pPr>
              <a:defRPr/>
            </a:pPr>
            <a:endParaRPr lang="sk-SK"/>
          </a:p>
        </c:txPr>
        <c:crossAx val="682647528"/>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ayout>
        <c:manualLayout>
          <c:xMode val="edge"/>
          <c:yMode val="edge"/>
          <c:x val="0.1286463431444041"/>
          <c:y val="0.58303997566521948"/>
          <c:w val="0.57876256205351739"/>
          <c:h val="0.17946223336882156"/>
        </c:manualLayout>
      </c:layout>
      <c:overlay val="1"/>
    </c:legend>
    <c:plotVisOnly val="1"/>
    <c:dispBlanksAs val="gap"/>
    <c:showDLblsOverMax val="0"/>
  </c:chart>
  <c:spPr>
    <a:ln>
      <a:noFill/>
    </a:ln>
  </c:spPr>
  <c:txPr>
    <a:bodyPr/>
    <a:lstStyle/>
    <a:p>
      <a:pPr>
        <a:defRPr sz="1000" b="0" i="0" u="none" strike="noStrike" baseline="0">
          <a:solidFill>
            <a:srgbClr val="000000"/>
          </a:solidFill>
          <a:latin typeface="Arial Narrow" panose="020B0606020202030204" pitchFamily="34" charset="0"/>
          <a:ea typeface="Calibri"/>
          <a:cs typeface="Calibri"/>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24577545784296E-2"/>
          <c:y val="6.4556399476614096E-2"/>
          <c:w val="0.88029484338230257"/>
          <c:h val="0.85748137319626516"/>
        </c:manualLayout>
      </c:layout>
      <c:barChart>
        <c:barDir val="col"/>
        <c:grouping val="stacked"/>
        <c:varyColors val="0"/>
        <c:ser>
          <c:idx val="0"/>
          <c:order val="0"/>
          <c:tx>
            <c:strRef>
              <c:f>'Graf 1'!$G$4</c:f>
              <c:strCache>
                <c:ptCount val="1"/>
                <c:pt idx="0">
                  <c:v>Spotreba</c:v>
                </c:pt>
              </c:strCache>
            </c:strRef>
          </c:tx>
          <c:spPr>
            <a:solidFill>
              <a:srgbClr val="1F497D"/>
            </a:solidFill>
          </c:spPr>
          <c:invertIfNegative val="0"/>
          <c:cat>
            <c:strRef>
              <c:f>'Graf 1'!$H$3:$N$3</c:f>
              <c:strCache>
                <c:ptCount val="7"/>
                <c:pt idx="0">
                  <c:v>2022</c:v>
                </c:pt>
                <c:pt idx="1">
                  <c:v>2023</c:v>
                </c:pt>
                <c:pt idx="2">
                  <c:v>2024F</c:v>
                </c:pt>
                <c:pt idx="3">
                  <c:v>2025F</c:v>
                </c:pt>
                <c:pt idx="4">
                  <c:v>2026F</c:v>
                </c:pt>
                <c:pt idx="5">
                  <c:v>2027F</c:v>
                </c:pt>
                <c:pt idx="6">
                  <c:v>2028F</c:v>
                </c:pt>
              </c:strCache>
            </c:strRef>
          </c:cat>
          <c:val>
            <c:numRef>
              <c:f>'Graf 1'!$H$4:$N$4</c:f>
              <c:numCache>
                <c:formatCode>0.0</c:formatCode>
                <c:ptCount val="7"/>
                <c:pt idx="0">
                  <c:v>2.595745717279474</c:v>
                </c:pt>
                <c:pt idx="1">
                  <c:v>-1.949334813671314</c:v>
                </c:pt>
                <c:pt idx="2">
                  <c:v>1.5892565095882258</c:v>
                </c:pt>
                <c:pt idx="3">
                  <c:v>1.4550139373646511</c:v>
                </c:pt>
                <c:pt idx="4">
                  <c:v>1.1857237273767183</c:v>
                </c:pt>
                <c:pt idx="5">
                  <c:v>0.83806901745707241</c:v>
                </c:pt>
                <c:pt idx="6">
                  <c:v>1.0072870765378823</c:v>
                </c:pt>
              </c:numCache>
            </c:numRef>
          </c:val>
          <c:extLst>
            <c:ext xmlns:c16="http://schemas.microsoft.com/office/drawing/2014/chart" uri="{C3380CC4-5D6E-409C-BE32-E72D297353CC}">
              <c16:uniqueId val="{00000000-37F1-48F2-9B54-5887AFC5B7C1}"/>
            </c:ext>
          </c:extLst>
        </c:ser>
        <c:ser>
          <c:idx val="1"/>
          <c:order val="1"/>
          <c:tx>
            <c:strRef>
              <c:f>'Graf 1'!$G$5</c:f>
              <c:strCache>
                <c:ptCount val="1"/>
                <c:pt idx="0">
                  <c:v>Investície</c:v>
                </c:pt>
              </c:strCache>
            </c:strRef>
          </c:tx>
          <c:spPr>
            <a:solidFill>
              <a:srgbClr val="5B9BD5"/>
            </a:solidFill>
          </c:spPr>
          <c:invertIfNegative val="0"/>
          <c:cat>
            <c:strRef>
              <c:f>'Graf 1'!$H$3:$N$3</c:f>
              <c:strCache>
                <c:ptCount val="7"/>
                <c:pt idx="0">
                  <c:v>2022</c:v>
                </c:pt>
                <c:pt idx="1">
                  <c:v>2023</c:v>
                </c:pt>
                <c:pt idx="2">
                  <c:v>2024F</c:v>
                </c:pt>
                <c:pt idx="3">
                  <c:v>2025F</c:v>
                </c:pt>
                <c:pt idx="4">
                  <c:v>2026F</c:v>
                </c:pt>
                <c:pt idx="5">
                  <c:v>2027F</c:v>
                </c:pt>
                <c:pt idx="6">
                  <c:v>2028F</c:v>
                </c:pt>
              </c:strCache>
            </c:strRef>
          </c:cat>
          <c:val>
            <c:numRef>
              <c:f>'Graf 1'!$H$5:$N$5</c:f>
              <c:numCache>
                <c:formatCode>0.0</c:formatCode>
                <c:ptCount val="7"/>
                <c:pt idx="0">
                  <c:v>1.1230305361006101</c:v>
                </c:pt>
                <c:pt idx="1">
                  <c:v>2.1707207722862654</c:v>
                </c:pt>
                <c:pt idx="2">
                  <c:v>-0.34405098983722804</c:v>
                </c:pt>
                <c:pt idx="3">
                  <c:v>2.2806192330901083</c:v>
                </c:pt>
                <c:pt idx="4">
                  <c:v>-0.32144528049358023</c:v>
                </c:pt>
                <c:pt idx="5">
                  <c:v>-0.84324172729553593</c:v>
                </c:pt>
                <c:pt idx="6">
                  <c:v>0.38039384827472011</c:v>
                </c:pt>
              </c:numCache>
            </c:numRef>
          </c:val>
          <c:extLst>
            <c:ext xmlns:c16="http://schemas.microsoft.com/office/drawing/2014/chart" uri="{C3380CC4-5D6E-409C-BE32-E72D297353CC}">
              <c16:uniqueId val="{00000001-37F1-48F2-9B54-5887AFC5B7C1}"/>
            </c:ext>
          </c:extLst>
        </c:ser>
        <c:ser>
          <c:idx val="8"/>
          <c:order val="2"/>
          <c:tx>
            <c:strRef>
              <c:f>'Graf 1'!$G$6</c:f>
              <c:strCache>
                <c:ptCount val="1"/>
                <c:pt idx="0">
                  <c:v>Zásoby a diskrepancia</c:v>
                </c:pt>
              </c:strCache>
            </c:strRef>
          </c:tx>
          <c:spPr>
            <a:solidFill>
              <a:srgbClr val="D5EBF8"/>
            </a:solidFill>
          </c:spPr>
          <c:invertIfNegative val="0"/>
          <c:cat>
            <c:strRef>
              <c:f>'Graf 1'!$H$3:$N$3</c:f>
              <c:strCache>
                <c:ptCount val="7"/>
                <c:pt idx="0">
                  <c:v>2022</c:v>
                </c:pt>
                <c:pt idx="1">
                  <c:v>2023</c:v>
                </c:pt>
                <c:pt idx="2">
                  <c:v>2024F</c:v>
                </c:pt>
                <c:pt idx="3">
                  <c:v>2025F</c:v>
                </c:pt>
                <c:pt idx="4">
                  <c:v>2026F</c:v>
                </c:pt>
                <c:pt idx="5">
                  <c:v>2027F</c:v>
                </c:pt>
                <c:pt idx="6">
                  <c:v>2028F</c:v>
                </c:pt>
              </c:strCache>
            </c:strRef>
          </c:cat>
          <c:val>
            <c:numRef>
              <c:f>'Graf 1'!$H$6:$N$6</c:f>
              <c:numCache>
                <c:formatCode>0.0</c:formatCode>
                <c:ptCount val="7"/>
                <c:pt idx="0">
                  <c:v>-0.79329320219726285</c:v>
                </c:pt>
                <c:pt idx="1">
                  <c:v>-4.5269132597900796</c:v>
                </c:pt>
                <c:pt idx="2">
                  <c:v>3.6485063639354749</c:v>
                </c:pt>
                <c:pt idx="3">
                  <c:v>0.68580898897214804</c:v>
                </c:pt>
                <c:pt idx="4">
                  <c:v>-2.4502360588030819E-9</c:v>
                </c:pt>
                <c:pt idx="5">
                  <c:v>-4.4690658959047135E-8</c:v>
                </c:pt>
                <c:pt idx="6">
                  <c:v>4.9662258662762545E-8</c:v>
                </c:pt>
              </c:numCache>
            </c:numRef>
          </c:val>
          <c:extLst>
            <c:ext xmlns:c16="http://schemas.microsoft.com/office/drawing/2014/chart" uri="{C3380CC4-5D6E-409C-BE32-E72D297353CC}">
              <c16:uniqueId val="{00000002-37F1-48F2-9B54-5887AFC5B7C1}"/>
            </c:ext>
          </c:extLst>
        </c:ser>
        <c:ser>
          <c:idx val="3"/>
          <c:order val="3"/>
          <c:tx>
            <c:strRef>
              <c:f>'Graf 1'!$G$7</c:f>
              <c:strCache>
                <c:ptCount val="1"/>
                <c:pt idx="0">
                  <c:v>Čistý export</c:v>
                </c:pt>
              </c:strCache>
            </c:strRef>
          </c:tx>
          <c:spPr>
            <a:solidFill>
              <a:srgbClr val="7F7F7F"/>
            </a:solidFill>
          </c:spPr>
          <c:invertIfNegative val="0"/>
          <c:cat>
            <c:strRef>
              <c:f>'Graf 1'!$H$3:$N$3</c:f>
              <c:strCache>
                <c:ptCount val="7"/>
                <c:pt idx="0">
                  <c:v>2022</c:v>
                </c:pt>
                <c:pt idx="1">
                  <c:v>2023</c:v>
                </c:pt>
                <c:pt idx="2">
                  <c:v>2024F</c:v>
                </c:pt>
                <c:pt idx="3">
                  <c:v>2025F</c:v>
                </c:pt>
                <c:pt idx="4">
                  <c:v>2026F</c:v>
                </c:pt>
                <c:pt idx="5">
                  <c:v>2027F</c:v>
                </c:pt>
                <c:pt idx="6">
                  <c:v>2028F</c:v>
                </c:pt>
              </c:strCache>
            </c:strRef>
          </c:cat>
          <c:val>
            <c:numRef>
              <c:f>'Graf 1'!$H$7:$N$7</c:f>
              <c:numCache>
                <c:formatCode>0.0</c:formatCode>
                <c:ptCount val="7"/>
                <c:pt idx="0">
                  <c:v>-1.0554468524726361</c:v>
                </c:pt>
                <c:pt idx="1">
                  <c:v>5.9019822723265127</c:v>
                </c:pt>
                <c:pt idx="2">
                  <c:v>-2.9344762711764258</c:v>
                </c:pt>
                <c:pt idx="3">
                  <c:v>-1.3538575465988645</c:v>
                </c:pt>
                <c:pt idx="4">
                  <c:v>1.3650550860140949</c:v>
                </c:pt>
                <c:pt idx="5">
                  <c:v>1.6508159207659605</c:v>
                </c:pt>
                <c:pt idx="6">
                  <c:v>0.73202830624584736</c:v>
                </c:pt>
              </c:numCache>
            </c:numRef>
          </c:val>
          <c:extLst>
            <c:ext xmlns:c16="http://schemas.microsoft.com/office/drawing/2014/chart" uri="{C3380CC4-5D6E-409C-BE32-E72D297353CC}">
              <c16:uniqueId val="{00000003-37F1-48F2-9B54-5887AFC5B7C1}"/>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6"/>
          <c:order val="4"/>
          <c:tx>
            <c:strRef>
              <c:f>'Graf 1'!$G$8</c:f>
              <c:strCache>
                <c:ptCount val="1"/>
                <c:pt idx="0">
                  <c:v>HDP</c:v>
                </c:pt>
              </c:strCache>
            </c:strRef>
          </c:tx>
          <c:spPr>
            <a:ln w="19050">
              <a:solidFill>
                <a:sysClr val="windowText" lastClr="000000"/>
              </a:solidFill>
            </a:ln>
          </c:spPr>
          <c:marker>
            <c:symbol val="none"/>
          </c:marker>
          <c:dLbls>
            <c:dLbl>
              <c:idx val="0"/>
              <c:layout>
                <c:manualLayout>
                  <c:x val="-6.6328694395576773E-2"/>
                  <c:y val="-0.1253010708287467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F1-48F2-9B54-5887AFC5B7C1}"/>
                </c:ext>
              </c:extLst>
            </c:dLbl>
            <c:dLbl>
              <c:idx val="1"/>
              <c:spPr>
                <a:noFill/>
                <a:ln>
                  <a:noFill/>
                </a:ln>
                <a:effectLst/>
              </c:spPr>
              <c:txPr>
                <a:bodyPr wrap="square" lIns="38100" tIns="19050" rIns="38100" bIns="19050" anchor="ctr">
                  <a:spAutoFit/>
                </a:bodyPr>
                <a:lstStyle/>
                <a:p>
                  <a:pPr>
                    <a:defRPr>
                      <a:solidFill>
                        <a:schemeClr val="bg1"/>
                      </a:solidFill>
                    </a:defRPr>
                  </a:pPr>
                  <a:endParaRPr lang="sk-SK"/>
                </a:p>
              </c:txPr>
              <c:dLblPos val="t"/>
              <c:showLegendKey val="0"/>
              <c:showVal val="1"/>
              <c:showCatName val="0"/>
              <c:showSerName val="0"/>
              <c:showPercent val="0"/>
              <c:showBubbleSize val="0"/>
              <c:extLst>
                <c:ext xmlns:c16="http://schemas.microsoft.com/office/drawing/2014/chart" uri="{C3380CC4-5D6E-409C-BE32-E72D297353CC}">
                  <c16:uniqueId val="{00000000-DAC1-4475-8637-C4760C79931C}"/>
                </c:ext>
              </c:extLst>
            </c:dLbl>
            <c:dLbl>
              <c:idx val="3"/>
              <c:layout>
                <c:manualLayout>
                  <c:x val="-6.1794949050697982E-2"/>
                  <c:y val="-0.112239307930970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F1-48F2-9B54-5887AFC5B7C1}"/>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1'!$H$3:$N$3</c:f>
              <c:strCache>
                <c:ptCount val="7"/>
                <c:pt idx="0">
                  <c:v>2022</c:v>
                </c:pt>
                <c:pt idx="1">
                  <c:v>2023</c:v>
                </c:pt>
                <c:pt idx="2">
                  <c:v>2024F</c:v>
                </c:pt>
                <c:pt idx="3">
                  <c:v>2025F</c:v>
                </c:pt>
                <c:pt idx="4">
                  <c:v>2026F</c:v>
                </c:pt>
                <c:pt idx="5">
                  <c:v>2027F</c:v>
                </c:pt>
                <c:pt idx="6">
                  <c:v>2028F</c:v>
                </c:pt>
              </c:strCache>
            </c:strRef>
          </c:cat>
          <c:val>
            <c:numRef>
              <c:f>'Graf 1'!$H$8:$N$8</c:f>
              <c:numCache>
                <c:formatCode>0.0</c:formatCode>
                <c:ptCount val="7"/>
                <c:pt idx="0">
                  <c:v>1.8700361987101799</c:v>
                </c:pt>
                <c:pt idx="1">
                  <c:v>1.5964549711514</c:v>
                </c:pt>
                <c:pt idx="2">
                  <c:v>1.9592356125100574</c:v>
                </c:pt>
                <c:pt idx="3">
                  <c:v>3.0675846128280337</c:v>
                </c:pt>
                <c:pt idx="4">
                  <c:v>2.2293335304470308</c:v>
                </c:pt>
                <c:pt idx="5">
                  <c:v>1.645643166236832</c:v>
                </c:pt>
                <c:pt idx="6">
                  <c:v>2.1197092807207163</c:v>
                </c:pt>
              </c:numCache>
            </c:numRef>
          </c:val>
          <c:smooth val="0"/>
          <c:extLst>
            <c:ext xmlns:c16="http://schemas.microsoft.com/office/drawing/2014/chart" uri="{C3380CC4-5D6E-409C-BE32-E72D297353CC}">
              <c16:uniqueId val="{00000006-37F1-48F2-9B54-5887AFC5B7C1}"/>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crossAx val="489686984"/>
        <c:crosses val="autoZero"/>
        <c:auto val="1"/>
        <c:lblAlgn val="ctr"/>
        <c:lblOffset val="100"/>
        <c:noMultiLvlLbl val="0"/>
      </c:catAx>
      <c:valAx>
        <c:axId val="489686984"/>
        <c:scaling>
          <c:orientation val="minMax"/>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40528042107427631"/>
          <c:y val="0.60202729658792653"/>
          <c:w val="0.55667053058164351"/>
          <c:h val="0.30882519685039372"/>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529667547637157E-2"/>
          <c:y val="8.340668066821523E-2"/>
          <c:w val="0.87669623298477539"/>
          <c:h val="0.78517518015243382"/>
        </c:manualLayout>
      </c:layout>
      <c:barChart>
        <c:barDir val="col"/>
        <c:grouping val="stacked"/>
        <c:varyColors val="0"/>
        <c:ser>
          <c:idx val="0"/>
          <c:order val="0"/>
          <c:tx>
            <c:strRef>
              <c:f>'Graf 2'!$B$23</c:f>
              <c:strCache>
                <c:ptCount val="1"/>
                <c:pt idx="0">
                  <c:v>POO</c:v>
                </c:pt>
              </c:strCache>
            </c:strRef>
          </c:tx>
          <c:spPr>
            <a:solidFill>
              <a:srgbClr val="1F497D"/>
            </a:solidFill>
          </c:spPr>
          <c:invertIfNegative val="0"/>
          <c:cat>
            <c:strRef>
              <c:f>'Graf 2'!$G$22:$M$22</c:f>
              <c:strCache>
                <c:ptCount val="7"/>
                <c:pt idx="0">
                  <c:v>2022</c:v>
                </c:pt>
                <c:pt idx="1">
                  <c:v>2023</c:v>
                </c:pt>
                <c:pt idx="2">
                  <c:v>2024F</c:v>
                </c:pt>
                <c:pt idx="3">
                  <c:v>2025F</c:v>
                </c:pt>
                <c:pt idx="4">
                  <c:v>2026F</c:v>
                </c:pt>
                <c:pt idx="5">
                  <c:v>2027F</c:v>
                </c:pt>
                <c:pt idx="6">
                  <c:v>2028F</c:v>
                </c:pt>
              </c:strCache>
            </c:strRef>
          </c:cat>
          <c:val>
            <c:numRef>
              <c:f>'Graf 2'!$G$23:$M$23</c:f>
              <c:numCache>
                <c:formatCode>0.0</c:formatCode>
                <c:ptCount val="7"/>
                <c:pt idx="0">
                  <c:v>4.4658641359022207E-2</c:v>
                </c:pt>
                <c:pt idx="1">
                  <c:v>0.30555548054026166</c:v>
                </c:pt>
                <c:pt idx="2">
                  <c:v>1.3235441232501821</c:v>
                </c:pt>
                <c:pt idx="3">
                  <c:v>2.3107854152837835</c:v>
                </c:pt>
                <c:pt idx="4">
                  <c:v>0.70163935429804958</c:v>
                </c:pt>
                <c:pt idx="5">
                  <c:v>0</c:v>
                </c:pt>
                <c:pt idx="6">
                  <c:v>0</c:v>
                </c:pt>
              </c:numCache>
            </c:numRef>
          </c:val>
          <c:extLst>
            <c:ext xmlns:c16="http://schemas.microsoft.com/office/drawing/2014/chart" uri="{C3380CC4-5D6E-409C-BE32-E72D297353CC}">
              <c16:uniqueId val="{00000000-5821-4DFA-B1F8-A00C0DD1F871}"/>
            </c:ext>
          </c:extLst>
        </c:ser>
        <c:ser>
          <c:idx val="1"/>
          <c:order val="1"/>
          <c:tx>
            <c:strRef>
              <c:f>'Graf 2'!$B$24</c:f>
              <c:strCache>
                <c:ptCount val="1"/>
                <c:pt idx="0">
                  <c:v>Štandardné fondy EÚ</c:v>
                </c:pt>
              </c:strCache>
            </c:strRef>
          </c:tx>
          <c:spPr>
            <a:solidFill>
              <a:srgbClr val="5B9BD5"/>
            </a:solidFill>
          </c:spPr>
          <c:invertIfNegative val="0"/>
          <c:cat>
            <c:strRef>
              <c:f>'Graf 2'!$G$22:$M$22</c:f>
              <c:strCache>
                <c:ptCount val="7"/>
                <c:pt idx="0">
                  <c:v>2022</c:v>
                </c:pt>
                <c:pt idx="1">
                  <c:v>2023</c:v>
                </c:pt>
                <c:pt idx="2">
                  <c:v>2024F</c:v>
                </c:pt>
                <c:pt idx="3">
                  <c:v>2025F</c:v>
                </c:pt>
                <c:pt idx="4">
                  <c:v>2026F</c:v>
                </c:pt>
                <c:pt idx="5">
                  <c:v>2027F</c:v>
                </c:pt>
                <c:pt idx="6">
                  <c:v>2028F</c:v>
                </c:pt>
              </c:strCache>
            </c:strRef>
          </c:cat>
          <c:val>
            <c:numRef>
              <c:f>'Graf 2'!$G$24:$M$24</c:f>
              <c:numCache>
                <c:formatCode>0.0</c:formatCode>
                <c:ptCount val="7"/>
                <c:pt idx="0">
                  <c:v>2.0095020271660999</c:v>
                </c:pt>
                <c:pt idx="1">
                  <c:v>4.0168505143380138</c:v>
                </c:pt>
                <c:pt idx="2">
                  <c:v>1.2740864413969777</c:v>
                </c:pt>
                <c:pt idx="3">
                  <c:v>1.570326081663042</c:v>
                </c:pt>
                <c:pt idx="4">
                  <c:v>1.6580363603637298</c:v>
                </c:pt>
                <c:pt idx="5">
                  <c:v>1.9354462550976392</c:v>
                </c:pt>
                <c:pt idx="6">
                  <c:v>1.8441712929123932</c:v>
                </c:pt>
              </c:numCache>
            </c:numRef>
          </c:val>
          <c:extLst>
            <c:ext xmlns:c16="http://schemas.microsoft.com/office/drawing/2014/chart" uri="{C3380CC4-5D6E-409C-BE32-E72D297353CC}">
              <c16:uniqueId val="{00000001-5821-4DFA-B1F8-A00C0DD1F871}"/>
            </c:ext>
          </c:extLst>
        </c:ser>
        <c:dLbls>
          <c:showLegendKey val="0"/>
          <c:showVal val="0"/>
          <c:showCatName val="0"/>
          <c:showSerName val="0"/>
          <c:showPercent val="0"/>
          <c:showBubbleSize val="0"/>
        </c:dLbls>
        <c:gapWidth val="150"/>
        <c:overlap val="100"/>
        <c:axId val="489686592"/>
        <c:axId val="489686984"/>
      </c:barChart>
      <c:catAx>
        <c:axId val="489686592"/>
        <c:scaling>
          <c:orientation val="minMax"/>
        </c:scaling>
        <c:delete val="0"/>
        <c:axPos val="b"/>
        <c:numFmt formatCode="General" sourceLinked="1"/>
        <c:majorTickMark val="none"/>
        <c:minorTickMark val="none"/>
        <c:tickLblPos val="low"/>
        <c:crossAx val="489686984"/>
        <c:crosses val="autoZero"/>
        <c:auto val="1"/>
        <c:lblAlgn val="ctr"/>
        <c:lblOffset val="100"/>
        <c:noMultiLvlLbl val="0"/>
      </c:catAx>
      <c:valAx>
        <c:axId val="489686984"/>
        <c:scaling>
          <c:orientation val="minMax"/>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20581075732454918"/>
          <c:y val="3.7260940874379395E-2"/>
          <c:w val="0.60708953024480172"/>
          <c:h val="0.15593766873490267"/>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24577545784296E-2"/>
          <c:y val="6.4556399476614096E-2"/>
          <c:w val="0.88029484338230257"/>
          <c:h val="0.85748137319626516"/>
        </c:manualLayout>
      </c:layout>
      <c:barChart>
        <c:barDir val="col"/>
        <c:grouping val="stacked"/>
        <c:varyColors val="0"/>
        <c:ser>
          <c:idx val="0"/>
          <c:order val="0"/>
          <c:tx>
            <c:strRef>
              <c:f>'Graf 3'!$G$12</c:f>
              <c:strCache>
                <c:ptCount val="1"/>
                <c:pt idx="0">
                  <c:v>Domáca zamestnanosť</c:v>
                </c:pt>
              </c:strCache>
            </c:strRef>
          </c:tx>
          <c:spPr>
            <a:solidFill>
              <a:srgbClr val="5B9BD5"/>
            </a:solidFill>
          </c:spPr>
          <c:invertIfNegative val="0"/>
          <c:cat>
            <c:strRef>
              <c:f>'Graf 3'!$I$11:$N$11</c:f>
              <c:strCache>
                <c:ptCount val="6"/>
                <c:pt idx="0">
                  <c:v>2023</c:v>
                </c:pt>
                <c:pt idx="1">
                  <c:v>2024F</c:v>
                </c:pt>
                <c:pt idx="2">
                  <c:v>2025F</c:v>
                </c:pt>
                <c:pt idx="3">
                  <c:v>2026F</c:v>
                </c:pt>
                <c:pt idx="4">
                  <c:v>2027F</c:v>
                </c:pt>
                <c:pt idx="5">
                  <c:v>2028F</c:v>
                </c:pt>
              </c:strCache>
            </c:strRef>
          </c:cat>
          <c:val>
            <c:numRef>
              <c:f>'Graf 3'!$I$12:$N$12</c:f>
              <c:numCache>
                <c:formatCode>0.0</c:formatCode>
                <c:ptCount val="6"/>
                <c:pt idx="0">
                  <c:v>-0.37734818240663981</c:v>
                </c:pt>
                <c:pt idx="1">
                  <c:v>-0.12845474565964543</c:v>
                </c:pt>
                <c:pt idx="2">
                  <c:v>0.37260750507086438</c:v>
                </c:pt>
                <c:pt idx="3">
                  <c:v>0.17811908647882008</c:v>
                </c:pt>
                <c:pt idx="4">
                  <c:v>-0.18882067722575524</c:v>
                </c:pt>
                <c:pt idx="5">
                  <c:v>-0.4324271112051542</c:v>
                </c:pt>
              </c:numCache>
            </c:numRef>
          </c:val>
          <c:extLst>
            <c:ext xmlns:c16="http://schemas.microsoft.com/office/drawing/2014/chart" uri="{C3380CC4-5D6E-409C-BE32-E72D297353CC}">
              <c16:uniqueId val="{00000000-9D1B-4421-82D8-9548AE0B69BE}"/>
            </c:ext>
          </c:extLst>
        </c:ser>
        <c:ser>
          <c:idx val="1"/>
          <c:order val="1"/>
          <c:tx>
            <c:strRef>
              <c:f>'Graf 3'!$G$13</c:f>
              <c:strCache>
                <c:ptCount val="1"/>
                <c:pt idx="0">
                  <c:v>Zamestnanosť cudzincov</c:v>
                </c:pt>
              </c:strCache>
            </c:strRef>
          </c:tx>
          <c:spPr>
            <a:solidFill>
              <a:srgbClr val="D5EBF8"/>
            </a:solidFill>
          </c:spPr>
          <c:invertIfNegative val="0"/>
          <c:cat>
            <c:strRef>
              <c:f>'Graf 3'!$I$11:$N$11</c:f>
              <c:strCache>
                <c:ptCount val="6"/>
                <c:pt idx="0">
                  <c:v>2023</c:v>
                </c:pt>
                <c:pt idx="1">
                  <c:v>2024F</c:v>
                </c:pt>
                <c:pt idx="2">
                  <c:v>2025F</c:v>
                </c:pt>
                <c:pt idx="3">
                  <c:v>2026F</c:v>
                </c:pt>
                <c:pt idx="4">
                  <c:v>2027F</c:v>
                </c:pt>
                <c:pt idx="5">
                  <c:v>2028F</c:v>
                </c:pt>
              </c:strCache>
            </c:strRef>
          </c:cat>
          <c:val>
            <c:numRef>
              <c:f>'Graf 3'!$I$13:$N$13</c:f>
              <c:numCache>
                <c:formatCode>0.0</c:formatCode>
                <c:ptCount val="6"/>
                <c:pt idx="0">
                  <c:v>0.65588846816483959</c:v>
                </c:pt>
                <c:pt idx="1">
                  <c:v>0.28758558752503016</c:v>
                </c:pt>
                <c:pt idx="2">
                  <c:v>0.33544744101608015</c:v>
                </c:pt>
                <c:pt idx="3">
                  <c:v>0.35252157734031736</c:v>
                </c:pt>
                <c:pt idx="4">
                  <c:v>0.26621698758192558</c:v>
                </c:pt>
                <c:pt idx="5">
                  <c:v>0.23553713214401081</c:v>
                </c:pt>
              </c:numCache>
            </c:numRef>
          </c:val>
          <c:extLst>
            <c:ext xmlns:c16="http://schemas.microsoft.com/office/drawing/2014/chart" uri="{C3380CC4-5D6E-409C-BE32-E72D297353CC}">
              <c16:uniqueId val="{00000001-9D1B-4421-82D8-9548AE0B69BE}"/>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8"/>
          <c:order val="2"/>
          <c:tx>
            <c:strRef>
              <c:f>'Graf 3'!$G$14</c:f>
              <c:strCache>
                <c:ptCount val="1"/>
                <c:pt idx="0">
                  <c:v>Rast zamestnanosti</c:v>
                </c:pt>
              </c:strCache>
            </c:strRef>
          </c:tx>
          <c:spPr>
            <a:ln>
              <a:solidFill>
                <a:sysClr val="windowText" lastClr="000000"/>
              </a:solidFill>
            </a:ln>
          </c:spPr>
          <c:marker>
            <c:symbol val="none"/>
          </c:marker>
          <c:cat>
            <c:strRef>
              <c:f>'Graf 3'!$I$11:$N$11</c:f>
              <c:strCache>
                <c:ptCount val="6"/>
                <c:pt idx="0">
                  <c:v>2023</c:v>
                </c:pt>
                <c:pt idx="1">
                  <c:v>2024F</c:v>
                </c:pt>
                <c:pt idx="2">
                  <c:v>2025F</c:v>
                </c:pt>
                <c:pt idx="3">
                  <c:v>2026F</c:v>
                </c:pt>
                <c:pt idx="4">
                  <c:v>2027F</c:v>
                </c:pt>
                <c:pt idx="5">
                  <c:v>2028F</c:v>
                </c:pt>
              </c:strCache>
            </c:strRef>
          </c:cat>
          <c:val>
            <c:numRef>
              <c:f>'Graf 3'!$I$14:$N$14</c:f>
              <c:numCache>
                <c:formatCode>0.0</c:formatCode>
                <c:ptCount val="6"/>
                <c:pt idx="0">
                  <c:v>0.27854028575819978</c:v>
                </c:pt>
                <c:pt idx="1">
                  <c:v>0.15913084186538473</c:v>
                </c:pt>
                <c:pt idx="2">
                  <c:v>0.70805494608694453</c:v>
                </c:pt>
                <c:pt idx="3">
                  <c:v>0.53064066381913744</c:v>
                </c:pt>
                <c:pt idx="4">
                  <c:v>7.7396310356170339E-2</c:v>
                </c:pt>
                <c:pt idx="5">
                  <c:v>-0.19688997906114336</c:v>
                </c:pt>
              </c:numCache>
            </c:numRef>
          </c:val>
          <c:smooth val="0"/>
          <c:extLst>
            <c:ext xmlns:c16="http://schemas.microsoft.com/office/drawing/2014/chart" uri="{C3380CC4-5D6E-409C-BE32-E72D297353CC}">
              <c16:uniqueId val="{00000002-9D1B-4421-82D8-9548AE0B69BE}"/>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spPr>
          <a:ln w="12700">
            <a:solidFill>
              <a:srgbClr val="686767"/>
            </a:solidFill>
          </a:ln>
        </c:spPr>
        <c:crossAx val="489686984"/>
        <c:crosses val="autoZero"/>
        <c:auto val="1"/>
        <c:lblAlgn val="ctr"/>
        <c:lblOffset val="100"/>
        <c:noMultiLvlLbl val="0"/>
      </c:catAx>
      <c:valAx>
        <c:axId val="489686984"/>
        <c:scaling>
          <c:orientation val="minMax"/>
        </c:scaling>
        <c:delete val="0"/>
        <c:axPos val="l"/>
        <c:majorGridlines>
          <c:spPr>
            <a:ln>
              <a:solidFill>
                <a:srgbClr val="868585">
                  <a:lumMod val="40000"/>
                  <a:lumOff val="60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24142272633724784"/>
          <c:y val="0.63459115687462131"/>
          <c:w val="0.54988328249035956"/>
          <c:h val="0.26620936805976175"/>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24577545784296E-2"/>
          <c:y val="6.4556399476614096E-2"/>
          <c:w val="0.88029484338230257"/>
          <c:h val="0.85748137319626516"/>
        </c:manualLayout>
      </c:layout>
      <c:barChart>
        <c:barDir val="col"/>
        <c:grouping val="stacked"/>
        <c:varyColors val="0"/>
        <c:ser>
          <c:idx val="0"/>
          <c:order val="0"/>
          <c:tx>
            <c:strRef>
              <c:f>'Graf 4'!$I$15</c:f>
              <c:strCache>
                <c:ptCount val="1"/>
                <c:pt idx="0">
                  <c:v>Čistá inflácia</c:v>
                </c:pt>
              </c:strCache>
            </c:strRef>
          </c:tx>
          <c:spPr>
            <a:solidFill>
              <a:srgbClr val="1F497D"/>
            </a:solidFill>
          </c:spPr>
          <c:invertIfNegative val="0"/>
          <c:cat>
            <c:strRef>
              <c:f>'Graf 4'!$R$13:$W$13</c:f>
              <c:strCache>
                <c:ptCount val="6"/>
                <c:pt idx="0">
                  <c:v>2023</c:v>
                </c:pt>
                <c:pt idx="1">
                  <c:v>2024F</c:v>
                </c:pt>
                <c:pt idx="2">
                  <c:v>2025F</c:v>
                </c:pt>
                <c:pt idx="3">
                  <c:v>2026F</c:v>
                </c:pt>
                <c:pt idx="4">
                  <c:v>2027F</c:v>
                </c:pt>
                <c:pt idx="5">
                  <c:v>2028F</c:v>
                </c:pt>
              </c:strCache>
            </c:strRef>
          </c:cat>
          <c:val>
            <c:numRef>
              <c:f>'Graf 4'!$R$15:$W$15</c:f>
              <c:numCache>
                <c:formatCode>0.0</c:formatCode>
                <c:ptCount val="6"/>
                <c:pt idx="0">
                  <c:v>6.0708550279371103</c:v>
                </c:pt>
                <c:pt idx="1">
                  <c:v>2.2930548141055276</c:v>
                </c:pt>
                <c:pt idx="2">
                  <c:v>1.8747081427813101</c:v>
                </c:pt>
                <c:pt idx="3">
                  <c:v>1.5492232914782047</c:v>
                </c:pt>
                <c:pt idx="4">
                  <c:v>1.5621278800557084</c:v>
                </c:pt>
                <c:pt idx="5">
                  <c:v>1.5718882195802359</c:v>
                </c:pt>
              </c:numCache>
            </c:numRef>
          </c:val>
          <c:extLst>
            <c:ext xmlns:c16="http://schemas.microsoft.com/office/drawing/2014/chart" uri="{C3380CC4-5D6E-409C-BE32-E72D297353CC}">
              <c16:uniqueId val="{00000000-EF5B-4BA2-B89D-A8C357655FEB}"/>
            </c:ext>
          </c:extLst>
        </c:ser>
        <c:ser>
          <c:idx val="1"/>
          <c:order val="1"/>
          <c:tx>
            <c:strRef>
              <c:f>'Graf 4'!$I$16</c:f>
              <c:strCache>
                <c:ptCount val="1"/>
                <c:pt idx="0">
                  <c:v>Ceny potravín</c:v>
                </c:pt>
              </c:strCache>
            </c:strRef>
          </c:tx>
          <c:spPr>
            <a:solidFill>
              <a:srgbClr val="5B9BD5"/>
            </a:solidFill>
          </c:spPr>
          <c:invertIfNegative val="0"/>
          <c:cat>
            <c:strRef>
              <c:f>'Graf 4'!$R$13:$W$13</c:f>
              <c:strCache>
                <c:ptCount val="6"/>
                <c:pt idx="0">
                  <c:v>2023</c:v>
                </c:pt>
                <c:pt idx="1">
                  <c:v>2024F</c:v>
                </c:pt>
                <c:pt idx="2">
                  <c:v>2025F</c:v>
                </c:pt>
                <c:pt idx="3">
                  <c:v>2026F</c:v>
                </c:pt>
                <c:pt idx="4">
                  <c:v>2027F</c:v>
                </c:pt>
                <c:pt idx="5">
                  <c:v>2028F</c:v>
                </c:pt>
              </c:strCache>
            </c:strRef>
          </c:cat>
          <c:val>
            <c:numRef>
              <c:f>'Graf 4'!$R$16:$W$16</c:f>
              <c:numCache>
                <c:formatCode>0.0</c:formatCode>
                <c:ptCount val="6"/>
                <c:pt idx="0">
                  <c:v>3.3012852628051901</c:v>
                </c:pt>
                <c:pt idx="1">
                  <c:v>0.60430161859681397</c:v>
                </c:pt>
                <c:pt idx="2">
                  <c:v>0.75347285747666537</c:v>
                </c:pt>
                <c:pt idx="3">
                  <c:v>0.7135536060166926</c:v>
                </c:pt>
                <c:pt idx="4">
                  <c:v>0.71753373969046497</c:v>
                </c:pt>
                <c:pt idx="5">
                  <c:v>0.69464599303299812</c:v>
                </c:pt>
              </c:numCache>
            </c:numRef>
          </c:val>
          <c:extLst>
            <c:ext xmlns:c16="http://schemas.microsoft.com/office/drawing/2014/chart" uri="{C3380CC4-5D6E-409C-BE32-E72D297353CC}">
              <c16:uniqueId val="{00000001-EF5B-4BA2-B89D-A8C357655FEB}"/>
            </c:ext>
          </c:extLst>
        </c:ser>
        <c:ser>
          <c:idx val="8"/>
          <c:order val="2"/>
          <c:tx>
            <c:strRef>
              <c:f>'Graf 4'!$I$17</c:f>
              <c:strCache>
                <c:ptCount val="1"/>
                <c:pt idx="0">
                  <c:v>Regulované ceny</c:v>
                </c:pt>
              </c:strCache>
            </c:strRef>
          </c:tx>
          <c:spPr>
            <a:solidFill>
              <a:srgbClr val="D5EBF8"/>
            </a:solidFill>
          </c:spPr>
          <c:invertIfNegative val="0"/>
          <c:cat>
            <c:strRef>
              <c:f>'Graf 4'!$R$13:$W$13</c:f>
              <c:strCache>
                <c:ptCount val="6"/>
                <c:pt idx="0">
                  <c:v>2023</c:v>
                </c:pt>
                <c:pt idx="1">
                  <c:v>2024F</c:v>
                </c:pt>
                <c:pt idx="2">
                  <c:v>2025F</c:v>
                </c:pt>
                <c:pt idx="3">
                  <c:v>2026F</c:v>
                </c:pt>
                <c:pt idx="4">
                  <c:v>2027F</c:v>
                </c:pt>
                <c:pt idx="5">
                  <c:v>2028F</c:v>
                </c:pt>
              </c:strCache>
            </c:strRef>
          </c:cat>
          <c:val>
            <c:numRef>
              <c:f>'Graf 4'!$R$17:$W$17</c:f>
              <c:numCache>
                <c:formatCode>0.0</c:formatCode>
                <c:ptCount val="6"/>
                <c:pt idx="0">
                  <c:v>1.3720798703273509</c:v>
                </c:pt>
                <c:pt idx="1">
                  <c:v>-4.2664053385685963E-2</c:v>
                </c:pt>
                <c:pt idx="2">
                  <c:v>1.4204273680481494</c:v>
                </c:pt>
                <c:pt idx="3">
                  <c:v>-0.13707184855547067</c:v>
                </c:pt>
                <c:pt idx="4">
                  <c:v>-0.11740781418740083</c:v>
                </c:pt>
                <c:pt idx="5">
                  <c:v>-1.9189335307015734E-2</c:v>
                </c:pt>
              </c:numCache>
            </c:numRef>
          </c:val>
          <c:extLst>
            <c:ext xmlns:c16="http://schemas.microsoft.com/office/drawing/2014/chart" uri="{C3380CC4-5D6E-409C-BE32-E72D297353CC}">
              <c16:uniqueId val="{00000002-EF5B-4BA2-B89D-A8C357655FEB}"/>
            </c:ext>
          </c:extLst>
        </c:ser>
        <c:ser>
          <c:idx val="3"/>
          <c:order val="3"/>
          <c:tx>
            <c:strRef>
              <c:f>'Graf 4'!$I$18</c:f>
              <c:strCache>
                <c:ptCount val="1"/>
                <c:pt idx="0">
                  <c:v>Zmena nepriamych daní</c:v>
                </c:pt>
              </c:strCache>
            </c:strRef>
          </c:tx>
          <c:spPr>
            <a:solidFill>
              <a:srgbClr val="7F7F7F"/>
            </a:solidFill>
          </c:spPr>
          <c:invertIfNegative val="0"/>
          <c:cat>
            <c:strRef>
              <c:f>'Graf 4'!$R$13:$W$13</c:f>
              <c:strCache>
                <c:ptCount val="6"/>
                <c:pt idx="0">
                  <c:v>2023</c:v>
                </c:pt>
                <c:pt idx="1">
                  <c:v>2024F</c:v>
                </c:pt>
                <c:pt idx="2">
                  <c:v>2025F</c:v>
                </c:pt>
                <c:pt idx="3">
                  <c:v>2026F</c:v>
                </c:pt>
                <c:pt idx="4">
                  <c:v>2027F</c:v>
                </c:pt>
                <c:pt idx="5">
                  <c:v>2028F</c:v>
                </c:pt>
              </c:strCache>
            </c:strRef>
          </c:cat>
          <c:val>
            <c:numRef>
              <c:f>'Graf 4'!$R$18:$W$18</c:f>
              <c:numCache>
                <c:formatCode>0.0</c:formatCode>
                <c:ptCount val="6"/>
                <c:pt idx="0">
                  <c:v>-0.26135311163321767</c:v>
                </c:pt>
                <c:pt idx="1">
                  <c:v>0.16601717082404183</c:v>
                </c:pt>
                <c:pt idx="2">
                  <c:v>6.5163040304221834E-2</c:v>
                </c:pt>
                <c:pt idx="3">
                  <c:v>0.16454444397387183</c:v>
                </c:pt>
                <c:pt idx="4">
                  <c:v>6.0384410298905157E-2</c:v>
                </c:pt>
                <c:pt idx="5">
                  <c:v>0</c:v>
                </c:pt>
              </c:numCache>
            </c:numRef>
          </c:val>
          <c:extLst>
            <c:ext xmlns:c16="http://schemas.microsoft.com/office/drawing/2014/chart" uri="{C3380CC4-5D6E-409C-BE32-E72D297353CC}">
              <c16:uniqueId val="{00000003-EF5B-4BA2-B89D-A8C357655FEB}"/>
            </c:ext>
          </c:extLst>
        </c:ser>
        <c:dLbls>
          <c:showLegendKey val="0"/>
          <c:showVal val="0"/>
          <c:showCatName val="0"/>
          <c:showSerName val="0"/>
          <c:showPercent val="0"/>
          <c:showBubbleSize val="0"/>
        </c:dLbls>
        <c:gapWidth val="150"/>
        <c:overlap val="100"/>
        <c:axId val="489686592"/>
        <c:axId val="489686984"/>
      </c:barChart>
      <c:lineChart>
        <c:grouping val="standard"/>
        <c:varyColors val="0"/>
        <c:ser>
          <c:idx val="6"/>
          <c:order val="4"/>
          <c:tx>
            <c:strRef>
              <c:f>'Graf 4'!$I$14</c:f>
              <c:strCache>
                <c:ptCount val="1"/>
                <c:pt idx="0">
                  <c:v>Celková inflácia</c:v>
                </c:pt>
              </c:strCache>
            </c:strRef>
          </c:tx>
          <c:spPr>
            <a:ln>
              <a:solidFill>
                <a:sysClr val="windowText" lastClr="000000"/>
              </a:solidFill>
            </a:ln>
          </c:spPr>
          <c:marker>
            <c:symbol val="none"/>
          </c:marker>
          <c:dLbls>
            <c:dLbl>
              <c:idx val="0"/>
              <c:layout>
                <c:manualLayout>
                  <c:x val="-6.6328694395576773E-2"/>
                  <c:y val="-0.1253010708287467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5B-4BA2-B89D-A8C357655FEB}"/>
                </c:ext>
              </c:extLst>
            </c:dLbl>
            <c:dLbl>
              <c:idx val="1"/>
              <c:layout>
                <c:manualLayout>
                  <c:x val="-5.4585318674082346E-2"/>
                  <c:y val="-0.1030394359276979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08-4A50-A87F-1AB6E28FCC55}"/>
                </c:ext>
              </c:extLst>
            </c:dLbl>
            <c:dLbl>
              <c:idx val="3"/>
              <c:layout>
                <c:manualLayout>
                  <c:x val="-6.1794949050697982E-2"/>
                  <c:y val="-0.112239307930970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5B-4BA2-B89D-A8C357655FEB}"/>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4'!$R$13:$W$13</c:f>
              <c:strCache>
                <c:ptCount val="6"/>
                <c:pt idx="0">
                  <c:v>2023</c:v>
                </c:pt>
                <c:pt idx="1">
                  <c:v>2024F</c:v>
                </c:pt>
                <c:pt idx="2">
                  <c:v>2025F</c:v>
                </c:pt>
                <c:pt idx="3">
                  <c:v>2026F</c:v>
                </c:pt>
                <c:pt idx="4">
                  <c:v>2027F</c:v>
                </c:pt>
                <c:pt idx="5">
                  <c:v>2028F</c:v>
                </c:pt>
              </c:strCache>
            </c:strRef>
          </c:cat>
          <c:val>
            <c:numRef>
              <c:f>'Graf 4'!$R$14:$W$14</c:f>
              <c:numCache>
                <c:formatCode>0.0</c:formatCode>
                <c:ptCount val="6"/>
                <c:pt idx="0">
                  <c:v>10.482867049436434</c:v>
                </c:pt>
                <c:pt idx="1">
                  <c:v>3.0207095501406975</c:v>
                </c:pt>
                <c:pt idx="2">
                  <c:v>4.1137714086103472</c:v>
                </c:pt>
                <c:pt idx="3">
                  <c:v>2.2902494929132984</c:v>
                </c:pt>
                <c:pt idx="4">
                  <c:v>2.2226382158576778</c:v>
                </c:pt>
                <c:pt idx="5">
                  <c:v>2.2473448773062183</c:v>
                </c:pt>
              </c:numCache>
            </c:numRef>
          </c:val>
          <c:smooth val="0"/>
          <c:extLst>
            <c:ext xmlns:c16="http://schemas.microsoft.com/office/drawing/2014/chart" uri="{C3380CC4-5D6E-409C-BE32-E72D297353CC}">
              <c16:uniqueId val="{00000006-EF5B-4BA2-B89D-A8C357655FEB}"/>
            </c:ext>
          </c:extLst>
        </c:ser>
        <c:dLbls>
          <c:showLegendKey val="0"/>
          <c:showVal val="0"/>
          <c:showCatName val="0"/>
          <c:showSerName val="0"/>
          <c:showPercent val="0"/>
          <c:showBubbleSize val="0"/>
        </c:dLbls>
        <c:marker val="1"/>
        <c:smooth val="0"/>
        <c:axId val="489686592"/>
        <c:axId val="489686984"/>
      </c:lineChart>
      <c:catAx>
        <c:axId val="489686592"/>
        <c:scaling>
          <c:orientation val="minMax"/>
        </c:scaling>
        <c:delete val="0"/>
        <c:axPos val="b"/>
        <c:numFmt formatCode="General" sourceLinked="1"/>
        <c:majorTickMark val="none"/>
        <c:minorTickMark val="none"/>
        <c:tickLblPos val="low"/>
        <c:spPr>
          <a:ln w="12700">
            <a:solidFill>
              <a:srgbClr val="686767"/>
            </a:solidFill>
          </a:ln>
        </c:spPr>
        <c:crossAx val="489686984"/>
        <c:crosses val="autoZero"/>
        <c:auto val="1"/>
        <c:lblAlgn val="ctr"/>
        <c:lblOffset val="100"/>
        <c:noMultiLvlLbl val="0"/>
      </c:catAx>
      <c:valAx>
        <c:axId val="489686984"/>
        <c:scaling>
          <c:orientation val="minMax"/>
        </c:scaling>
        <c:delete val="0"/>
        <c:axPos val="l"/>
        <c:majorGridlines>
          <c:spPr>
            <a:ln>
              <a:solidFill>
                <a:srgbClr val="868585">
                  <a:lumMod val="40000"/>
                  <a:lumOff val="60000"/>
                </a:srgbClr>
              </a:solidFill>
              <a:prstDash val="sysDot"/>
            </a:ln>
          </c:spPr>
        </c:majorGridlines>
        <c:numFmt formatCode="#,##0.0" sourceLinked="0"/>
        <c:majorTickMark val="out"/>
        <c:minorTickMark val="none"/>
        <c:tickLblPos val="nextTo"/>
        <c:spPr>
          <a:ln>
            <a:noFill/>
          </a:ln>
        </c:spPr>
        <c:crossAx val="489686592"/>
        <c:crosses val="autoZero"/>
        <c:crossBetween val="between"/>
      </c:valAx>
    </c:plotArea>
    <c:legend>
      <c:legendPos val="r"/>
      <c:layout>
        <c:manualLayout>
          <c:xMode val="edge"/>
          <c:yMode val="edge"/>
          <c:x val="0.39781345934751744"/>
          <c:y val="8.4552594322300251E-2"/>
          <c:w val="0.57515914517123978"/>
          <c:h val="0.29549168637764556"/>
        </c:manualLayout>
      </c:layout>
      <c:overlay val="1"/>
    </c:legend>
    <c:plotVisOnly val="1"/>
    <c:dispBlanksAs val="gap"/>
    <c:showDLblsOverMax val="0"/>
  </c:chart>
  <c:spPr>
    <a:ln>
      <a:noFill/>
    </a:ln>
  </c:spPr>
  <c:txPr>
    <a:bodyPr/>
    <a:lstStyle/>
    <a:p>
      <a:pPr>
        <a:defRPr sz="700">
          <a:latin typeface="Arial Narrow" panose="020B0606020202030204" pitchFamily="34" charset="0"/>
          <a:cs typeface="Calibri Light" panose="020F0302020204030204" pitchFamily="34" charset="0"/>
        </a:defRPr>
      </a:pPr>
      <a:endParaRPr lang="sk-SK"/>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102822580645164E-2"/>
          <c:y val="0.14462745098039215"/>
          <c:w val="0.84771518605537211"/>
          <c:h val="0.72092851628840515"/>
        </c:manualLayout>
      </c:layout>
      <c:lineChart>
        <c:grouping val="standard"/>
        <c:varyColors val="0"/>
        <c:ser>
          <c:idx val="0"/>
          <c:order val="0"/>
          <c:tx>
            <c:strRef>
              <c:f>'Graf 7'!$A$2</c:f>
              <c:strCache>
                <c:ptCount val="1"/>
                <c:pt idx="0">
                  <c:v>IFP Dec</c:v>
                </c:pt>
              </c:strCache>
            </c:strRef>
          </c:tx>
          <c:spPr>
            <a:ln w="19050" cap="rnd">
              <a:solidFill>
                <a:schemeClr val="tx1"/>
              </a:solidFill>
              <a:prstDash val="solid"/>
              <a:round/>
            </a:ln>
            <a:effectLst/>
          </c:spPr>
          <c:marker>
            <c:symbol val="diamond"/>
            <c:size val="5"/>
            <c:spPr>
              <a:solidFill>
                <a:schemeClr val="bg1"/>
              </a:solidFill>
              <a:ln w="9525">
                <a:solidFill>
                  <a:schemeClr val="tx1"/>
                </a:solidFill>
                <a:prstDash val="solid"/>
              </a:ln>
              <a:effectLst/>
            </c:spPr>
          </c:marker>
          <c:cat>
            <c:numRef>
              <c:f>'Graf 7'!$B$1:$H$1</c:f>
              <c:numCache>
                <c:formatCode>General</c:formatCode>
                <c:ptCount val="7"/>
                <c:pt idx="0">
                  <c:v>2022</c:v>
                </c:pt>
                <c:pt idx="1">
                  <c:v>2023</c:v>
                </c:pt>
                <c:pt idx="2">
                  <c:v>2024</c:v>
                </c:pt>
                <c:pt idx="3">
                  <c:v>2025</c:v>
                </c:pt>
                <c:pt idx="4">
                  <c:v>2026</c:v>
                </c:pt>
                <c:pt idx="5">
                  <c:v>2027</c:v>
                </c:pt>
                <c:pt idx="6">
                  <c:v>2028</c:v>
                </c:pt>
              </c:numCache>
            </c:numRef>
          </c:cat>
          <c:val>
            <c:numRef>
              <c:f>'Graf 7'!$B$2:$H$2</c:f>
              <c:numCache>
                <c:formatCode>0.0</c:formatCode>
                <c:ptCount val="7"/>
                <c:pt idx="0">
                  <c:v>8.1393439948411093</c:v>
                </c:pt>
                <c:pt idx="1">
                  <c:v>-1.7254247784957766</c:v>
                </c:pt>
                <c:pt idx="2">
                  <c:v>2.6740664988044616</c:v>
                </c:pt>
                <c:pt idx="3">
                  <c:v>3.8825857586808343</c:v>
                </c:pt>
                <c:pt idx="4">
                  <c:v>3.4807958366142921</c:v>
                </c:pt>
                <c:pt idx="5">
                  <c:v>3.2945539069791474</c:v>
                </c:pt>
                <c:pt idx="6">
                  <c:v>3.0480734785194308</c:v>
                </c:pt>
              </c:numCache>
            </c:numRef>
          </c:val>
          <c:smooth val="0"/>
          <c:extLst>
            <c:ext xmlns:c16="http://schemas.microsoft.com/office/drawing/2014/chart" uri="{C3380CC4-5D6E-409C-BE32-E72D297353CC}">
              <c16:uniqueId val="{00000000-72CA-4C55-B46A-8BA490C59DFA}"/>
            </c:ext>
          </c:extLst>
        </c:ser>
        <c:ser>
          <c:idx val="1"/>
          <c:order val="1"/>
          <c:tx>
            <c:strRef>
              <c:f>'Graf 7'!$A$3</c:f>
              <c:strCache>
                <c:ptCount val="1"/>
                <c:pt idx="0">
                  <c:v>IFP Mar</c:v>
                </c:pt>
              </c:strCache>
            </c:strRef>
          </c:tx>
          <c:spPr>
            <a:ln w="19050" cap="rnd">
              <a:solidFill>
                <a:srgbClr val="2EAAE1"/>
              </a:solidFill>
              <a:prstDash val="solid"/>
              <a:round/>
            </a:ln>
            <a:effectLst/>
          </c:spPr>
          <c:marker>
            <c:symbol val="circle"/>
            <c:size val="5"/>
            <c:spPr>
              <a:solidFill>
                <a:schemeClr val="bg1"/>
              </a:solidFill>
              <a:ln w="9525">
                <a:solidFill>
                  <a:srgbClr val="2EAAE1"/>
                </a:solidFill>
                <a:prstDash val="solid"/>
              </a:ln>
              <a:effectLst/>
            </c:spPr>
          </c:marker>
          <c:dLbls>
            <c:dLbl>
              <c:idx val="0"/>
              <c:layout>
                <c:manualLayout>
                  <c:x val="-7.3084677419354857E-2"/>
                  <c:y val="7.0588235294117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CA-4C55-B46A-8BA490C59DFA}"/>
                </c:ext>
              </c:extLst>
            </c:dLbl>
            <c:dLbl>
              <c:idx val="1"/>
              <c:layout>
                <c:manualLayout>
                  <c:x val="-6.1221813725490196E-2"/>
                  <c:y val="-0.194093055555555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CA-4C55-B46A-8BA490C59DFA}"/>
                </c:ext>
              </c:extLst>
            </c:dLbl>
            <c:dLbl>
              <c:idx val="2"/>
              <c:layout>
                <c:manualLayout>
                  <c:x val="-4.6202423254911264E-17"/>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CA-4C55-B46A-8BA490C59DFA}"/>
                </c:ext>
              </c:extLst>
            </c:dLbl>
            <c:dLbl>
              <c:idx val="3"/>
              <c:layout>
                <c:manualLayout>
                  <c:x val="-3.7802419354838711E-2"/>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CA-4C55-B46A-8BA490C59DFA}"/>
                </c:ext>
              </c:extLst>
            </c:dLbl>
            <c:dLbl>
              <c:idx val="4"/>
              <c:layout>
                <c:manualLayout>
                  <c:x val="-4.7883064516129031E-2"/>
                  <c:y val="6.2745098039215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CA-4C55-B46A-8BA490C59DFA}"/>
                </c:ext>
              </c:extLst>
            </c:dLbl>
            <c:dLbl>
              <c:idx val="5"/>
              <c:layout>
                <c:manualLayout>
                  <c:x val="-4.5362903225806543E-2"/>
                  <c:y val="6.2745098039215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CA-4C55-B46A-8BA490C59DFA}"/>
                </c:ext>
              </c:extLst>
            </c:dLbl>
            <c:dLbl>
              <c:idx val="6"/>
              <c:layout>
                <c:manualLayout>
                  <c:x val="-4.5362903225806453E-2"/>
                  <c:y val="7.0588235294117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CA-4C55-B46A-8BA490C59DFA}"/>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 7'!$B$1:$H$1</c:f>
              <c:numCache>
                <c:formatCode>General</c:formatCode>
                <c:ptCount val="7"/>
                <c:pt idx="0">
                  <c:v>2022</c:v>
                </c:pt>
                <c:pt idx="1">
                  <c:v>2023</c:v>
                </c:pt>
                <c:pt idx="2">
                  <c:v>2024</c:v>
                </c:pt>
                <c:pt idx="3">
                  <c:v>2025</c:v>
                </c:pt>
                <c:pt idx="4">
                  <c:v>2026</c:v>
                </c:pt>
                <c:pt idx="5">
                  <c:v>2027</c:v>
                </c:pt>
                <c:pt idx="6">
                  <c:v>2028</c:v>
                </c:pt>
              </c:numCache>
            </c:numRef>
          </c:cat>
          <c:val>
            <c:numRef>
              <c:f>'Graf 7'!$B$3:$H$3</c:f>
              <c:numCache>
                <c:formatCode>0.0</c:formatCode>
                <c:ptCount val="7"/>
                <c:pt idx="0">
                  <c:v>8.1801375598981707</c:v>
                </c:pt>
                <c:pt idx="1">
                  <c:v>-2.5088363864188223</c:v>
                </c:pt>
                <c:pt idx="2">
                  <c:v>1.7788956350514917</c:v>
                </c:pt>
                <c:pt idx="3">
                  <c:v>3.5181955045683999</c:v>
                </c:pt>
                <c:pt idx="4">
                  <c:v>3.6140024878939414</c:v>
                </c:pt>
                <c:pt idx="5">
                  <c:v>3.3319309640304384</c:v>
                </c:pt>
                <c:pt idx="6">
                  <c:v>3.1019429058334547</c:v>
                </c:pt>
              </c:numCache>
            </c:numRef>
          </c:val>
          <c:smooth val="0"/>
          <c:extLst>
            <c:ext xmlns:c16="http://schemas.microsoft.com/office/drawing/2014/chart" uri="{C3380CC4-5D6E-409C-BE32-E72D297353CC}">
              <c16:uniqueId val="{00000008-72CA-4C55-B46A-8BA490C59DFA}"/>
            </c:ext>
          </c:extLst>
        </c:ser>
        <c:dLbls>
          <c:showLegendKey val="0"/>
          <c:showVal val="0"/>
          <c:showCatName val="0"/>
          <c:showSerName val="0"/>
          <c:showPercent val="0"/>
          <c:showBubbleSize val="0"/>
        </c:dLbls>
        <c:marker val="1"/>
        <c:smooth val="0"/>
        <c:axId val="852486720"/>
        <c:axId val="852488688"/>
      </c:lineChart>
      <c:catAx>
        <c:axId val="852486720"/>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800" b="0" i="0" u="none" strike="noStrike" kern="1200" baseline="0">
                <a:solidFill>
                  <a:srgbClr val="0C1D2B"/>
                </a:solidFill>
                <a:latin typeface="Arial Narrow" panose="020B0606020202030204" pitchFamily="34" charset="0"/>
                <a:ea typeface="+mn-ea"/>
                <a:cs typeface="+mn-cs"/>
              </a:defRPr>
            </a:pPr>
            <a:endParaRPr lang="sk-SK"/>
          </a:p>
        </c:txPr>
        <c:crossAx val="852488688"/>
        <c:crosses val="autoZero"/>
        <c:auto val="1"/>
        <c:lblAlgn val="ctr"/>
        <c:lblOffset val="100"/>
        <c:noMultiLvlLbl val="0"/>
      </c:catAx>
      <c:valAx>
        <c:axId val="852488688"/>
        <c:scaling>
          <c:orientation val="minMax"/>
        </c:scaling>
        <c:delete val="0"/>
        <c:axPos val="l"/>
        <c:majorGridlines>
          <c:spPr>
            <a:ln w="3175" cap="flat" cmpd="sng" algn="ctr">
              <a:solidFill>
                <a:srgbClr val="686767">
                  <a:alpha val="25000"/>
                </a:srgbClr>
              </a:solidFill>
              <a:prstDash val="sysDot"/>
              <a:round/>
              <a:headEnd type="none" w="med" len="med"/>
              <a:tailEnd type="none" w="med" len="med"/>
            </a:ln>
            <a:effectLst/>
          </c:spPr>
        </c:majorGridlines>
        <c:numFmt formatCode="General" sourceLinked="0"/>
        <c:majorTickMark val="none"/>
        <c:minorTickMark val="none"/>
        <c:tickLblPos val="low"/>
        <c:spPr>
          <a:noFill/>
          <a:ln>
            <a:noFill/>
          </a:ln>
          <a:effectLst/>
        </c:spPr>
        <c:txPr>
          <a:bodyPr rot="-60000000" spcFirstLastPara="1" vertOverflow="ellipsis" vert="horz" wrap="square" anchor="ctr" anchorCtr="1"/>
          <a:lstStyle/>
          <a:p>
            <a:pPr>
              <a:defRPr sz="800" b="0" i="0" u="none" strike="noStrike" kern="1200" baseline="0">
                <a:solidFill>
                  <a:srgbClr val="0C1D2B"/>
                </a:solidFill>
                <a:latin typeface="Arial Narrow" panose="020B0606020202030204" pitchFamily="34" charset="0"/>
                <a:ea typeface="+mn-ea"/>
                <a:cs typeface="+mn-cs"/>
              </a:defRPr>
            </a:pPr>
            <a:endParaRPr lang="sk-SK"/>
          </a:p>
        </c:txPr>
        <c:crossAx val="852486720"/>
        <c:crosses val="autoZero"/>
        <c:crossBetween val="between"/>
      </c:valAx>
      <c:spPr>
        <a:noFill/>
        <a:ln>
          <a:noFill/>
        </a:ln>
        <a:effectLst/>
      </c:spPr>
    </c:plotArea>
    <c:legend>
      <c:legendPos val="t"/>
      <c:layout>
        <c:manualLayout>
          <c:xMode val="edge"/>
          <c:yMode val="edge"/>
          <c:x val="0.17712377450980393"/>
          <c:y val="5.6870833333333336E-2"/>
          <c:w val="0.59906086601307185"/>
          <c:h val="0.10313009259259259"/>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C1D2B"/>
              </a:solidFill>
              <a:latin typeface="Arial Narrow" panose="020B0606020202030204" pitchFamily="34" charset="0"/>
              <a:ea typeface="+mn-ea"/>
              <a:cs typeface="+mn-cs"/>
            </a:defRPr>
          </a:pPr>
          <a:endParaRPr lang="sk-SK"/>
        </a:p>
      </c:txPr>
    </c:legend>
    <c:plotVisOnly val="1"/>
    <c:dispBlanksAs val="gap"/>
    <c:showDLblsOverMax val="0"/>
  </c:chart>
  <c:spPr>
    <a:noFill/>
    <a:ln w="25400" cap="flat" cmpd="sng" algn="ctr">
      <a:noFill/>
      <a:round/>
    </a:ln>
    <a:effectLst/>
  </c:spPr>
  <c:txPr>
    <a:bodyPr/>
    <a:lstStyle/>
    <a:p>
      <a:pPr>
        <a:defRPr sz="800">
          <a:solidFill>
            <a:srgbClr val="0C1D2B"/>
          </a:solidFill>
          <a:latin typeface="Arial Narrow" panose="020B0606020202030204" pitchFamily="34" charset="0"/>
        </a:defRPr>
      </a:pPr>
      <a:endParaRPr lang="sk-SK"/>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223790322580648E-2"/>
          <c:y val="0.12905172147599195"/>
          <c:w val="0.84201962153924304"/>
          <c:h val="0.71609757603828939"/>
        </c:manualLayout>
      </c:layout>
      <c:lineChart>
        <c:grouping val="standard"/>
        <c:varyColors val="0"/>
        <c:ser>
          <c:idx val="0"/>
          <c:order val="0"/>
          <c:tx>
            <c:strRef>
              <c:f>'Graf 8'!$B$1</c:f>
              <c:strCache>
                <c:ptCount val="1"/>
                <c:pt idx="0">
                  <c:v>€str</c:v>
                </c:pt>
              </c:strCache>
            </c:strRef>
          </c:tx>
          <c:spPr>
            <a:ln w="19050" cap="rnd">
              <a:solidFill>
                <a:srgbClr val="00B0F0"/>
              </a:solidFill>
              <a:prstDash val="solid"/>
              <a:round/>
            </a:ln>
            <a:effectLst/>
          </c:spPr>
          <c:marker>
            <c:symbol val="none"/>
          </c:marker>
          <c:cat>
            <c:numRef>
              <c:f>'Graf 8'!$A$16:$A$109</c:f>
              <c:numCache>
                <c:formatCode>mmm\-yy</c:formatCode>
                <c:ptCount val="94"/>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pt idx="37">
                  <c:v>45383</c:v>
                </c:pt>
                <c:pt idx="38">
                  <c:v>45413</c:v>
                </c:pt>
                <c:pt idx="39">
                  <c:v>45444</c:v>
                </c:pt>
                <c:pt idx="40">
                  <c:v>45474</c:v>
                </c:pt>
                <c:pt idx="41">
                  <c:v>45505</c:v>
                </c:pt>
                <c:pt idx="42">
                  <c:v>45536</c:v>
                </c:pt>
                <c:pt idx="43">
                  <c:v>45566</c:v>
                </c:pt>
                <c:pt idx="44">
                  <c:v>45597</c:v>
                </c:pt>
                <c:pt idx="45">
                  <c:v>45627</c:v>
                </c:pt>
                <c:pt idx="46">
                  <c:v>45658</c:v>
                </c:pt>
                <c:pt idx="47">
                  <c:v>45689</c:v>
                </c:pt>
                <c:pt idx="48">
                  <c:v>45717</c:v>
                </c:pt>
                <c:pt idx="49">
                  <c:v>45748</c:v>
                </c:pt>
                <c:pt idx="50">
                  <c:v>45778</c:v>
                </c:pt>
                <c:pt idx="51">
                  <c:v>45809</c:v>
                </c:pt>
                <c:pt idx="52">
                  <c:v>45839</c:v>
                </c:pt>
                <c:pt idx="53">
                  <c:v>45870</c:v>
                </c:pt>
                <c:pt idx="54">
                  <c:v>45901</c:v>
                </c:pt>
                <c:pt idx="55">
                  <c:v>45931</c:v>
                </c:pt>
                <c:pt idx="56">
                  <c:v>45962</c:v>
                </c:pt>
                <c:pt idx="57">
                  <c:v>45992</c:v>
                </c:pt>
                <c:pt idx="58">
                  <c:v>46023</c:v>
                </c:pt>
                <c:pt idx="59">
                  <c:v>46054</c:v>
                </c:pt>
                <c:pt idx="60">
                  <c:v>46082</c:v>
                </c:pt>
                <c:pt idx="61">
                  <c:v>46113</c:v>
                </c:pt>
                <c:pt idx="62">
                  <c:v>46143</c:v>
                </c:pt>
                <c:pt idx="63">
                  <c:v>46174</c:v>
                </c:pt>
                <c:pt idx="64">
                  <c:v>46204</c:v>
                </c:pt>
                <c:pt idx="65">
                  <c:v>46235</c:v>
                </c:pt>
                <c:pt idx="66">
                  <c:v>46266</c:v>
                </c:pt>
                <c:pt idx="67">
                  <c:v>46296</c:v>
                </c:pt>
                <c:pt idx="68">
                  <c:v>46327</c:v>
                </c:pt>
                <c:pt idx="69">
                  <c:v>46357</c:v>
                </c:pt>
                <c:pt idx="70">
                  <c:v>46388</c:v>
                </c:pt>
                <c:pt idx="71">
                  <c:v>46419</c:v>
                </c:pt>
                <c:pt idx="72">
                  <c:v>46447</c:v>
                </c:pt>
                <c:pt idx="73">
                  <c:v>46478</c:v>
                </c:pt>
                <c:pt idx="74">
                  <c:v>46508</c:v>
                </c:pt>
                <c:pt idx="75">
                  <c:v>46539</c:v>
                </c:pt>
                <c:pt idx="76">
                  <c:v>46569</c:v>
                </c:pt>
                <c:pt idx="77">
                  <c:v>46600</c:v>
                </c:pt>
                <c:pt idx="78">
                  <c:v>46631</c:v>
                </c:pt>
                <c:pt idx="79">
                  <c:v>46661</c:v>
                </c:pt>
                <c:pt idx="80">
                  <c:v>46692</c:v>
                </c:pt>
                <c:pt idx="81">
                  <c:v>46722</c:v>
                </c:pt>
                <c:pt idx="82">
                  <c:v>46753</c:v>
                </c:pt>
                <c:pt idx="83">
                  <c:v>46784</c:v>
                </c:pt>
                <c:pt idx="84">
                  <c:v>46813</c:v>
                </c:pt>
                <c:pt idx="85">
                  <c:v>46844</c:v>
                </c:pt>
                <c:pt idx="86">
                  <c:v>46874</c:v>
                </c:pt>
                <c:pt idx="87">
                  <c:v>46905</c:v>
                </c:pt>
                <c:pt idx="88">
                  <c:v>46935</c:v>
                </c:pt>
                <c:pt idx="89">
                  <c:v>46966</c:v>
                </c:pt>
                <c:pt idx="90">
                  <c:v>46997</c:v>
                </c:pt>
                <c:pt idx="91">
                  <c:v>47027</c:v>
                </c:pt>
                <c:pt idx="92">
                  <c:v>47058</c:v>
                </c:pt>
                <c:pt idx="93">
                  <c:v>47088</c:v>
                </c:pt>
              </c:numCache>
            </c:numRef>
          </c:cat>
          <c:val>
            <c:numRef>
              <c:f>'Graf 8'!$B$16:$B$85</c:f>
              <c:numCache>
                <c:formatCode>0.00%</c:formatCode>
                <c:ptCount val="70"/>
                <c:pt idx="0">
                  <c:v>-5.7399999999999994E-3</c:v>
                </c:pt>
                <c:pt idx="1">
                  <c:v>-5.6899999999999997E-3</c:v>
                </c:pt>
                <c:pt idx="2">
                  <c:v>-5.7099999999999998E-3</c:v>
                </c:pt>
                <c:pt idx="3">
                  <c:v>-5.8099999999999992E-3</c:v>
                </c:pt>
                <c:pt idx="4">
                  <c:v>-5.7099999999999998E-3</c:v>
                </c:pt>
                <c:pt idx="5">
                  <c:v>-5.6999999999999993E-3</c:v>
                </c:pt>
                <c:pt idx="6">
                  <c:v>-5.7999999999999996E-3</c:v>
                </c:pt>
                <c:pt idx="7">
                  <c:v>-5.7799999999999995E-3</c:v>
                </c:pt>
                <c:pt idx="8">
                  <c:v>-5.7499999999999999E-3</c:v>
                </c:pt>
                <c:pt idx="9">
                  <c:v>-5.8999999999999999E-3</c:v>
                </c:pt>
                <c:pt idx="10">
                  <c:v>-5.79E-3</c:v>
                </c:pt>
                <c:pt idx="11">
                  <c:v>-5.7999999999999996E-3</c:v>
                </c:pt>
                <c:pt idx="12">
                  <c:v>-5.9299999999999995E-3</c:v>
                </c:pt>
                <c:pt idx="13">
                  <c:v>-5.8599999999999998E-3</c:v>
                </c:pt>
                <c:pt idx="14">
                  <c:v>-5.8899999999999994E-3</c:v>
                </c:pt>
                <c:pt idx="15">
                  <c:v>-5.9099999999999995E-3</c:v>
                </c:pt>
                <c:pt idx="16">
                  <c:v>-9.1E-4</c:v>
                </c:pt>
                <c:pt idx="17">
                  <c:v>-9.1E-4</c:v>
                </c:pt>
                <c:pt idx="18">
                  <c:v>6.4200000000000004E-3</c:v>
                </c:pt>
                <c:pt idx="19">
                  <c:v>6.4800000000000005E-3</c:v>
                </c:pt>
                <c:pt idx="20">
                  <c:v>1.391E-2</c:v>
                </c:pt>
                <c:pt idx="21">
                  <c:v>1.89E-2</c:v>
                </c:pt>
                <c:pt idx="22">
                  <c:v>1.8939999999999999E-2</c:v>
                </c:pt>
                <c:pt idx="23">
                  <c:v>2.3879999999999998E-2</c:v>
                </c:pt>
                <c:pt idx="24">
                  <c:v>2.8839999999999998E-2</c:v>
                </c:pt>
                <c:pt idx="25">
                  <c:v>2.894E-2</c:v>
                </c:pt>
                <c:pt idx="26">
                  <c:v>3.1440000000000003E-2</c:v>
                </c:pt>
                <c:pt idx="27">
                  <c:v>3.4000000000000002E-2</c:v>
                </c:pt>
                <c:pt idx="28">
                  <c:v>3.3919999999999999E-2</c:v>
                </c:pt>
                <c:pt idx="29">
                  <c:v>3.6459999999999999E-2</c:v>
                </c:pt>
                <c:pt idx="30">
                  <c:v>3.8800000000000001E-2</c:v>
                </c:pt>
                <c:pt idx="31">
                  <c:v>3.882E-2</c:v>
                </c:pt>
                <c:pt idx="32">
                  <c:v>3.891E-2</c:v>
                </c:pt>
                <c:pt idx="33">
                  <c:v>3.882E-2</c:v>
                </c:pt>
                <c:pt idx="34">
                  <c:v>3.8940000000000002E-2</c:v>
                </c:pt>
                <c:pt idx="35">
                  <c:v>3.8870000000000002E-2</c:v>
                </c:pt>
                <c:pt idx="36">
                  <c:v>3.9109999999999999E-2</c:v>
                </c:pt>
              </c:numCache>
            </c:numRef>
          </c:val>
          <c:smooth val="0"/>
          <c:extLst>
            <c:ext xmlns:c16="http://schemas.microsoft.com/office/drawing/2014/chart" uri="{C3380CC4-5D6E-409C-BE32-E72D297353CC}">
              <c16:uniqueId val="{00000000-5003-4EE7-AE19-04176F4B9633}"/>
            </c:ext>
          </c:extLst>
        </c:ser>
        <c:ser>
          <c:idx val="1"/>
          <c:order val="1"/>
          <c:tx>
            <c:strRef>
              <c:f>'Graf 8'!$C$1</c:f>
              <c:strCache>
                <c:ptCount val="1"/>
                <c:pt idx="0">
                  <c:v>€str Swap</c:v>
                </c:pt>
              </c:strCache>
            </c:strRef>
          </c:tx>
          <c:spPr>
            <a:ln w="19050" cap="rnd">
              <a:solidFill>
                <a:srgbClr val="2EAAE1"/>
              </a:solidFill>
              <a:prstDash val="sysDash"/>
              <a:round/>
            </a:ln>
            <a:effectLst/>
          </c:spPr>
          <c:marker>
            <c:symbol val="none"/>
          </c:marker>
          <c:cat>
            <c:numRef>
              <c:f>'Graf 8'!$A$16:$A$109</c:f>
              <c:numCache>
                <c:formatCode>mmm\-yy</c:formatCode>
                <c:ptCount val="94"/>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pt idx="37">
                  <c:v>45383</c:v>
                </c:pt>
                <c:pt idx="38">
                  <c:v>45413</c:v>
                </c:pt>
                <c:pt idx="39">
                  <c:v>45444</c:v>
                </c:pt>
                <c:pt idx="40">
                  <c:v>45474</c:v>
                </c:pt>
                <c:pt idx="41">
                  <c:v>45505</c:v>
                </c:pt>
                <c:pt idx="42">
                  <c:v>45536</c:v>
                </c:pt>
                <c:pt idx="43">
                  <c:v>45566</c:v>
                </c:pt>
                <c:pt idx="44">
                  <c:v>45597</c:v>
                </c:pt>
                <c:pt idx="45">
                  <c:v>45627</c:v>
                </c:pt>
                <c:pt idx="46">
                  <c:v>45658</c:v>
                </c:pt>
                <c:pt idx="47">
                  <c:v>45689</c:v>
                </c:pt>
                <c:pt idx="48">
                  <c:v>45717</c:v>
                </c:pt>
                <c:pt idx="49">
                  <c:v>45748</c:v>
                </c:pt>
                <c:pt idx="50">
                  <c:v>45778</c:v>
                </c:pt>
                <c:pt idx="51">
                  <c:v>45809</c:v>
                </c:pt>
                <c:pt idx="52">
                  <c:v>45839</c:v>
                </c:pt>
                <c:pt idx="53">
                  <c:v>45870</c:v>
                </c:pt>
                <c:pt idx="54">
                  <c:v>45901</c:v>
                </c:pt>
                <c:pt idx="55">
                  <c:v>45931</c:v>
                </c:pt>
                <c:pt idx="56">
                  <c:v>45962</c:v>
                </c:pt>
                <c:pt idx="57">
                  <c:v>45992</c:v>
                </c:pt>
                <c:pt idx="58">
                  <c:v>46023</c:v>
                </c:pt>
                <c:pt idx="59">
                  <c:v>46054</c:v>
                </c:pt>
                <c:pt idx="60">
                  <c:v>46082</c:v>
                </c:pt>
                <c:pt idx="61">
                  <c:v>46113</c:v>
                </c:pt>
                <c:pt idx="62">
                  <c:v>46143</c:v>
                </c:pt>
                <c:pt idx="63">
                  <c:v>46174</c:v>
                </c:pt>
                <c:pt idx="64">
                  <c:v>46204</c:v>
                </c:pt>
                <c:pt idx="65">
                  <c:v>46235</c:v>
                </c:pt>
                <c:pt idx="66">
                  <c:v>46266</c:v>
                </c:pt>
                <c:pt idx="67">
                  <c:v>46296</c:v>
                </c:pt>
                <c:pt idx="68">
                  <c:v>46327</c:v>
                </c:pt>
                <c:pt idx="69">
                  <c:v>46357</c:v>
                </c:pt>
                <c:pt idx="70">
                  <c:v>46388</c:v>
                </c:pt>
                <c:pt idx="71">
                  <c:v>46419</c:v>
                </c:pt>
                <c:pt idx="72">
                  <c:v>46447</c:v>
                </c:pt>
                <c:pt idx="73">
                  <c:v>46478</c:v>
                </c:pt>
                <c:pt idx="74">
                  <c:v>46508</c:v>
                </c:pt>
                <c:pt idx="75">
                  <c:v>46539</c:v>
                </c:pt>
                <c:pt idx="76">
                  <c:v>46569</c:v>
                </c:pt>
                <c:pt idx="77">
                  <c:v>46600</c:v>
                </c:pt>
                <c:pt idx="78">
                  <c:v>46631</c:v>
                </c:pt>
                <c:pt idx="79">
                  <c:v>46661</c:v>
                </c:pt>
                <c:pt idx="80">
                  <c:v>46692</c:v>
                </c:pt>
                <c:pt idx="81">
                  <c:v>46722</c:v>
                </c:pt>
                <c:pt idx="82">
                  <c:v>46753</c:v>
                </c:pt>
                <c:pt idx="83">
                  <c:v>46784</c:v>
                </c:pt>
                <c:pt idx="84">
                  <c:v>46813</c:v>
                </c:pt>
                <c:pt idx="85">
                  <c:v>46844</c:v>
                </c:pt>
                <c:pt idx="86">
                  <c:v>46874</c:v>
                </c:pt>
                <c:pt idx="87">
                  <c:v>46905</c:v>
                </c:pt>
                <c:pt idx="88">
                  <c:v>46935</c:v>
                </c:pt>
                <c:pt idx="89">
                  <c:v>46966</c:v>
                </c:pt>
                <c:pt idx="90">
                  <c:v>46997</c:v>
                </c:pt>
                <c:pt idx="91">
                  <c:v>47027</c:v>
                </c:pt>
                <c:pt idx="92">
                  <c:v>47058</c:v>
                </c:pt>
                <c:pt idx="93">
                  <c:v>47088</c:v>
                </c:pt>
              </c:numCache>
            </c:numRef>
          </c:cat>
          <c:val>
            <c:numRef>
              <c:f>'Graf 8'!$C$14:$C$109</c:f>
              <c:numCache>
                <c:formatCode>General</c:formatCode>
                <c:ptCount val="96"/>
                <c:pt idx="39" formatCode="0.00%">
                  <c:v>3.9032499790191653E-2</c:v>
                </c:pt>
                <c:pt idx="40" formatCode="0.00%">
                  <c:v>3.8959999084472646E-2</c:v>
                </c:pt>
                <c:pt idx="41" formatCode="0.00%">
                  <c:v>3.8933000564575201E-2</c:v>
                </c:pt>
                <c:pt idx="42" formatCode="0.00%">
                  <c:v>3.8568501472473156E-2</c:v>
                </c:pt>
                <c:pt idx="43" formatCode="0.00%">
                  <c:v>3.8154997825622552E-2</c:v>
                </c:pt>
                <c:pt idx="44" formatCode="0.00%">
                  <c:v>3.7747998237609902E-2</c:v>
                </c:pt>
                <c:pt idx="45" formatCode="0.00%">
                  <c:v>3.7302999496459953E-2</c:v>
                </c:pt>
                <c:pt idx="46" formatCode="0.00%">
                  <c:v>3.6761999130249051E-2</c:v>
                </c:pt>
                <c:pt idx="47" formatCode="0.00%">
                  <c:v>3.6260499954223653E-2</c:v>
                </c:pt>
                <c:pt idx="48" formatCode="0.00%">
                  <c:v>3.5759999752044649E-2</c:v>
                </c:pt>
                <c:pt idx="49" formatCode="0.00%">
                  <c:v>3.5212001800537102E-2</c:v>
                </c:pt>
                <c:pt idx="50" formatCode="0.00%">
                  <c:v>3.476749897003175E-2</c:v>
                </c:pt>
                <c:pt idx="51" formatCode="0.00%">
                  <c:v>3.4277749061584484E-2</c:v>
                </c:pt>
                <c:pt idx="52" formatCode="0.00%">
                  <c:v>3.3787999153137217E-2</c:v>
                </c:pt>
                <c:pt idx="53" formatCode="0.00%">
                  <c:v>3.3298249244689958E-2</c:v>
                </c:pt>
                <c:pt idx="54" formatCode="0.00%">
                  <c:v>3.2808499336242691E-2</c:v>
                </c:pt>
                <c:pt idx="55" formatCode="0.00%">
                  <c:v>3.2318749427795425E-2</c:v>
                </c:pt>
                <c:pt idx="56" formatCode="0.00%">
                  <c:v>3.1828999519348151E-2</c:v>
                </c:pt>
                <c:pt idx="57" formatCode="0.00%">
                  <c:v>3.1490499973297122E-2</c:v>
                </c:pt>
                <c:pt idx="58" formatCode="0.00%">
                  <c:v>3.1152000427246085E-2</c:v>
                </c:pt>
                <c:pt idx="59" formatCode="0.00%">
                  <c:v>3.0813500881195052E-2</c:v>
                </c:pt>
                <c:pt idx="60" formatCode="0.00%">
                  <c:v>3.0475001335144015E-2</c:v>
                </c:pt>
                <c:pt idx="61" formatCode="0.00%">
                  <c:v>3.0136501789092981E-2</c:v>
                </c:pt>
                <c:pt idx="62" formatCode="0.00%">
                  <c:v>2.9798002243041948E-2</c:v>
                </c:pt>
                <c:pt idx="63" formatCode="0.00%">
                  <c:v>2.9588752190271971E-2</c:v>
                </c:pt>
                <c:pt idx="64" formatCode="0.00%">
                  <c:v>2.9379502137501998E-2</c:v>
                </c:pt>
                <c:pt idx="65" formatCode="0.00%">
                  <c:v>2.9170252084732021E-2</c:v>
                </c:pt>
                <c:pt idx="66" formatCode="0.00%">
                  <c:v>2.8961002031962044E-2</c:v>
                </c:pt>
                <c:pt idx="67" formatCode="0.00%">
                  <c:v>2.8751751979192067E-2</c:v>
                </c:pt>
                <c:pt idx="68" formatCode="0.00%">
                  <c:v>2.8542501926422093E-2</c:v>
                </c:pt>
                <c:pt idx="69" formatCode="0.00%">
                  <c:v>2.8333251873652116E-2</c:v>
                </c:pt>
                <c:pt idx="70" formatCode="0.00%">
                  <c:v>2.8124001820882139E-2</c:v>
                </c:pt>
                <c:pt idx="71" formatCode="0.00%">
                  <c:v>2.7914751768112166E-2</c:v>
                </c:pt>
                <c:pt idx="72" formatCode="0.00%">
                  <c:v>2.7705501715342189E-2</c:v>
                </c:pt>
                <c:pt idx="73" formatCode="0.00%">
                  <c:v>2.7496251662572212E-2</c:v>
                </c:pt>
                <c:pt idx="74" formatCode="0.00%">
                  <c:v>2.7287001609802252E-2</c:v>
                </c:pt>
                <c:pt idx="75" formatCode="0.00%">
                  <c:v>2.7173918088277182E-2</c:v>
                </c:pt>
                <c:pt idx="76" formatCode="0.00%">
                  <c:v>2.7060834566752113E-2</c:v>
                </c:pt>
                <c:pt idx="77" formatCode="0.00%">
                  <c:v>2.6947751045227047E-2</c:v>
                </c:pt>
                <c:pt idx="78" formatCode="0.00%">
                  <c:v>2.6834667523701977E-2</c:v>
                </c:pt>
                <c:pt idx="79" formatCode="0.00%">
                  <c:v>2.6721584002176911E-2</c:v>
                </c:pt>
                <c:pt idx="80" formatCode="0.00%">
                  <c:v>2.6608500480651841E-2</c:v>
                </c:pt>
                <c:pt idx="81" formatCode="0.00%">
                  <c:v>2.6495416959126775E-2</c:v>
                </c:pt>
                <c:pt idx="82" formatCode="0.00%">
                  <c:v>2.6382333437601706E-2</c:v>
                </c:pt>
                <c:pt idx="83" formatCode="0.00%">
                  <c:v>2.626924991607664E-2</c:v>
                </c:pt>
                <c:pt idx="84" formatCode="0.00%">
                  <c:v>2.615616639455157E-2</c:v>
                </c:pt>
                <c:pt idx="85" formatCode="0.00%">
                  <c:v>2.60430828730265E-2</c:v>
                </c:pt>
                <c:pt idx="86" formatCode="0.00%">
                  <c:v>2.5929999351501448E-2</c:v>
                </c:pt>
                <c:pt idx="87" formatCode="0.00%">
                  <c:v>2.5867499510447169E-2</c:v>
                </c:pt>
                <c:pt idx="88" formatCode="0.00%">
                  <c:v>2.580499966939289E-2</c:v>
                </c:pt>
                <c:pt idx="89" formatCode="0.00%">
                  <c:v>2.5742499828338615E-2</c:v>
                </c:pt>
                <c:pt idx="90" formatCode="0.00%">
                  <c:v>2.5679999987284336E-2</c:v>
                </c:pt>
                <c:pt idx="91" formatCode="0.00%">
                  <c:v>2.5617500146230057E-2</c:v>
                </c:pt>
                <c:pt idx="92" formatCode="0.00%">
                  <c:v>2.5555000305175782E-2</c:v>
                </c:pt>
                <c:pt idx="93" formatCode="0.00%">
                  <c:v>2.5492500464121503E-2</c:v>
                </c:pt>
                <c:pt idx="94" formatCode="0.00%">
                  <c:v>2.5430000623067227E-2</c:v>
                </c:pt>
                <c:pt idx="95" formatCode="0.00%">
                  <c:v>2.5367500782012949E-2</c:v>
                </c:pt>
              </c:numCache>
            </c:numRef>
          </c:val>
          <c:smooth val="0"/>
          <c:extLst>
            <c:ext xmlns:c16="http://schemas.microsoft.com/office/drawing/2014/chart" uri="{C3380CC4-5D6E-409C-BE32-E72D297353CC}">
              <c16:uniqueId val="{00000001-5003-4EE7-AE19-04176F4B9633}"/>
            </c:ext>
          </c:extLst>
        </c:ser>
        <c:dLbls>
          <c:showLegendKey val="0"/>
          <c:showVal val="0"/>
          <c:showCatName val="0"/>
          <c:showSerName val="0"/>
          <c:showPercent val="0"/>
          <c:showBubbleSize val="0"/>
        </c:dLbls>
        <c:smooth val="0"/>
        <c:axId val="886031984"/>
        <c:axId val="886032968"/>
      </c:lineChart>
      <c:dateAx>
        <c:axId val="886031984"/>
        <c:scaling>
          <c:orientation val="minMax"/>
        </c:scaling>
        <c:delete val="0"/>
        <c:axPos val="b"/>
        <c:numFmt formatCode="m/yy" sourceLinked="0"/>
        <c:majorTickMark val="none"/>
        <c:minorTickMark val="none"/>
        <c:tickLblPos val="low"/>
        <c:spPr>
          <a:noFill/>
          <a:ln w="12700" cap="flat" cmpd="sng" algn="ctr">
            <a:solidFill>
              <a:srgbClr val="686767"/>
            </a:solidFill>
            <a:round/>
          </a:ln>
          <a:effectLst/>
        </c:spPr>
        <c:txPr>
          <a:bodyPr rot="-2700000" spcFirstLastPara="1" vertOverflow="ellipsis" wrap="square" anchor="ctr" anchorCtr="1"/>
          <a:lstStyle/>
          <a:p>
            <a:pPr>
              <a:defRPr sz="800" b="0" i="0" u="none" strike="noStrike" kern="1200" baseline="0">
                <a:solidFill>
                  <a:srgbClr val="0C1D2B"/>
                </a:solidFill>
                <a:latin typeface="Arial Narrow" panose="020B0606020202030204" pitchFamily="34" charset="0"/>
                <a:ea typeface="+mn-ea"/>
                <a:cs typeface="+mn-cs"/>
              </a:defRPr>
            </a:pPr>
            <a:endParaRPr lang="sk-SK"/>
          </a:p>
        </c:txPr>
        <c:crossAx val="886032968"/>
        <c:crosses val="autoZero"/>
        <c:auto val="1"/>
        <c:lblOffset val="100"/>
        <c:baseTimeUnit val="months"/>
        <c:majorUnit val="6"/>
        <c:majorTimeUnit val="months"/>
      </c:dateAx>
      <c:valAx>
        <c:axId val="886032968"/>
        <c:scaling>
          <c:orientation val="minMax"/>
          <c:max val="4.0000000000000008E-2"/>
        </c:scaling>
        <c:delete val="0"/>
        <c:axPos val="l"/>
        <c:majorGridlines>
          <c:spPr>
            <a:ln w="3175" cap="flat" cmpd="sng" algn="ctr">
              <a:solidFill>
                <a:srgbClr val="686767">
                  <a:alpha val="25000"/>
                </a:srgbClr>
              </a:solidFill>
              <a:prstDash val="sysDot"/>
              <a:round/>
              <a:headEnd type="none" w="med" len="med"/>
              <a:tailEnd type="none" w="med" len="med"/>
            </a:ln>
            <a:effectLst/>
          </c:spPr>
        </c:majorGridlines>
        <c:numFmt formatCode="0.0%" sourceLinked="0"/>
        <c:majorTickMark val="none"/>
        <c:minorTickMark val="none"/>
        <c:tickLblPos val="low"/>
        <c:spPr>
          <a:noFill/>
          <a:ln>
            <a:noFill/>
          </a:ln>
          <a:effectLst/>
        </c:spPr>
        <c:txPr>
          <a:bodyPr rot="-60000000" spcFirstLastPara="1" vertOverflow="ellipsis" vert="horz" wrap="square" anchor="ctr" anchorCtr="1"/>
          <a:lstStyle/>
          <a:p>
            <a:pPr>
              <a:defRPr sz="800" b="0" i="0" u="none" strike="noStrike" kern="1200" baseline="0">
                <a:solidFill>
                  <a:srgbClr val="0C1D2B"/>
                </a:solidFill>
                <a:latin typeface="Arial Narrow" panose="020B0606020202030204" pitchFamily="34" charset="0"/>
                <a:ea typeface="+mn-ea"/>
                <a:cs typeface="+mn-cs"/>
              </a:defRPr>
            </a:pPr>
            <a:endParaRPr lang="sk-SK"/>
          </a:p>
        </c:txPr>
        <c:crossAx val="886031984"/>
        <c:crosses val="autoZero"/>
        <c:crossBetween val="between"/>
      </c:valAx>
      <c:spPr>
        <a:noFill/>
        <a:ln>
          <a:noFill/>
        </a:ln>
        <a:effectLst/>
      </c:spPr>
    </c:plotArea>
    <c:legend>
      <c:legendPos val="t"/>
      <c:layout>
        <c:manualLayout>
          <c:xMode val="edge"/>
          <c:yMode val="edge"/>
          <c:x val="0.21647630718954247"/>
          <c:y val="2.3037499999999995E-2"/>
          <c:w val="0.67525531045751641"/>
          <c:h val="0.10253101851851851"/>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C1D2B"/>
              </a:solidFill>
              <a:latin typeface="Arial Narrow" panose="020B0606020202030204" pitchFamily="34" charset="0"/>
              <a:ea typeface="+mn-ea"/>
              <a:cs typeface="+mn-cs"/>
            </a:defRPr>
          </a:pPr>
          <a:endParaRPr lang="sk-SK"/>
        </a:p>
      </c:txPr>
    </c:legend>
    <c:plotVisOnly val="1"/>
    <c:dispBlanksAs val="gap"/>
    <c:showDLblsOverMax val="0"/>
  </c:chart>
  <c:spPr>
    <a:noFill/>
    <a:ln w="25400" cap="flat" cmpd="sng" algn="ctr">
      <a:noFill/>
      <a:round/>
    </a:ln>
    <a:effectLst/>
  </c:spPr>
  <c:txPr>
    <a:bodyPr/>
    <a:lstStyle/>
    <a:p>
      <a:pPr>
        <a:defRPr sz="800">
          <a:solidFill>
            <a:srgbClr val="0C1D2B"/>
          </a:solidFill>
          <a:latin typeface="Arial Narrow" panose="020B0606020202030204" pitchFamily="34" charset="0"/>
        </a:defRPr>
      </a:pPr>
      <a:endParaRPr lang="sk-SK"/>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55486193850674"/>
          <c:y val="0.13207547169811321"/>
          <c:w val="0.80958705117206098"/>
          <c:h val="0.67306690437280248"/>
        </c:manualLayout>
      </c:layout>
      <c:barChart>
        <c:barDir val="col"/>
        <c:grouping val="stacked"/>
        <c:varyColors val="0"/>
        <c:ser>
          <c:idx val="1"/>
          <c:order val="0"/>
          <c:tx>
            <c:strRef>
              <c:f>'Graf 7+Tab 2'!$K$6</c:f>
              <c:strCache>
                <c:ptCount val="1"/>
                <c:pt idx="0">
                  <c:v>Zamestnanosť</c:v>
                </c:pt>
              </c:strCache>
            </c:strRef>
          </c:tx>
          <c:spPr>
            <a:solidFill>
              <a:srgbClr val="2C9ADC"/>
            </a:solidFill>
          </c:spPr>
          <c:invertIfNegative val="0"/>
          <c:cat>
            <c:strRef>
              <c:f>'Graf 7+Tab 2'!$L$5:$AD$5</c:f>
              <c:strCach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2024F</c:v>
                </c:pt>
                <c:pt idx="15">
                  <c:v>2025F</c:v>
                </c:pt>
                <c:pt idx="16">
                  <c:v>2026F</c:v>
                </c:pt>
                <c:pt idx="17">
                  <c:v>2027F</c:v>
                </c:pt>
                <c:pt idx="18">
                  <c:v>2028F</c:v>
                </c:pt>
              </c:strCache>
            </c:strRef>
          </c:cat>
          <c:val>
            <c:numRef>
              <c:f>'Graf 7+Tab 2'!$L$6:$AD$6</c:f>
              <c:numCache>
                <c:formatCode>0.0</c:formatCode>
                <c:ptCount val="19"/>
                <c:pt idx="0">
                  <c:v>4.5828109114870341E-2</c:v>
                </c:pt>
                <c:pt idx="1">
                  <c:v>0.42911658647559642</c:v>
                </c:pt>
                <c:pt idx="2">
                  <c:v>0.27967884333600423</c:v>
                </c:pt>
                <c:pt idx="3">
                  <c:v>0.2386680258038302</c:v>
                </c:pt>
                <c:pt idx="4">
                  <c:v>0.43113905588992613</c:v>
                </c:pt>
                <c:pt idx="5">
                  <c:v>0.5722913754271497</c:v>
                </c:pt>
                <c:pt idx="6">
                  <c:v>0.60560459445957271</c:v>
                </c:pt>
                <c:pt idx="7">
                  <c:v>0.54239372408471831</c:v>
                </c:pt>
                <c:pt idx="8">
                  <c:v>0.47148188044629791</c:v>
                </c:pt>
                <c:pt idx="9">
                  <c:v>0.27090822046757096</c:v>
                </c:pt>
                <c:pt idx="10">
                  <c:v>-1.2047613900021957E-2</c:v>
                </c:pt>
                <c:pt idx="11">
                  <c:v>-0.11153276447658776</c:v>
                </c:pt>
                <c:pt idx="12">
                  <c:v>-6.4857861476582774E-3</c:v>
                </c:pt>
                <c:pt idx="13">
                  <c:v>-5.9085131072157317E-3</c:v>
                </c:pt>
                <c:pt idx="14">
                  <c:v>1.2022097452551118E-3</c:v>
                </c:pt>
                <c:pt idx="15">
                  <c:v>-3.044125791846411E-2</c:v>
                </c:pt>
                <c:pt idx="16">
                  <c:v>-0.14630294715702333</c:v>
                </c:pt>
                <c:pt idx="17">
                  <c:v>-0.13684881995307741</c:v>
                </c:pt>
                <c:pt idx="18">
                  <c:v>-0.18636804950805153</c:v>
                </c:pt>
              </c:numCache>
            </c:numRef>
          </c:val>
          <c:extLst>
            <c:ext xmlns:c16="http://schemas.microsoft.com/office/drawing/2014/chart" uri="{C3380CC4-5D6E-409C-BE32-E72D297353CC}">
              <c16:uniqueId val="{00000000-0573-4602-BD99-382069DE6F09}"/>
            </c:ext>
          </c:extLst>
        </c:ser>
        <c:ser>
          <c:idx val="2"/>
          <c:order val="1"/>
          <c:tx>
            <c:strRef>
              <c:f>'Graf 7+Tab 2'!$K$7</c:f>
              <c:strCache>
                <c:ptCount val="1"/>
                <c:pt idx="0">
                  <c:v>Zásoba kapitálu</c:v>
                </c:pt>
              </c:strCache>
            </c:strRef>
          </c:tx>
          <c:spPr>
            <a:solidFill>
              <a:srgbClr val="D6DCE5"/>
            </a:solidFill>
          </c:spPr>
          <c:invertIfNegative val="0"/>
          <c:cat>
            <c:strRef>
              <c:f>'Graf 7+Tab 2'!$L$5:$AD$5</c:f>
              <c:strCach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2024F</c:v>
                </c:pt>
                <c:pt idx="15">
                  <c:v>2025F</c:v>
                </c:pt>
                <c:pt idx="16">
                  <c:v>2026F</c:v>
                </c:pt>
                <c:pt idx="17">
                  <c:v>2027F</c:v>
                </c:pt>
                <c:pt idx="18">
                  <c:v>2028F</c:v>
                </c:pt>
              </c:strCache>
            </c:strRef>
          </c:cat>
          <c:val>
            <c:numRef>
              <c:f>'Graf 7+Tab 2'!$L$7:$AD$7</c:f>
              <c:numCache>
                <c:formatCode>0.0</c:formatCode>
                <c:ptCount val="19"/>
                <c:pt idx="0">
                  <c:v>0.16376195135659105</c:v>
                </c:pt>
                <c:pt idx="1">
                  <c:v>0.38424936764661782</c:v>
                </c:pt>
                <c:pt idx="2">
                  <c:v>0.48512097219270722</c:v>
                </c:pt>
                <c:pt idx="3">
                  <c:v>0.2687091735391744</c:v>
                </c:pt>
                <c:pt idx="4">
                  <c:v>0.26996358278434174</c:v>
                </c:pt>
                <c:pt idx="5">
                  <c:v>0.57138835910628483</c:v>
                </c:pt>
                <c:pt idx="6">
                  <c:v>0.78783140023960008</c:v>
                </c:pt>
                <c:pt idx="7">
                  <c:v>0.52712477562534665</c:v>
                </c:pt>
                <c:pt idx="8">
                  <c:v>0.67439853733764132</c:v>
                </c:pt>
                <c:pt idx="9">
                  <c:v>0.73797151052713184</c:v>
                </c:pt>
                <c:pt idx="10">
                  <c:v>0.73931063041372469</c:v>
                </c:pt>
                <c:pt idx="11">
                  <c:v>0.53326208947147824</c:v>
                </c:pt>
                <c:pt idx="12">
                  <c:v>0.64056040184274621</c:v>
                </c:pt>
                <c:pt idx="13">
                  <c:v>0.83994840865375864</c:v>
                </c:pt>
                <c:pt idx="14">
                  <c:v>0.95624314094092244</c:v>
                </c:pt>
                <c:pt idx="15">
                  <c:v>0.98346236345399296</c:v>
                </c:pt>
                <c:pt idx="16">
                  <c:v>1.1275937445512922</c:v>
                </c:pt>
                <c:pt idx="17">
                  <c:v>0.956415132789176</c:v>
                </c:pt>
                <c:pt idx="18">
                  <c:v>0.8539572148243928</c:v>
                </c:pt>
              </c:numCache>
            </c:numRef>
          </c:val>
          <c:extLst>
            <c:ext xmlns:c16="http://schemas.microsoft.com/office/drawing/2014/chart" uri="{C3380CC4-5D6E-409C-BE32-E72D297353CC}">
              <c16:uniqueId val="{00000001-0573-4602-BD99-382069DE6F09}"/>
            </c:ext>
          </c:extLst>
        </c:ser>
        <c:ser>
          <c:idx val="3"/>
          <c:order val="2"/>
          <c:tx>
            <c:strRef>
              <c:f>'Graf 7+Tab 2'!$K$8</c:f>
              <c:strCache>
                <c:ptCount val="1"/>
                <c:pt idx="0">
                  <c:v>TFP</c:v>
                </c:pt>
              </c:strCache>
            </c:strRef>
          </c:tx>
          <c:spPr>
            <a:solidFill>
              <a:srgbClr val="555555"/>
            </a:solidFill>
          </c:spPr>
          <c:invertIfNegative val="0"/>
          <c:cat>
            <c:strRef>
              <c:f>'Graf 7+Tab 2'!$L$5:$AD$5</c:f>
              <c:strCach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2024F</c:v>
                </c:pt>
                <c:pt idx="15">
                  <c:v>2025F</c:v>
                </c:pt>
                <c:pt idx="16">
                  <c:v>2026F</c:v>
                </c:pt>
                <c:pt idx="17">
                  <c:v>2027F</c:v>
                </c:pt>
                <c:pt idx="18">
                  <c:v>2028F</c:v>
                </c:pt>
              </c:strCache>
            </c:strRef>
          </c:cat>
          <c:val>
            <c:numRef>
              <c:f>'Graf 7+Tab 2'!$L$8:$AD$8</c:f>
              <c:numCache>
                <c:formatCode>0.0</c:formatCode>
                <c:ptCount val="19"/>
                <c:pt idx="0">
                  <c:v>1.6225223268335975</c:v>
                </c:pt>
                <c:pt idx="1">
                  <c:v>1.8240623459307992</c:v>
                </c:pt>
                <c:pt idx="2">
                  <c:v>1.5671930878094154</c:v>
                </c:pt>
                <c:pt idx="3">
                  <c:v>1.0833788120475196</c:v>
                </c:pt>
                <c:pt idx="4">
                  <c:v>1.1579251518667011</c:v>
                </c:pt>
                <c:pt idx="5">
                  <c:v>2.1231197150200609</c:v>
                </c:pt>
                <c:pt idx="6">
                  <c:v>1.1471730061510366</c:v>
                </c:pt>
                <c:pt idx="7">
                  <c:v>0.90416372873800555</c:v>
                </c:pt>
                <c:pt idx="8">
                  <c:v>1.2573226675600013</c:v>
                </c:pt>
                <c:pt idx="9">
                  <c:v>1.038808775837663</c:v>
                </c:pt>
                <c:pt idx="10">
                  <c:v>1.1873572498390494</c:v>
                </c:pt>
                <c:pt idx="11">
                  <c:v>1.1570967951079814</c:v>
                </c:pt>
                <c:pt idx="12">
                  <c:v>0.8633368459755042</c:v>
                </c:pt>
                <c:pt idx="13">
                  <c:v>1.1081056892681795</c:v>
                </c:pt>
                <c:pt idx="14">
                  <c:v>1.0174264546245926</c:v>
                </c:pt>
                <c:pt idx="15">
                  <c:v>1.0033726032874668</c:v>
                </c:pt>
                <c:pt idx="16">
                  <c:v>1.0037493341003456</c:v>
                </c:pt>
                <c:pt idx="17">
                  <c:v>1.0037533548809208</c:v>
                </c:pt>
                <c:pt idx="18">
                  <c:v>1.0036140763461487</c:v>
                </c:pt>
              </c:numCache>
            </c:numRef>
          </c:val>
          <c:extLst>
            <c:ext xmlns:c16="http://schemas.microsoft.com/office/drawing/2014/chart" uri="{C3380CC4-5D6E-409C-BE32-E72D297353CC}">
              <c16:uniqueId val="{00000002-0573-4602-BD99-382069DE6F09}"/>
            </c:ext>
          </c:extLst>
        </c:ser>
        <c:dLbls>
          <c:showLegendKey val="0"/>
          <c:showVal val="0"/>
          <c:showCatName val="0"/>
          <c:showSerName val="0"/>
          <c:showPercent val="0"/>
          <c:showBubbleSize val="0"/>
        </c:dLbls>
        <c:gapWidth val="150"/>
        <c:overlap val="100"/>
        <c:axId val="303050888"/>
        <c:axId val="303051280"/>
      </c:barChart>
      <c:lineChart>
        <c:grouping val="standard"/>
        <c:varyColors val="0"/>
        <c:ser>
          <c:idx val="0"/>
          <c:order val="3"/>
          <c:tx>
            <c:strRef>
              <c:f>'Graf 7+Tab 2'!$K$9</c:f>
              <c:strCache>
                <c:ptCount val="1"/>
                <c:pt idx="0">
                  <c:v>Pot. produkt</c:v>
                </c:pt>
              </c:strCache>
            </c:strRef>
          </c:tx>
          <c:spPr>
            <a:ln w="19050">
              <a:solidFill>
                <a:schemeClr val="tx1"/>
              </a:solidFill>
            </a:ln>
          </c:spPr>
          <c:marker>
            <c:symbol val="none"/>
          </c:marker>
          <c:cat>
            <c:strRef>
              <c:f>'Graf 7+Tab 2'!$L$5:$AD$5</c:f>
              <c:strCache>
                <c:ptCount val="19"/>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2024F</c:v>
                </c:pt>
                <c:pt idx="15">
                  <c:v>2025F</c:v>
                </c:pt>
                <c:pt idx="16">
                  <c:v>2026F</c:v>
                </c:pt>
                <c:pt idx="17">
                  <c:v>2027F</c:v>
                </c:pt>
                <c:pt idx="18">
                  <c:v>2028F</c:v>
                </c:pt>
              </c:strCache>
            </c:strRef>
          </c:cat>
          <c:val>
            <c:numRef>
              <c:f>'Graf 7+Tab 2'!$L$9:$AD$9</c:f>
              <c:numCache>
                <c:formatCode>0.0</c:formatCode>
                <c:ptCount val="19"/>
                <c:pt idx="0">
                  <c:v>1.835469153404623</c:v>
                </c:pt>
                <c:pt idx="1">
                  <c:v>2.6521579354187308</c:v>
                </c:pt>
                <c:pt idx="2">
                  <c:v>2.3439146223717344</c:v>
                </c:pt>
                <c:pt idx="3">
                  <c:v>1.5962476142844961</c:v>
                </c:pt>
                <c:pt idx="4">
                  <c:v>1.8668354629120643</c:v>
                </c:pt>
                <c:pt idx="5">
                  <c:v>3.2909797634534721</c:v>
                </c:pt>
                <c:pt idx="6">
                  <c:v>2.5565933994792234</c:v>
                </c:pt>
                <c:pt idx="7">
                  <c:v>1.9832444869670951</c:v>
                </c:pt>
                <c:pt idx="8">
                  <c:v>2.4175903998015169</c:v>
                </c:pt>
                <c:pt idx="9">
                  <c:v>2.0575684454495979</c:v>
                </c:pt>
                <c:pt idx="10">
                  <c:v>1.9210151296194189</c:v>
                </c:pt>
                <c:pt idx="11">
                  <c:v>1.5819046170867157</c:v>
                </c:pt>
                <c:pt idx="12">
                  <c:v>1.501233755967446</c:v>
                </c:pt>
                <c:pt idx="13">
                  <c:v>1.9485673500156064</c:v>
                </c:pt>
                <c:pt idx="14">
                  <c:v>1.9810412250453657</c:v>
                </c:pt>
                <c:pt idx="15">
                  <c:v>1.9618598368467799</c:v>
                </c:pt>
                <c:pt idx="16">
                  <c:v>1.9881159772290768</c:v>
                </c:pt>
                <c:pt idx="17">
                  <c:v>1.8265225137324537</c:v>
                </c:pt>
                <c:pt idx="18">
                  <c:v>1.6732145517476482</c:v>
                </c:pt>
              </c:numCache>
            </c:numRef>
          </c:val>
          <c:smooth val="0"/>
          <c:extLst>
            <c:ext xmlns:c16="http://schemas.microsoft.com/office/drawing/2014/chart" uri="{C3380CC4-5D6E-409C-BE32-E72D297353CC}">
              <c16:uniqueId val="{00000003-0573-4602-BD99-382069DE6F09}"/>
            </c:ext>
          </c:extLst>
        </c:ser>
        <c:dLbls>
          <c:showLegendKey val="0"/>
          <c:showVal val="0"/>
          <c:showCatName val="0"/>
          <c:showSerName val="0"/>
          <c:showPercent val="0"/>
          <c:showBubbleSize val="0"/>
        </c:dLbls>
        <c:marker val="1"/>
        <c:smooth val="0"/>
        <c:axId val="303050888"/>
        <c:axId val="303051280"/>
      </c:lineChart>
      <c:catAx>
        <c:axId val="303050888"/>
        <c:scaling>
          <c:orientation val="minMax"/>
        </c:scaling>
        <c:delete val="0"/>
        <c:axPos val="b"/>
        <c:numFmt formatCode="General" sourceLinked="1"/>
        <c:majorTickMark val="none"/>
        <c:minorTickMark val="none"/>
        <c:tickLblPos val="low"/>
        <c:spPr>
          <a:ln w="6350">
            <a:solidFill>
              <a:schemeClr val="tx1"/>
            </a:solidFill>
          </a:ln>
        </c:spPr>
        <c:crossAx val="303051280"/>
        <c:crosses val="autoZero"/>
        <c:auto val="1"/>
        <c:lblAlgn val="ctr"/>
        <c:lblOffset val="100"/>
        <c:noMultiLvlLbl val="0"/>
      </c:catAx>
      <c:valAx>
        <c:axId val="303051280"/>
        <c:scaling>
          <c:orientation val="minMax"/>
        </c:scaling>
        <c:delete val="0"/>
        <c:axPos val="l"/>
        <c:majorGridlines>
          <c:spPr>
            <a:ln w="6350">
              <a:solidFill>
                <a:schemeClr val="bg1">
                  <a:lumMod val="95000"/>
                </a:schemeClr>
              </a:solidFill>
              <a:prstDash val="sysDot"/>
            </a:ln>
          </c:spPr>
        </c:majorGridlines>
        <c:numFmt formatCode="0.0" sourceLinked="1"/>
        <c:majorTickMark val="out"/>
        <c:minorTickMark val="none"/>
        <c:tickLblPos val="nextTo"/>
        <c:spPr>
          <a:ln w="6350">
            <a:solidFill>
              <a:schemeClr val="tx1"/>
            </a:solidFill>
          </a:ln>
        </c:spPr>
        <c:crossAx val="303050888"/>
        <c:crosses val="autoZero"/>
        <c:crossBetween val="between"/>
      </c:valAx>
      <c:spPr>
        <a:noFill/>
      </c:spPr>
    </c:plotArea>
    <c:legend>
      <c:legendPos val="r"/>
      <c:layout>
        <c:manualLayout>
          <c:xMode val="edge"/>
          <c:yMode val="edge"/>
          <c:x val="6.1725659686860897E-2"/>
          <c:y val="4.6954242912760754E-3"/>
          <c:w val="0.88347748329566056"/>
          <c:h val="0.11526221958104294"/>
        </c:manualLayout>
      </c:layout>
      <c:overlay val="1"/>
    </c:legend>
    <c:plotVisOnly val="1"/>
    <c:dispBlanksAs val="gap"/>
    <c:showDLblsOverMax val="0"/>
  </c:chart>
  <c:spPr>
    <a:noFill/>
    <a:ln>
      <a:noFill/>
    </a:ln>
  </c:spPr>
  <c:txPr>
    <a:bodyPr/>
    <a:lstStyle/>
    <a:p>
      <a:pPr>
        <a:defRPr sz="800">
          <a:solidFill>
            <a:sysClr val="windowText" lastClr="000000"/>
          </a:solidFill>
          <a:latin typeface="Arial Narrow" panose="020B0606020202030204" pitchFamily="34" charset="0"/>
        </a:defRPr>
      </a:pPr>
      <a:endParaRPr lang="sk-SK"/>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0.76104</cdr:x>
      <cdr:y>0.30924</cdr:y>
    </cdr:from>
    <cdr:to>
      <cdr:x>0.7943</cdr:x>
      <cdr:y>0.41121</cdr:y>
    </cdr:to>
    <cdr:sp macro="" textlink="">
      <cdr:nvSpPr>
        <cdr:cNvPr id="2" name="Obojsmerná zvislá šípka 1"/>
        <cdr:cNvSpPr/>
      </cdr:nvSpPr>
      <cdr:spPr>
        <a:xfrm xmlns:a="http://schemas.openxmlformats.org/drawingml/2006/main">
          <a:off x="2102660" y="698863"/>
          <a:ext cx="91900" cy="230457"/>
        </a:xfrm>
        <a:prstGeom xmlns:a="http://schemas.openxmlformats.org/drawingml/2006/main" prst="up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sk-SK"/>
        </a:p>
      </cdr:txBody>
    </cdr:sp>
  </cdr:relSizeAnchor>
  <cdr:relSizeAnchor xmlns:cdr="http://schemas.openxmlformats.org/drawingml/2006/chartDrawing">
    <cdr:from>
      <cdr:x>0.89116</cdr:x>
      <cdr:y>0.27037</cdr:y>
    </cdr:from>
    <cdr:to>
      <cdr:x>0.92339</cdr:x>
      <cdr:y>0.52246</cdr:y>
    </cdr:to>
    <cdr:sp macro="" textlink="">
      <cdr:nvSpPr>
        <cdr:cNvPr id="3" name="Obojsmerná zvislá šípka 2"/>
        <cdr:cNvSpPr/>
      </cdr:nvSpPr>
      <cdr:spPr>
        <a:xfrm xmlns:a="http://schemas.openxmlformats.org/drawingml/2006/main">
          <a:off x="2462161" y="611036"/>
          <a:ext cx="89048" cy="569715"/>
        </a:xfrm>
        <a:prstGeom xmlns:a="http://schemas.openxmlformats.org/drawingml/2006/main" prst="up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0.63198</cdr:x>
      <cdr:y>0.26854</cdr:y>
    </cdr:from>
    <cdr:to>
      <cdr:x>0.65955</cdr:x>
      <cdr:y>0.31024</cdr:y>
    </cdr:to>
    <cdr:sp macro="" textlink="">
      <cdr:nvSpPr>
        <cdr:cNvPr id="4" name="Obojsmerná zvislá šípka 3"/>
        <cdr:cNvSpPr/>
      </cdr:nvSpPr>
      <cdr:spPr>
        <a:xfrm xmlns:a="http://schemas.openxmlformats.org/drawingml/2006/main">
          <a:off x="1746088" y="606889"/>
          <a:ext cx="76173" cy="94241"/>
        </a:xfrm>
        <a:prstGeom xmlns:a="http://schemas.openxmlformats.org/drawingml/2006/main" prst="upDown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0.66192</cdr:x>
      <cdr:y>0.01906</cdr:y>
    </cdr:from>
    <cdr:to>
      <cdr:x>0.93194</cdr:x>
      <cdr:y>0.22139</cdr:y>
    </cdr:to>
    <cdr:sp macro="" textlink="">
      <cdr:nvSpPr>
        <cdr:cNvPr id="5" name="Textové pole 297"/>
        <cdr:cNvSpPr txBox="1"/>
      </cdr:nvSpPr>
      <cdr:spPr bwMode="auto">
        <a:xfrm xmlns:a="http://schemas.openxmlformats.org/drawingml/2006/main" rot="5400000">
          <a:off x="1973196" y="-101323"/>
          <a:ext cx="457264" cy="7460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spcFirstLastPara="0" vert="horz" wrap="square" lIns="91440" tIns="45720" rIns="91440" bIns="45720" numCol="1" spcCol="0" rtlCol="0" fromWordArt="0" anchor="t" anchorCtr="0" forceAA="0" upright="1" compatLnSpc="1">
          <a:prstTxWarp prst="textNoShape">
            <a:avLst/>
          </a:prstTxWarp>
          <a:noAutofit/>
        </a:bodyPr>
        <a:lstStyle xmlns:a="http://schemas.openxmlformats.org/drawingml/2006/main"/>
        <a:p xmlns:a="http://schemas.openxmlformats.org/drawingml/2006/main">
          <a:pPr algn="ctr">
            <a:spcAft>
              <a:spcPts val="0"/>
            </a:spcAft>
          </a:pPr>
          <a:r>
            <a:rPr lang="sk-SK" sz="700" b="0">
              <a:solidFill>
                <a:srgbClr val="FF0000"/>
              </a:solidFill>
              <a:effectLst/>
              <a:latin typeface="Arial Narrow" panose="020B0606020202030204" pitchFamily="34" charset="0"/>
              <a:ea typeface="Times New Roman" panose="02020603050405020304" pitchFamily="18" charset="0"/>
              <a:cs typeface="Book Antiqua" panose="02040602050305030304" pitchFamily="18" charset="0"/>
            </a:rPr>
            <a:t>Potreba konsolidačných opatrení</a:t>
          </a:r>
          <a:endParaRPr lang="sk-SK" sz="1050" b="0">
            <a:effectLst/>
            <a:latin typeface="Arial Narrow" panose="020B0606020202030204" pitchFamily="34" charset="0"/>
            <a:ea typeface="Times New Roman" panose="02020603050405020304" pitchFamily="18" charset="0"/>
            <a:cs typeface="Book Antiqua" panose="0204060205030503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0.22086</cdr:x>
      <cdr:y>0.06036</cdr:y>
    </cdr:from>
    <cdr:to>
      <cdr:x>0.2644</cdr:x>
      <cdr:y>0.09354</cdr:y>
    </cdr:to>
    <cdr:sp macro="" textlink="">
      <cdr:nvSpPr>
        <cdr:cNvPr id="2" name="Šípka: doľava 1">
          <a:extLst xmlns:a="http://schemas.openxmlformats.org/drawingml/2006/main">
            <a:ext uri="{FF2B5EF4-FFF2-40B4-BE49-F238E27FC236}">
              <a16:creationId xmlns:a16="http://schemas.microsoft.com/office/drawing/2014/main" id="{A7D957AC-ED8A-5714-7C54-4DBD9A89CDBB}"/>
            </a:ext>
          </a:extLst>
        </cdr:cNvPr>
        <cdr:cNvSpPr/>
      </cdr:nvSpPr>
      <cdr:spPr>
        <a:xfrm xmlns:a="http://schemas.openxmlformats.org/drawingml/2006/main">
          <a:off x="1776167" y="157540"/>
          <a:ext cx="350144" cy="86595"/>
        </a:xfrm>
        <a:prstGeom xmlns:a="http://schemas.openxmlformats.org/drawingml/2006/main" prst="leftArrow">
          <a:avLst/>
        </a:prstGeom>
        <a:solidFill xmlns:a="http://schemas.openxmlformats.org/drawingml/2006/main">
          <a:srgbClr val="1F497D"/>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k-SK"/>
        </a:p>
      </cdr:txBody>
    </cdr:sp>
  </cdr:relSizeAnchor>
  <cdr:relSizeAnchor xmlns:cdr="http://schemas.openxmlformats.org/drawingml/2006/chartDrawing">
    <cdr:from>
      <cdr:x>0.25582</cdr:x>
      <cdr:y>0.04543</cdr:y>
    </cdr:from>
    <cdr:to>
      <cdr:x>0.39634</cdr:x>
      <cdr:y>0.10681</cdr:y>
    </cdr:to>
    <cdr:sp macro="" textlink="">
      <cdr:nvSpPr>
        <cdr:cNvPr id="3" name="BlokTextu 2">
          <a:extLst xmlns:a="http://schemas.openxmlformats.org/drawingml/2006/main">
            <a:ext uri="{FF2B5EF4-FFF2-40B4-BE49-F238E27FC236}">
              <a16:creationId xmlns:a16="http://schemas.microsoft.com/office/drawing/2014/main" id="{77293617-DDD6-20F7-E17D-DDCB94D95EFA}"/>
            </a:ext>
          </a:extLst>
        </cdr:cNvPr>
        <cdr:cNvSpPr txBox="1"/>
      </cdr:nvSpPr>
      <cdr:spPr>
        <a:xfrm xmlns:a="http://schemas.openxmlformats.org/drawingml/2006/main">
          <a:off x="2057312" y="118575"/>
          <a:ext cx="1130048" cy="160193"/>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sk-SK" sz="700">
              <a:solidFill>
                <a:srgbClr val="1F497D"/>
              </a:solidFill>
            </a:rPr>
            <a:t>Finančná kríza</a:t>
          </a:r>
        </a:p>
      </cdr:txBody>
    </cdr:sp>
  </cdr:relSizeAnchor>
  <cdr:relSizeAnchor xmlns:cdr="http://schemas.openxmlformats.org/drawingml/2006/chartDrawing">
    <cdr:from>
      <cdr:x>0.66482</cdr:x>
      <cdr:y>0.77593</cdr:y>
    </cdr:from>
    <cdr:to>
      <cdr:x>0.70836</cdr:x>
      <cdr:y>0.80911</cdr:y>
    </cdr:to>
    <cdr:sp macro="" textlink="">
      <cdr:nvSpPr>
        <cdr:cNvPr id="4" name="Šípka: doľava 3">
          <a:extLst xmlns:a="http://schemas.openxmlformats.org/drawingml/2006/main">
            <a:ext uri="{FF2B5EF4-FFF2-40B4-BE49-F238E27FC236}">
              <a16:creationId xmlns:a16="http://schemas.microsoft.com/office/drawing/2014/main" id="{2920DC1E-1BAF-62C2-4825-53B1021476F2}"/>
            </a:ext>
          </a:extLst>
        </cdr:cNvPr>
        <cdr:cNvSpPr/>
      </cdr:nvSpPr>
      <cdr:spPr>
        <a:xfrm xmlns:a="http://schemas.openxmlformats.org/drawingml/2006/main" rot="10800000">
          <a:off x="4363027" y="2025071"/>
          <a:ext cx="285750" cy="86591"/>
        </a:xfrm>
        <a:prstGeom xmlns:a="http://schemas.openxmlformats.org/drawingml/2006/main" prst="leftArrow">
          <a:avLst/>
        </a:prstGeom>
        <a:solidFill xmlns:a="http://schemas.openxmlformats.org/drawingml/2006/main">
          <a:srgbClr val="5B9BD5"/>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0.57725</cdr:x>
      <cdr:y>0.76266</cdr:y>
    </cdr:from>
    <cdr:to>
      <cdr:x>0.68461</cdr:x>
      <cdr:y>0.82404</cdr:y>
    </cdr:to>
    <cdr:sp macro="" textlink="">
      <cdr:nvSpPr>
        <cdr:cNvPr id="5" name="BlokTextu 2">
          <a:extLst xmlns:a="http://schemas.openxmlformats.org/drawingml/2006/main">
            <a:ext uri="{FF2B5EF4-FFF2-40B4-BE49-F238E27FC236}">
              <a16:creationId xmlns:a16="http://schemas.microsoft.com/office/drawing/2014/main" id="{427778AE-209E-5B79-1CB3-0E4A3A84942C}"/>
            </a:ext>
          </a:extLst>
        </cdr:cNvPr>
        <cdr:cNvSpPr txBox="1"/>
      </cdr:nvSpPr>
      <cdr:spPr>
        <a:xfrm xmlns:a="http://schemas.openxmlformats.org/drawingml/2006/main">
          <a:off x="3788353" y="1990436"/>
          <a:ext cx="704560" cy="16019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k-SK" sz="700">
              <a:solidFill>
                <a:srgbClr val="5B9BD5"/>
              </a:solidFill>
            </a:rPr>
            <a:t>COVID-19</a:t>
          </a:r>
        </a:p>
      </cdr:txBody>
    </cdr:sp>
  </cdr:relSizeAnchor>
  <cdr:relSizeAnchor xmlns:cdr="http://schemas.openxmlformats.org/drawingml/2006/chartDrawing">
    <cdr:from>
      <cdr:x>0.66398</cdr:x>
      <cdr:y>0.8292</cdr:y>
    </cdr:from>
    <cdr:to>
      <cdr:x>0.81871</cdr:x>
      <cdr:y>0.86231</cdr:y>
    </cdr:to>
    <cdr:sp macro="" textlink="">
      <cdr:nvSpPr>
        <cdr:cNvPr id="6" name="Šípka: doľava 5">
          <a:extLst xmlns:a="http://schemas.openxmlformats.org/drawingml/2006/main">
            <a:ext uri="{FF2B5EF4-FFF2-40B4-BE49-F238E27FC236}">
              <a16:creationId xmlns:a16="http://schemas.microsoft.com/office/drawing/2014/main" id="{F810304B-020C-976B-0F20-97DD0D0D94D8}"/>
            </a:ext>
          </a:extLst>
        </cdr:cNvPr>
        <cdr:cNvSpPr/>
      </cdr:nvSpPr>
      <cdr:spPr>
        <a:xfrm xmlns:a="http://schemas.openxmlformats.org/drawingml/2006/main" rot="10800000">
          <a:off x="4357540" y="2164097"/>
          <a:ext cx="1015425" cy="86400"/>
        </a:xfrm>
        <a:prstGeom xmlns:a="http://schemas.openxmlformats.org/drawingml/2006/main" prst="leftArrow">
          <a:avLst/>
        </a:prstGeom>
        <a:solidFill xmlns:a="http://schemas.openxmlformats.org/drawingml/2006/main">
          <a:schemeClr val="tx2">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0.53133</cdr:x>
      <cdr:y>0.81243</cdr:y>
    </cdr:from>
    <cdr:to>
      <cdr:x>0.68931</cdr:x>
      <cdr:y>0.87381</cdr:y>
    </cdr:to>
    <cdr:sp macro="" textlink="">
      <cdr:nvSpPr>
        <cdr:cNvPr id="7" name="BlokTextu 2">
          <a:extLst xmlns:a="http://schemas.openxmlformats.org/drawingml/2006/main">
            <a:ext uri="{FF2B5EF4-FFF2-40B4-BE49-F238E27FC236}">
              <a16:creationId xmlns:a16="http://schemas.microsoft.com/office/drawing/2014/main" id="{BEEC23DF-32F2-7CB8-D2F3-B622CB90473C}"/>
            </a:ext>
          </a:extLst>
        </cdr:cNvPr>
        <cdr:cNvSpPr txBox="1"/>
      </cdr:nvSpPr>
      <cdr:spPr>
        <a:xfrm xmlns:a="http://schemas.openxmlformats.org/drawingml/2006/main">
          <a:off x="2999454" y="2228658"/>
          <a:ext cx="891821" cy="168378"/>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k-SK" sz="700">
              <a:solidFill>
                <a:schemeClr val="tx2">
                  <a:lumMod val="40000"/>
                  <a:lumOff val="60000"/>
                </a:schemeClr>
              </a:solidFill>
            </a:rPr>
            <a:t>Energetická kríza</a:t>
          </a:r>
        </a:p>
      </cdr:txBody>
    </cdr:sp>
  </cdr:relSizeAnchor>
</c:userShapes>
</file>

<file path=word/theme/theme1.xml><?xml version="1.0" encoding="utf-8"?>
<a:theme xmlns:a="http://schemas.openxmlformats.org/drawingml/2006/main" name="Office Theme">
  <a:themeElements>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lumMod val="75000"/>
          </a:schemeClr>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word/theme/themeOverride1.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IFP motív">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Vlastné 1">
    <a:majorFont>
      <a:latin typeface="Yu Gothic UI"/>
      <a:ea typeface=""/>
      <a:cs typeface=""/>
    </a:majorFont>
    <a:minorFont>
      <a:latin typeface="Yu Gothic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90D0A-8981-4F11-B321-AD52E159D14B}">
  <ds:schemaRefs>
    <ds:schemaRef ds:uri="http://schemas.openxmlformats.org/officeDocument/2006/bibliography"/>
  </ds:schemaRefs>
</ds:datastoreItem>
</file>

<file path=customXml/itemProps2.xml><?xml version="1.0" encoding="utf-8"?>
<ds:datastoreItem xmlns:ds="http://schemas.openxmlformats.org/officeDocument/2006/customXml" ds:itemID="{45743E4F-89DE-4899-9206-3758BCDB6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15523</Words>
  <Characters>88483</Characters>
  <Application>Microsoft Office Word</Application>
  <DocSecurity>0</DocSecurity>
  <Lines>737</Lines>
  <Paragraphs>207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Ministerstvo financií</Company>
  <LinksUpToDate>false</LinksUpToDate>
  <CharactersWithSpaces>103799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Suchta Juraj</dc:creator>
  <cp:keywords/>
  <dc:description/>
  <cp:lastModifiedBy>Ujlakyova Andrea</cp:lastModifiedBy>
  <cp:revision>26</cp:revision>
  <cp:lastPrinted>2024-04-23T11:42:00Z</cp:lastPrinted>
  <dcterms:created xsi:type="dcterms:W3CDTF">2024-04-23T08:42:00Z</dcterms:created>
  <dcterms:modified xsi:type="dcterms:W3CDTF">2024-04-23T11:42:00Z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980647295</vt:i4>
  </property>
</Properties>
</file>